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3384D439"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C15A05">
        <w:rPr>
          <w:rFonts w:ascii="Arial" w:eastAsiaTheme="minorEastAsia" w:hAnsi="Arial" w:cs="Arial"/>
          <w:b/>
          <w:sz w:val="24"/>
          <w:szCs w:val="24"/>
          <w:lang w:eastAsia="zh-CN"/>
        </w:rPr>
        <w:t>7</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R4-25</w:t>
      </w:r>
      <w:r w:rsidR="00C160AC">
        <w:rPr>
          <w:rFonts w:ascii="Arial" w:eastAsiaTheme="minorEastAsia" w:hAnsi="Arial" w:cs="Arial"/>
          <w:b/>
          <w:sz w:val="24"/>
          <w:szCs w:val="24"/>
          <w:lang w:eastAsia="zh-CN"/>
        </w:rPr>
        <w:t>20749</w:t>
      </w:r>
    </w:p>
    <w:p w14:paraId="1A718501" w14:textId="30D6C385" w:rsidR="00D81ADA" w:rsidRDefault="00C15A0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 USA</w:t>
      </w:r>
      <w:r w:rsidR="00D81ADA">
        <w:rPr>
          <w:rFonts w:ascii="Arial" w:eastAsiaTheme="minorEastAsia" w:hAnsi="Arial" w:cs="Arial"/>
          <w:b/>
          <w:sz w:val="24"/>
          <w:szCs w:val="24"/>
          <w:lang w:eastAsia="zh-CN"/>
        </w:rPr>
        <w:t xml:space="preserve">, </w:t>
      </w:r>
      <w:r w:rsidR="00082051">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2</w:t>
      </w:r>
      <w:r w:rsidR="00082051">
        <w:rPr>
          <w:rFonts w:ascii="Arial" w:hAnsi="Arial"/>
          <w:b/>
          <w:sz w:val="24"/>
          <w:szCs w:val="24"/>
          <w:lang w:eastAsia="zh-CN"/>
        </w:rPr>
        <w:t>1</w:t>
      </w:r>
      <w:r w:rsidRPr="00C15A05">
        <w:rPr>
          <w:rFonts w:ascii="Arial" w:hAnsi="Arial"/>
          <w:b/>
          <w:sz w:val="24"/>
          <w:szCs w:val="24"/>
          <w:vertAlign w:val="superscript"/>
          <w:lang w:eastAsia="zh-CN"/>
        </w:rPr>
        <w:t>st</w:t>
      </w:r>
      <w:r>
        <w:rPr>
          <w:rFonts w:ascii="Arial" w:hAnsi="Arial"/>
          <w:b/>
          <w:sz w:val="24"/>
          <w:szCs w:val="24"/>
          <w:lang w:eastAsia="zh-CN"/>
        </w:rPr>
        <w:t xml:space="preserve"> November</w:t>
      </w:r>
      <w:r w:rsidR="00D81ADA">
        <w:rPr>
          <w:rFonts w:ascii="Arial" w:hAnsi="Arial"/>
          <w:b/>
          <w:sz w:val="24"/>
          <w:szCs w:val="24"/>
          <w:lang w:eastAsia="zh-CN"/>
        </w:rPr>
        <w:t>, 2025</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02FE71CB"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6303A8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C15A05">
        <w:rPr>
          <w:rFonts w:ascii="Arial" w:eastAsia="맑은 고딕" w:hAnsi="Arial" w:cs="Arial"/>
          <w:sz w:val="22"/>
          <w:lang w:eastAsia="ko-KR"/>
        </w:rPr>
        <w:t>waveform evaluation</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4C19DAE" w14:textId="00E0F076" w:rsidR="00CF5B0D" w:rsidRDefault="006C5379" w:rsidP="00695B13">
      <w:pPr>
        <w:jc w:val="left"/>
        <w:rPr>
          <w:lang w:eastAsia="ko-KR"/>
        </w:rPr>
      </w:pPr>
      <w:r>
        <w:t xml:space="preserve">In RAN4#116bis, the latest meeting, RAN4 got started </w:t>
      </w:r>
      <w:r w:rsidR="00B17041" w:rsidRPr="0061383F">
        <w:t xml:space="preserve">a </w:t>
      </w:r>
      <w:r w:rsidR="00B17041">
        <w:t xml:space="preserve">SI for </w:t>
      </w:r>
      <w:r>
        <w:t>a single technology framework based on a stand</w:t>
      </w:r>
      <w:r w:rsidRPr="0061383F">
        <w:t xml:space="preserve">alone architecture needs to be developed </w:t>
      </w:r>
      <w:r>
        <w:t>across WGs b</w:t>
      </w:r>
      <w:r w:rsidR="00B17041" w:rsidRPr="0061383F">
        <w:t xml:space="preserve">ased on the </w:t>
      </w:r>
      <w:r>
        <w:t xml:space="preserve">6G Radio </w:t>
      </w:r>
      <w:r w:rsidR="00B17041" w:rsidRPr="0061383F">
        <w:t>SID</w:t>
      </w:r>
      <w:r>
        <w:t xml:space="preserve"> [1]. </w:t>
      </w:r>
      <w:r>
        <w:rPr>
          <w:lang w:eastAsia="ko-KR"/>
        </w:rPr>
        <w:t xml:space="preserve">In regards to 6GR waveform, </w:t>
      </w:r>
      <w:r w:rsidR="00CF5B0D">
        <w:rPr>
          <w:lang w:eastAsia="ko-KR"/>
        </w:rPr>
        <w:t xml:space="preserve">relevant proposals and agreements were captured in the WF with two parts [2]. One is about general framework and scope of the waveform discussion in RAN4, the other is PA model for both 6G UE RF discussion and the reply to RAN1 LS [3]. </w:t>
      </w:r>
    </w:p>
    <w:p w14:paraId="683AE67D" w14:textId="5D7CD065" w:rsidR="001244CC" w:rsidRPr="00C861E2" w:rsidRDefault="00CF5B0D" w:rsidP="001244CC">
      <w:pPr>
        <w:jc w:val="left"/>
        <w:rPr>
          <w:lang w:eastAsia="ko-KR"/>
        </w:rPr>
      </w:pPr>
      <w:r>
        <w:rPr>
          <w:lang w:eastAsia="ko-KR"/>
        </w:rPr>
        <w:t xml:space="preserve">In this </w:t>
      </w:r>
      <w:r w:rsidRPr="0061383F">
        <w:t>contribution</w:t>
      </w:r>
      <w:r>
        <w:t xml:space="preserve">, we </w:t>
      </w:r>
      <w:r w:rsidRPr="0061383F">
        <w:t xml:space="preserve">provide </w:t>
      </w:r>
      <w:r>
        <w:t>our views on the following aspects keeping in mind the</w:t>
      </w:r>
      <w:r w:rsidR="001244CC">
        <w:t xml:space="preserve"> previous agreements of RAN4 </w:t>
      </w:r>
      <w:r w:rsidR="001244CC" w:rsidRPr="00C861E2">
        <w:t>and RAN1:</w:t>
      </w:r>
    </w:p>
    <w:p w14:paraId="039C4F8D" w14:textId="77777777" w:rsidR="00C861E2" w:rsidRPr="00C861E2" w:rsidRDefault="00C861E2" w:rsidP="008341CC">
      <w:pPr>
        <w:pStyle w:val="afc"/>
        <w:numPr>
          <w:ilvl w:val="0"/>
          <w:numId w:val="30"/>
        </w:numPr>
        <w:ind w:firstLineChars="0"/>
        <w:jc w:val="left"/>
        <w:rPr>
          <w:rFonts w:eastAsia="맑은 고딕"/>
          <w:lang w:eastAsia="ko-KR"/>
        </w:rPr>
      </w:pPr>
      <w:r w:rsidRPr="00C861E2">
        <w:rPr>
          <w:rFonts w:eastAsia="맑은 고딕"/>
          <w:lang w:eastAsia="ko-KR"/>
        </w:rPr>
        <w:t>Evaluation framework for waveform</w:t>
      </w:r>
    </w:p>
    <w:p w14:paraId="155ADD6E" w14:textId="77777777" w:rsidR="00C861E2" w:rsidRPr="00C861E2" w:rsidRDefault="00C861E2" w:rsidP="008341CC">
      <w:pPr>
        <w:pStyle w:val="afc"/>
        <w:numPr>
          <w:ilvl w:val="0"/>
          <w:numId w:val="30"/>
        </w:numPr>
        <w:ind w:firstLineChars="0"/>
        <w:jc w:val="left"/>
        <w:rPr>
          <w:rFonts w:eastAsia="맑은 고딕"/>
          <w:lang w:eastAsia="ko-KR"/>
        </w:rPr>
      </w:pPr>
      <w:r w:rsidRPr="00C861E2">
        <w:rPr>
          <w:rFonts w:eastAsia="맑은 고딕"/>
          <w:lang w:eastAsia="ko-KR"/>
        </w:rPr>
        <w:t>Different waveform candidates and PAPR reduction technique</w:t>
      </w:r>
    </w:p>
    <w:p w14:paraId="5F1F4A17" w14:textId="59A32C43" w:rsidR="008341CC" w:rsidRPr="00C861E2" w:rsidRDefault="00C861E2" w:rsidP="008341CC">
      <w:pPr>
        <w:pStyle w:val="afc"/>
        <w:numPr>
          <w:ilvl w:val="0"/>
          <w:numId w:val="30"/>
        </w:numPr>
        <w:ind w:firstLineChars="0"/>
        <w:jc w:val="left"/>
        <w:rPr>
          <w:rFonts w:eastAsia="맑은 고딕"/>
          <w:lang w:eastAsia="ko-KR"/>
        </w:rPr>
      </w:pPr>
      <w:r w:rsidRPr="00C861E2">
        <w:rPr>
          <w:rFonts w:eastAsia="맑은 고딕"/>
          <w:lang w:eastAsia="ko-KR"/>
        </w:rPr>
        <w:t>PA model</w:t>
      </w:r>
    </w:p>
    <w:p w14:paraId="7F59A391" w14:textId="092A3002" w:rsidR="009B37B2"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30660FA5" w:rsidR="00191910" w:rsidRDefault="00082051" w:rsidP="00082051">
      <w:pPr>
        <w:pStyle w:val="2"/>
      </w:pPr>
      <w:r>
        <w:rPr>
          <w:rFonts w:hint="eastAsia"/>
        </w:rPr>
        <w:t>2</w:t>
      </w:r>
      <w:r>
        <w:t>.1</w:t>
      </w:r>
      <w:r w:rsidR="00191910">
        <w:tab/>
      </w:r>
      <w:r w:rsidR="003E4537">
        <w:t>Evaluation framework for waveform</w:t>
      </w:r>
    </w:p>
    <w:p w14:paraId="1CAA863A" w14:textId="40E14EB7" w:rsidR="00A869D1" w:rsidRDefault="00A869D1" w:rsidP="00E14EB8">
      <w:pPr>
        <w:jc w:val="left"/>
        <w:rPr>
          <w:rFonts w:eastAsia="맑은 고딕"/>
          <w:lang w:eastAsia="ko-KR"/>
        </w:rPr>
      </w:pPr>
      <w:r>
        <w:rPr>
          <w:rFonts w:eastAsia="맑은 고딕" w:hint="eastAsia"/>
          <w:lang w:eastAsia="ko-KR"/>
        </w:rPr>
        <w:t>R</w:t>
      </w:r>
      <w:r>
        <w:rPr>
          <w:rFonts w:eastAsia="맑은 고딕"/>
          <w:lang w:eastAsia="ko-KR"/>
        </w:rPr>
        <w:t xml:space="preserve">egarding the </w:t>
      </w:r>
      <w:r w:rsidR="003E4537">
        <w:rPr>
          <w:rFonts w:eastAsia="맑은 고딕"/>
          <w:lang w:eastAsia="ko-KR"/>
        </w:rPr>
        <w:t xml:space="preserve">framework study for </w:t>
      </w:r>
      <w:r>
        <w:rPr>
          <w:rFonts w:eastAsia="맑은 고딕"/>
          <w:lang w:eastAsia="ko-KR"/>
        </w:rPr>
        <w:t>waveform</w:t>
      </w:r>
      <w:r w:rsidR="003E4537">
        <w:rPr>
          <w:rFonts w:eastAsia="맑은 고딕"/>
          <w:lang w:eastAsia="ko-KR"/>
        </w:rPr>
        <w:t xml:space="preserve">, RAN4 made following </w:t>
      </w:r>
      <w:r w:rsidR="00D53D0F">
        <w:rPr>
          <w:rFonts w:eastAsia="맑은 고딕" w:hint="eastAsia"/>
          <w:lang w:eastAsia="ko-KR"/>
        </w:rPr>
        <w:t>a</w:t>
      </w:r>
      <w:r w:rsidR="00D53D0F">
        <w:rPr>
          <w:rFonts w:eastAsia="맑은 고딕"/>
          <w:lang w:eastAsia="ko-KR"/>
        </w:rPr>
        <w:t>greements in RAN4#116bis [2]</w:t>
      </w:r>
      <w:r w:rsidR="00D47344">
        <w:rPr>
          <w:rFonts w:eastAsia="맑은 고딕"/>
          <w:lang w:eastAsia="ko-KR"/>
        </w:rPr>
        <w:t>.</w:t>
      </w:r>
    </w:p>
    <w:tbl>
      <w:tblPr>
        <w:tblStyle w:val="af3"/>
        <w:tblW w:w="0" w:type="auto"/>
        <w:tblLook w:val="04A0" w:firstRow="1" w:lastRow="0" w:firstColumn="1" w:lastColumn="0" w:noHBand="0" w:noVBand="1"/>
      </w:tblPr>
      <w:tblGrid>
        <w:gridCol w:w="9631"/>
      </w:tblGrid>
      <w:tr w:rsidR="003E4537" w14:paraId="7BF16225" w14:textId="77777777" w:rsidTr="00CD0D8C">
        <w:tc>
          <w:tcPr>
            <w:tcW w:w="9631" w:type="dxa"/>
          </w:tcPr>
          <w:p w14:paraId="4E85B136" w14:textId="77777777" w:rsidR="003E4537" w:rsidRPr="003E4537" w:rsidRDefault="003E4537" w:rsidP="003E4537">
            <w:pPr>
              <w:numPr>
                <w:ilvl w:val="0"/>
                <w:numId w:val="15"/>
              </w:numPr>
              <w:spacing w:before="60" w:after="60" w:line="240" w:lineRule="auto"/>
              <w:ind w:left="720" w:hanging="357"/>
              <w:jc w:val="left"/>
              <w:rPr>
                <w:szCs w:val="24"/>
                <w:highlight w:val="green"/>
                <w:lang w:eastAsia="zh-CN"/>
              </w:rPr>
            </w:pPr>
            <w:r w:rsidRPr="003E4537">
              <w:rPr>
                <w:szCs w:val="24"/>
                <w:highlight w:val="green"/>
                <w:lang w:eastAsia="zh-CN"/>
              </w:rPr>
              <w:t>Agreement</w:t>
            </w:r>
          </w:p>
          <w:p w14:paraId="79EC3B62" w14:textId="77777777" w:rsidR="003E4537" w:rsidRPr="003E4537" w:rsidRDefault="003E4537" w:rsidP="003E4537">
            <w:pPr>
              <w:numPr>
                <w:ilvl w:val="1"/>
                <w:numId w:val="15"/>
              </w:numPr>
              <w:spacing w:before="60" w:after="60" w:line="240" w:lineRule="auto"/>
              <w:ind w:left="1656" w:hanging="357"/>
              <w:jc w:val="left"/>
              <w:rPr>
                <w:szCs w:val="24"/>
                <w:lang w:eastAsia="zh-CN"/>
              </w:rPr>
            </w:pPr>
            <w:r w:rsidRPr="003E4537">
              <w:rPr>
                <w:rFonts w:hint="eastAsia"/>
                <w:szCs w:val="24"/>
                <w:lang w:eastAsia="zh-CN"/>
              </w:rPr>
              <w:t>T</w:t>
            </w:r>
            <w:r w:rsidRPr="003E4537">
              <w:rPr>
                <w:szCs w:val="24"/>
                <w:lang w:eastAsia="zh-CN"/>
              </w:rPr>
              <w:t>he primary purpose of RAN4 study on waveform is to evaluate candidate waveforms and potential PAPR reduction techniques based on agreements and inputs from RAN1</w:t>
            </w:r>
          </w:p>
          <w:p w14:paraId="76AF1C7A" w14:textId="77777777" w:rsidR="003E4537" w:rsidRPr="003E4537" w:rsidRDefault="003E4537" w:rsidP="003E4537">
            <w:pPr>
              <w:numPr>
                <w:ilvl w:val="1"/>
                <w:numId w:val="15"/>
              </w:numPr>
              <w:spacing w:before="60" w:after="60" w:line="240" w:lineRule="auto"/>
              <w:ind w:left="1656" w:hanging="357"/>
              <w:jc w:val="left"/>
              <w:rPr>
                <w:rFonts w:eastAsia="MS Mincho"/>
                <w:szCs w:val="24"/>
                <w:lang w:eastAsia="zh-CN"/>
              </w:rPr>
            </w:pPr>
            <w:r w:rsidRPr="003E4537">
              <w:rPr>
                <w:szCs w:val="24"/>
                <w:lang w:eastAsia="zh-CN"/>
              </w:rPr>
              <w:t xml:space="preserve">To establish the foundational evaluation framework in RAN4 firstly, and </w:t>
            </w:r>
            <w:r w:rsidRPr="003E4537">
              <w:rPr>
                <w:rFonts w:eastAsia="MS Mincho"/>
                <w:szCs w:val="24"/>
                <w:lang w:eastAsia="zh-CN"/>
              </w:rPr>
              <w:t>RAN4 waveform study should focus on the following aspects</w:t>
            </w:r>
          </w:p>
          <w:p w14:paraId="36E47A85" w14:textId="77777777" w:rsidR="003E4537" w:rsidRPr="003E4537" w:rsidRDefault="003E4537" w:rsidP="003E4537">
            <w:pPr>
              <w:numPr>
                <w:ilvl w:val="2"/>
                <w:numId w:val="15"/>
              </w:numPr>
              <w:spacing w:before="60" w:after="60" w:line="240" w:lineRule="auto"/>
              <w:ind w:left="2376" w:hanging="357"/>
              <w:jc w:val="left"/>
              <w:rPr>
                <w:rFonts w:eastAsia="MS Mincho"/>
                <w:szCs w:val="24"/>
                <w:lang w:eastAsia="zh-CN"/>
              </w:rPr>
            </w:pPr>
            <w:r w:rsidRPr="003E4537">
              <w:rPr>
                <w:rFonts w:eastAsia="MS Mincho"/>
                <w:szCs w:val="24"/>
                <w:lang w:eastAsia="zh-CN"/>
              </w:rPr>
              <w:t>Tx assumption including PA model</w:t>
            </w:r>
          </w:p>
          <w:p w14:paraId="763D0014" w14:textId="77777777" w:rsidR="003E4537" w:rsidRPr="003E4537" w:rsidRDefault="003E4537" w:rsidP="003E4537">
            <w:pPr>
              <w:numPr>
                <w:ilvl w:val="2"/>
                <w:numId w:val="15"/>
              </w:numPr>
              <w:spacing w:before="60" w:after="60" w:line="240" w:lineRule="auto"/>
              <w:ind w:left="2376" w:hanging="357"/>
              <w:jc w:val="left"/>
              <w:rPr>
                <w:rFonts w:eastAsia="MS Mincho"/>
                <w:szCs w:val="24"/>
                <w:lang w:eastAsia="zh-CN"/>
              </w:rPr>
            </w:pPr>
            <w:r w:rsidRPr="003E4537">
              <w:rPr>
                <w:rFonts w:eastAsia="MS Mincho"/>
                <w:szCs w:val="24"/>
                <w:lang w:eastAsia="zh-CN"/>
              </w:rPr>
              <w:t>Related RF requirements which should be taken into consideration</w:t>
            </w:r>
          </w:p>
          <w:p w14:paraId="1D38EF36" w14:textId="77777777" w:rsidR="003E4537" w:rsidRPr="003E4537" w:rsidRDefault="003E4537" w:rsidP="003E4537">
            <w:pPr>
              <w:numPr>
                <w:ilvl w:val="2"/>
                <w:numId w:val="15"/>
              </w:numPr>
              <w:spacing w:before="60" w:after="60" w:line="240" w:lineRule="auto"/>
              <w:ind w:left="2376" w:hanging="357"/>
              <w:jc w:val="left"/>
              <w:rPr>
                <w:rFonts w:eastAsia="MS Mincho"/>
                <w:szCs w:val="24"/>
                <w:lang w:eastAsia="zh-CN"/>
              </w:rPr>
            </w:pPr>
            <w:r w:rsidRPr="003E4537">
              <w:rPr>
                <w:rFonts w:eastAsia="MS Mincho"/>
                <w:szCs w:val="24"/>
                <w:lang w:eastAsia="zh-CN"/>
              </w:rPr>
              <w:t>Both UL and DL are considered</w:t>
            </w:r>
          </w:p>
          <w:p w14:paraId="2C3DAC7B" w14:textId="77777777" w:rsidR="003E4537" w:rsidRPr="003E4537" w:rsidRDefault="003E4537" w:rsidP="003E4537">
            <w:pPr>
              <w:numPr>
                <w:ilvl w:val="2"/>
                <w:numId w:val="15"/>
              </w:numPr>
              <w:spacing w:before="60" w:after="60" w:line="240" w:lineRule="auto"/>
              <w:ind w:left="2376" w:hanging="357"/>
              <w:jc w:val="left"/>
              <w:rPr>
                <w:rFonts w:eastAsia="MS Mincho"/>
                <w:szCs w:val="24"/>
                <w:lang w:eastAsia="zh-CN"/>
              </w:rPr>
            </w:pPr>
            <w:r w:rsidRPr="003E4537">
              <w:rPr>
                <w:rFonts w:eastAsia="MS Mincho"/>
                <w:szCs w:val="24"/>
                <w:lang w:eastAsia="zh-CN"/>
              </w:rPr>
              <w:t>Take the candidate waveforms identified/discussed in RAN1 as the baseline</w:t>
            </w:r>
          </w:p>
          <w:p w14:paraId="550EB78F" w14:textId="77777777" w:rsidR="003E4537" w:rsidRPr="003E4537" w:rsidRDefault="003E4537" w:rsidP="003E4537">
            <w:pPr>
              <w:numPr>
                <w:ilvl w:val="2"/>
                <w:numId w:val="15"/>
              </w:numPr>
              <w:spacing w:before="60" w:after="60" w:line="240" w:lineRule="auto"/>
              <w:ind w:left="2376" w:hanging="357"/>
              <w:jc w:val="left"/>
              <w:rPr>
                <w:rFonts w:eastAsia="MS Mincho"/>
                <w:szCs w:val="24"/>
                <w:lang w:eastAsia="zh-CN"/>
              </w:rPr>
            </w:pPr>
            <w:r w:rsidRPr="003E4537">
              <w:rPr>
                <w:rFonts w:eastAsia="MS Mincho"/>
                <w:szCs w:val="24"/>
                <w:lang w:eastAsia="zh-CN"/>
              </w:rPr>
              <w:t>Identify the evaluation metric, e.g. net gain</w:t>
            </w:r>
          </w:p>
          <w:p w14:paraId="30A4D0BA" w14:textId="77777777" w:rsidR="003E4537" w:rsidRPr="003E4537" w:rsidRDefault="003E4537" w:rsidP="003E4537">
            <w:pPr>
              <w:numPr>
                <w:ilvl w:val="2"/>
                <w:numId w:val="15"/>
              </w:numPr>
              <w:spacing w:before="60" w:after="60" w:line="240" w:lineRule="auto"/>
              <w:ind w:left="2376" w:hanging="357"/>
              <w:jc w:val="left"/>
              <w:rPr>
                <w:rFonts w:eastAsia="MS Mincho"/>
                <w:szCs w:val="24"/>
                <w:lang w:eastAsia="zh-CN"/>
              </w:rPr>
            </w:pPr>
            <w:r w:rsidRPr="003E4537">
              <w:rPr>
                <w:rFonts w:eastAsia="MS Mincho"/>
                <w:szCs w:val="24"/>
                <w:lang w:eastAsia="zh-CN"/>
              </w:rPr>
              <w:t>Implementation constraints</w:t>
            </w:r>
          </w:p>
          <w:p w14:paraId="3DE83900" w14:textId="77777777" w:rsidR="003E4537" w:rsidRPr="003E4537" w:rsidRDefault="003E4537" w:rsidP="003E4537">
            <w:pPr>
              <w:numPr>
                <w:ilvl w:val="1"/>
                <w:numId w:val="15"/>
              </w:numPr>
              <w:spacing w:before="60" w:after="60" w:line="240" w:lineRule="auto"/>
              <w:ind w:left="1656" w:hanging="357"/>
              <w:jc w:val="left"/>
              <w:rPr>
                <w:szCs w:val="24"/>
                <w:lang w:eastAsia="zh-CN"/>
              </w:rPr>
            </w:pPr>
            <w:r w:rsidRPr="003E4537">
              <w:rPr>
                <w:szCs w:val="24"/>
                <w:lang w:eastAsia="zh-CN"/>
              </w:rPr>
              <w:t>Model and evaluate the RF performance of different waveform candidates and PAPR reduction techniques pending on RAN1 inputs</w:t>
            </w:r>
          </w:p>
          <w:p w14:paraId="10DF8F24" w14:textId="77777777" w:rsidR="003E4537" w:rsidRPr="003E4537" w:rsidRDefault="003E4537" w:rsidP="003E4537">
            <w:pPr>
              <w:numPr>
                <w:ilvl w:val="2"/>
                <w:numId w:val="15"/>
              </w:numPr>
              <w:spacing w:before="60" w:after="60" w:line="240" w:lineRule="auto"/>
              <w:ind w:left="2376" w:hanging="357"/>
              <w:jc w:val="left"/>
              <w:rPr>
                <w:szCs w:val="24"/>
                <w:lang w:eastAsia="zh-CN"/>
              </w:rPr>
            </w:pPr>
            <w:r w:rsidRPr="003E4537">
              <w:rPr>
                <w:szCs w:val="24"/>
                <w:lang w:eastAsia="zh-CN"/>
              </w:rPr>
              <w:t>Evaluation cases could be selected step-by-step, based on RAN1 progress</w:t>
            </w:r>
          </w:p>
          <w:p w14:paraId="09C23ED7" w14:textId="6F2DE90E" w:rsidR="003E4537" w:rsidRPr="003E4537" w:rsidRDefault="003E4537" w:rsidP="003E4537">
            <w:pPr>
              <w:numPr>
                <w:ilvl w:val="2"/>
                <w:numId w:val="15"/>
              </w:numPr>
              <w:spacing w:before="60" w:after="60" w:line="240" w:lineRule="auto"/>
              <w:ind w:left="2376" w:hanging="357"/>
              <w:jc w:val="left"/>
              <w:rPr>
                <w:rFonts w:eastAsia="맑은 고딕"/>
                <w:lang w:eastAsia="ko-KR"/>
              </w:rPr>
            </w:pPr>
            <w:r w:rsidRPr="003E4537">
              <w:rPr>
                <w:szCs w:val="24"/>
                <w:lang w:eastAsia="zh-CN"/>
              </w:rPr>
              <w:t>Whether to investigate RF impacts of DL DFT-s-OFDM pending on RAN1 agreement</w:t>
            </w:r>
          </w:p>
        </w:tc>
      </w:tr>
    </w:tbl>
    <w:p w14:paraId="7F373A89" w14:textId="2ABA6E31" w:rsidR="00A869D1" w:rsidRPr="003E4537" w:rsidRDefault="00A869D1" w:rsidP="00E14EB8">
      <w:pPr>
        <w:jc w:val="left"/>
        <w:rPr>
          <w:rFonts w:eastAsia="맑은 고딕"/>
          <w:lang w:eastAsia="ko-KR"/>
        </w:rPr>
      </w:pPr>
    </w:p>
    <w:p w14:paraId="61BEC8D8" w14:textId="0555FD59" w:rsidR="00143B20" w:rsidRDefault="00143B20" w:rsidP="00143B20">
      <w:pPr>
        <w:jc w:val="left"/>
        <w:rPr>
          <w:rFonts w:eastAsia="맑은 고딕"/>
          <w:lang w:val="en-US" w:eastAsia="ko-KR"/>
        </w:rPr>
      </w:pPr>
      <w:r w:rsidRPr="00143B20">
        <w:rPr>
          <w:rFonts w:eastAsia="맑은 고딕"/>
          <w:lang w:val="en-US" w:eastAsia="ko-KR"/>
        </w:rPr>
        <w:lastRenderedPageBreak/>
        <w:t xml:space="preserve">In </w:t>
      </w:r>
      <w:r w:rsidR="003312DF">
        <w:rPr>
          <w:rFonts w:eastAsia="맑은 고딕"/>
          <w:lang w:val="en-US" w:eastAsia="ko-KR"/>
        </w:rPr>
        <w:t>[2]</w:t>
      </w:r>
      <w:r w:rsidRPr="00143B20">
        <w:rPr>
          <w:rFonts w:eastAsia="맑은 고딕"/>
          <w:lang w:val="en-US" w:eastAsia="ko-KR"/>
        </w:rPr>
        <w:t>, the primary purpose of the RAN4 study on waveform is described as evaluating candidate waveforms and potential PAPR-reduction techniques based on agreements and inputs from RAN1. RAN4 is asked first to establish a foundational evaluation framework, focusing on transmitter assumptions including PA models, related RF requirements, both UL and DL, and the use of a common evaluation metric such as Net Gain, taking the candidate waveforms identified in RAN1 as the baseline and selecting evaluation cases step-by-step according to RAN1 progress.</w:t>
      </w:r>
      <w:r>
        <w:rPr>
          <w:rFonts w:eastAsia="맑은 고딕"/>
          <w:lang w:val="en-US" w:eastAsia="ko-KR"/>
        </w:rPr>
        <w:t xml:space="preserve"> </w:t>
      </w:r>
      <w:r w:rsidRPr="00143B20">
        <w:rPr>
          <w:rFonts w:eastAsia="맑은 고딕"/>
          <w:lang w:val="en-US" w:eastAsia="ko-KR"/>
        </w:rPr>
        <w:t>In parallel, RAN1 has agreed that, for uplink low-PAPR proposals, the link-level performance evaluation criterion is Net Gain under the same spectral efficiency as the reference, and that the Tx power gain should be calculated consistently with RAN4 Tx-power/MPR metrics while SNR degradation should reflect fading channels, non-ideal channel estimation (including DMRS), and equalization effects.</w:t>
      </w:r>
      <w:r>
        <w:rPr>
          <w:rFonts w:eastAsia="맑은 고딕"/>
          <w:lang w:val="en-US" w:eastAsia="ko-KR"/>
        </w:rPr>
        <w:t xml:space="preserve"> </w:t>
      </w:r>
      <w:r w:rsidRPr="00143B20">
        <w:rPr>
          <w:rFonts w:eastAsia="맑은 고딕"/>
          <w:lang w:val="en-US" w:eastAsia="ko-KR"/>
        </w:rPr>
        <w:t>These agreements provide a natural starting point for RAN4 to frame 6GR waveform studies without immediately branching into waveform-specific special cases.</w:t>
      </w:r>
    </w:p>
    <w:p w14:paraId="4EE4E372" w14:textId="4976BB8B" w:rsidR="003312DF" w:rsidRPr="007675B1" w:rsidRDefault="003312DF" w:rsidP="00143B20">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1:</w:t>
      </w:r>
      <w:r w:rsidRPr="007675B1">
        <w:rPr>
          <w:rFonts w:eastAsia="맑은 고딕"/>
          <w:b/>
          <w:bCs/>
          <w:lang w:val="en-US" w:eastAsia="ko-KR"/>
        </w:rPr>
        <w:tab/>
        <w:t>RAN4 study on waveform is described as evaluating candidate waveforms and potential PAPR-reduction techniques based on agreements and inputs from RAN1.</w:t>
      </w:r>
    </w:p>
    <w:p w14:paraId="6B059BC2" w14:textId="1366D40C" w:rsidR="003312DF" w:rsidRPr="007675B1" w:rsidRDefault="003312DF" w:rsidP="00143B20">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2:</w:t>
      </w:r>
      <w:r w:rsidRPr="007675B1">
        <w:rPr>
          <w:rFonts w:eastAsia="맑은 고딕"/>
          <w:b/>
          <w:bCs/>
          <w:lang w:val="en-US" w:eastAsia="ko-KR"/>
        </w:rPr>
        <w:tab/>
        <w:t>RAN1 has agreed that, for uplink low-PAPR proposals, the link-level performance evaluation criterion is Net Gain under the same spectral efficiency as the reference.</w:t>
      </w:r>
    </w:p>
    <w:p w14:paraId="443AB38E" w14:textId="50EF07B3" w:rsidR="00143B20" w:rsidRPr="00143B20" w:rsidRDefault="00143B20" w:rsidP="00143B20">
      <w:pPr>
        <w:jc w:val="left"/>
        <w:rPr>
          <w:rFonts w:eastAsia="맑은 고딕"/>
          <w:lang w:val="en-US" w:eastAsia="ko-KR"/>
        </w:rPr>
      </w:pPr>
      <w:r w:rsidRPr="00143B20">
        <w:rPr>
          <w:rFonts w:eastAsia="맑은 고딕"/>
          <w:lang w:val="en-US" w:eastAsia="ko-KR"/>
        </w:rPr>
        <w:t>Under this background, it seems reasonable that RAN4 first aligns on a compact set of performance indicators and assumptions that can be reused for any low-PAPR enhancement of existing NR waveforms, such as FDSS-type shaping on uplink DFT-s-OFDM, and for any potential additional waveforms if they later become relevant. At a high level, an evaluation flow for each case could consist of:</w:t>
      </w:r>
    </w:p>
    <w:p w14:paraId="7CA3E666" w14:textId="70181646" w:rsidR="00143B20" w:rsidRPr="00143B20" w:rsidRDefault="00143B20" w:rsidP="003E54FE">
      <w:pPr>
        <w:numPr>
          <w:ilvl w:val="0"/>
          <w:numId w:val="40"/>
        </w:numPr>
        <w:jc w:val="left"/>
        <w:rPr>
          <w:rFonts w:eastAsia="맑은 고딕"/>
          <w:lang w:val="en-US" w:eastAsia="ko-KR"/>
        </w:rPr>
      </w:pPr>
      <w:r w:rsidRPr="00143B20">
        <w:rPr>
          <w:rFonts w:eastAsia="맑은 고딕"/>
          <w:lang w:val="en-US" w:eastAsia="ko-KR"/>
        </w:rPr>
        <w:t>taking the candidate waveform and link assumptions from RAN1 (UL/DL, target modulation, targeted use case and spectrum, DMRS and channel models, etc.);</w:t>
      </w:r>
    </w:p>
    <w:p w14:paraId="1DE1DA0A" w14:textId="07EA4C98" w:rsidR="00143B20" w:rsidRPr="00143B20" w:rsidRDefault="00143B20" w:rsidP="003E54FE">
      <w:pPr>
        <w:numPr>
          <w:ilvl w:val="0"/>
          <w:numId w:val="40"/>
        </w:numPr>
        <w:jc w:val="left"/>
        <w:rPr>
          <w:rFonts w:eastAsia="맑은 고딕"/>
          <w:lang w:val="en-US" w:eastAsia="ko-KR"/>
        </w:rPr>
      </w:pPr>
      <w:r w:rsidRPr="00143B20">
        <w:rPr>
          <w:rFonts w:eastAsia="맑은 고딕"/>
          <w:lang w:val="en-US" w:eastAsia="ko-KR"/>
        </w:rPr>
        <w:t>deriving PAPR- or CM-based Tx power gain relative to a 5G-like reference, using RAN4’s Tx-power/MPR framework;</w:t>
      </w:r>
    </w:p>
    <w:p w14:paraId="6484DB2E" w14:textId="74B550AA" w:rsidR="00143B20" w:rsidRPr="00143B20" w:rsidRDefault="00143B20" w:rsidP="003E54FE">
      <w:pPr>
        <w:numPr>
          <w:ilvl w:val="0"/>
          <w:numId w:val="40"/>
        </w:numPr>
        <w:jc w:val="left"/>
        <w:rPr>
          <w:rFonts w:eastAsia="맑은 고딕"/>
          <w:lang w:val="en-US" w:eastAsia="ko-KR"/>
        </w:rPr>
      </w:pPr>
      <w:r w:rsidRPr="00143B20">
        <w:rPr>
          <w:rFonts w:eastAsia="맑은 고딕"/>
          <w:lang w:val="en-US" w:eastAsia="ko-KR"/>
        </w:rPr>
        <w:t>running link-level simulations to obtain SNR degradation at a fixed BLER target under realistic channel estimation and equalization assumptions;</w:t>
      </w:r>
    </w:p>
    <w:p w14:paraId="47F69B15" w14:textId="6AE17931" w:rsidR="00143B20" w:rsidRPr="00143B20" w:rsidRDefault="00143B20" w:rsidP="003E54FE">
      <w:pPr>
        <w:numPr>
          <w:ilvl w:val="0"/>
          <w:numId w:val="40"/>
        </w:numPr>
        <w:jc w:val="left"/>
        <w:rPr>
          <w:rFonts w:eastAsia="맑은 고딕"/>
          <w:lang w:val="en-US" w:eastAsia="ko-KR"/>
        </w:rPr>
      </w:pPr>
      <w:r w:rsidRPr="00143B20">
        <w:rPr>
          <w:rFonts w:eastAsia="맑은 고딕"/>
          <w:lang w:val="en-US" w:eastAsia="ko-KR"/>
        </w:rPr>
        <w:t>checking RF requirements such as EVM, ACLR, SEM and O</w:t>
      </w:r>
      <w:r w:rsidR="003312DF">
        <w:rPr>
          <w:rFonts w:eastAsia="맑은 고딕"/>
          <w:lang w:val="en-US" w:eastAsia="ko-KR"/>
        </w:rPr>
        <w:t>O</w:t>
      </w:r>
      <w:r w:rsidRPr="00143B20">
        <w:rPr>
          <w:rFonts w:eastAsia="맑은 고딕"/>
          <w:lang w:val="en-US" w:eastAsia="ko-KR"/>
        </w:rPr>
        <w:t>BE for the assumed PA model and CBW; and</w:t>
      </w:r>
    </w:p>
    <w:p w14:paraId="05F9A1B8" w14:textId="0DD781E2" w:rsidR="00143B20" w:rsidRPr="00143B20" w:rsidRDefault="00143B20" w:rsidP="003E54FE">
      <w:pPr>
        <w:numPr>
          <w:ilvl w:val="0"/>
          <w:numId w:val="40"/>
        </w:numPr>
        <w:jc w:val="left"/>
        <w:rPr>
          <w:rFonts w:eastAsia="맑은 고딕"/>
          <w:lang w:val="en-US" w:eastAsia="ko-KR"/>
        </w:rPr>
      </w:pPr>
      <w:r w:rsidRPr="00143B20">
        <w:rPr>
          <w:rFonts w:eastAsia="맑은 고딕"/>
          <w:lang w:val="en-US" w:eastAsia="ko-KR"/>
        </w:rPr>
        <w:t>summarizing any implementation and test burden that would be specific to the candidate waveform.</w:t>
      </w:r>
    </w:p>
    <w:p w14:paraId="0D404661" w14:textId="7E2CCAD0" w:rsidR="00143B20" w:rsidRPr="00143B20" w:rsidRDefault="003E54FE" w:rsidP="00143B20">
      <w:pPr>
        <w:jc w:val="left"/>
        <w:rPr>
          <w:rFonts w:eastAsia="맑은 고딕"/>
          <w:lang w:val="en-US" w:eastAsia="ko-KR"/>
        </w:rPr>
      </w:pPr>
      <w:r>
        <w:rPr>
          <w:rFonts w:eastAsia="맑은 고딕"/>
          <w:lang w:val="en-US" w:eastAsia="ko-KR"/>
        </w:rPr>
        <w:t>T</w:t>
      </w:r>
      <w:r w:rsidR="00143B20" w:rsidRPr="00143B20">
        <w:rPr>
          <w:rFonts w:eastAsia="맑은 고딕"/>
          <w:lang w:val="en-US" w:eastAsia="ko-KR"/>
        </w:rPr>
        <w:t>he main parameters that RAN4 may record for each waveform evaluation case can be listed in a simple, for example:</w:t>
      </w:r>
    </w:p>
    <w:p w14:paraId="1727DCFA" w14:textId="48ADCC13"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link direction (UL or DL);</w:t>
      </w:r>
    </w:p>
    <w:p w14:paraId="32B78012" w14:textId="4D05AD8B"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baseline waveform (</w:t>
      </w:r>
      <w:r w:rsidR="003D5F98" w:rsidRPr="00143B20">
        <w:rPr>
          <w:rFonts w:eastAsia="맑은 고딕"/>
          <w:lang w:val="en-US" w:eastAsia="ko-KR"/>
        </w:rPr>
        <w:t>e.g.,</w:t>
      </w:r>
      <w:r w:rsidRPr="00143B20">
        <w:rPr>
          <w:rFonts w:eastAsia="맑은 고딕"/>
          <w:lang w:val="en-US" w:eastAsia="ko-KR"/>
        </w:rPr>
        <w:t xml:space="preserve"> CP-OFDM, DFT-s-OFDM) and any modification (</w:t>
      </w:r>
      <w:r w:rsidR="003D5F98" w:rsidRPr="00143B20">
        <w:rPr>
          <w:rFonts w:eastAsia="맑은 고딕"/>
          <w:lang w:val="en-US" w:eastAsia="ko-KR"/>
        </w:rPr>
        <w:t>e.g.,</w:t>
      </w:r>
      <w:r w:rsidRPr="00143B20">
        <w:rPr>
          <w:rFonts w:eastAsia="맑은 고딕"/>
          <w:lang w:val="en-US" w:eastAsia="ko-KR"/>
        </w:rPr>
        <w:t xml:space="preserve"> FDSS, spectrum shaping);</w:t>
      </w:r>
    </w:p>
    <w:p w14:paraId="06F7DB20" w14:textId="031F3DB7"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modulation and effective spectral efficiency assumption;</w:t>
      </w:r>
    </w:p>
    <w:p w14:paraId="63F188B8" w14:textId="74DB8DC5"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channel bandwidth and SCS, including any specific channel model and DMRS configuration;</w:t>
      </w:r>
    </w:p>
    <w:p w14:paraId="3CD87901" w14:textId="5D59164D"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PA/Tx-chain assumptions, including MPR, back-off rule, memory effects and, if relevant, DPD;</w:t>
      </w:r>
    </w:p>
    <w:p w14:paraId="384AFDE5" w14:textId="6287B6D1"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applicable RF requirements to be checked (EVM, ACLR, SEM, OBE);</w:t>
      </w:r>
    </w:p>
    <w:p w14:paraId="4D5652EC" w14:textId="204AC3C1"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main performance KPIs (PAPR or CM, required SNR at target BLER, RF margins); and</w:t>
      </w:r>
    </w:p>
    <w:p w14:paraId="03B817E8" w14:textId="77777777" w:rsidR="00143B20" w:rsidRPr="00143B20" w:rsidRDefault="00143B20" w:rsidP="003E54FE">
      <w:pPr>
        <w:numPr>
          <w:ilvl w:val="0"/>
          <w:numId w:val="35"/>
        </w:numPr>
        <w:tabs>
          <w:tab w:val="num" w:pos="720"/>
        </w:tabs>
        <w:ind w:left="720" w:hanging="360"/>
        <w:jc w:val="left"/>
        <w:rPr>
          <w:rFonts w:eastAsia="맑은 고딕"/>
          <w:lang w:val="en-US" w:eastAsia="ko-KR"/>
        </w:rPr>
      </w:pPr>
      <w:r w:rsidRPr="00143B20">
        <w:rPr>
          <w:rFonts w:eastAsia="맑은 고딕"/>
          <w:lang w:val="en-US" w:eastAsia="ko-KR"/>
        </w:rPr>
        <w:t>a short note on implementation complexity and test load.</w:t>
      </w:r>
    </w:p>
    <w:p w14:paraId="30FE77E6" w14:textId="3070C180" w:rsidR="00143B20" w:rsidRPr="00143B20" w:rsidRDefault="00143B20" w:rsidP="00143B20">
      <w:pPr>
        <w:jc w:val="left"/>
        <w:rPr>
          <w:rFonts w:eastAsia="맑은 고딕"/>
          <w:lang w:val="en-US" w:eastAsia="ko-KR"/>
        </w:rPr>
      </w:pPr>
      <w:r w:rsidRPr="00143B20">
        <w:rPr>
          <w:rFonts w:eastAsia="맑은 고딕"/>
          <w:lang w:val="en-US" w:eastAsia="ko-KR"/>
        </w:rPr>
        <w:t>For low-PAPR schemes, Net Gain can be used as a primary link-level figure to combine Tx power gain and SNR degradation in a single metric. In line with the RAN1 agreement, the Net Gain for a given uplink low-PAPR proposal can be expressed as</w:t>
      </w:r>
    </w:p>
    <w:p w14:paraId="243E069F" w14:textId="7E63CDCA" w:rsidR="00143B20" w:rsidRPr="00143B20" w:rsidRDefault="00143B20" w:rsidP="00143B20">
      <w:pPr>
        <w:jc w:val="center"/>
        <w:rPr>
          <w:rFonts w:eastAsia="맑은 고딕"/>
          <w:lang w:val="en-US" w:eastAsia="ko-KR"/>
        </w:rPr>
      </w:pPr>
      <w:r w:rsidRPr="00143B20">
        <w:rPr>
          <w:rFonts w:eastAsia="맑은 고딕"/>
          <w:lang w:val="en-US" w:eastAsia="ko-KR"/>
        </w:rPr>
        <w:t>Net Gain [dB]</w:t>
      </w:r>
      <w:r>
        <w:rPr>
          <w:rFonts w:eastAsia="맑은 고딕"/>
          <w:lang w:val="en-US" w:eastAsia="ko-KR"/>
        </w:rPr>
        <w:t xml:space="preserve"> </w:t>
      </w:r>
      <w:r w:rsidRPr="00143B20">
        <w:rPr>
          <w:rFonts w:eastAsia="맑은 고딕"/>
          <w:lang w:val="en-US" w:eastAsia="ko-KR"/>
        </w:rPr>
        <w:t>=</w:t>
      </w:r>
      <w:r>
        <w:rPr>
          <w:rFonts w:eastAsia="맑은 고딕"/>
          <w:lang w:val="en-US" w:eastAsia="ko-KR"/>
        </w:rPr>
        <w:t xml:space="preserve"> </w:t>
      </w:r>
      <w:r w:rsidRPr="00143B20">
        <w:rPr>
          <w:rFonts w:eastAsia="맑은 고딕"/>
          <w:lang w:val="en-US" w:eastAsia="ko-KR"/>
        </w:rPr>
        <w:t>(Tx power gain relative to reference)</w:t>
      </w:r>
      <w:r>
        <w:rPr>
          <w:rFonts w:eastAsia="맑은 고딕"/>
          <w:lang w:val="en-US" w:eastAsia="ko-KR"/>
        </w:rPr>
        <w:t xml:space="preserve"> </w:t>
      </w:r>
      <w:r w:rsidRPr="00143B20">
        <w:rPr>
          <w:rFonts w:eastAsia="맑은 고딕"/>
          <w:lang w:val="en-US" w:eastAsia="ko-KR"/>
        </w:rPr>
        <w:t>−</w:t>
      </w:r>
      <w:r>
        <w:rPr>
          <w:rFonts w:eastAsia="맑은 고딕"/>
          <w:lang w:val="en-US" w:eastAsia="ko-KR"/>
        </w:rPr>
        <w:t xml:space="preserve"> </w:t>
      </w:r>
      <w:r w:rsidRPr="00143B20">
        <w:rPr>
          <w:rFonts w:eastAsia="맑은 고딕"/>
          <w:lang w:val="en-US" w:eastAsia="ko-KR"/>
        </w:rPr>
        <w:t>(SNR degradation relative to reference at 10% BLER)</w:t>
      </w:r>
      <w:r>
        <w:rPr>
          <w:rFonts w:eastAsia="맑은 고딕"/>
          <w:lang w:val="en-US" w:eastAsia="ko-KR"/>
        </w:rPr>
        <w:t>,</w:t>
      </w:r>
    </w:p>
    <w:p w14:paraId="25DE0A61" w14:textId="6C55C644" w:rsidR="00143B20" w:rsidRPr="00143B20" w:rsidRDefault="00143B20" w:rsidP="00143B20">
      <w:pPr>
        <w:jc w:val="left"/>
        <w:rPr>
          <w:rFonts w:eastAsia="맑은 고딕"/>
          <w:lang w:val="en-US" w:eastAsia="ko-KR"/>
        </w:rPr>
      </w:pPr>
      <w:r w:rsidRPr="00143B20">
        <w:rPr>
          <w:rFonts w:eastAsia="맑은 고딕"/>
          <w:lang w:val="en-US" w:eastAsia="ko-KR"/>
        </w:rPr>
        <w:t>under the assumption of equal spectral efficiency between the proposal and the reference. Here, the Tx power gain is tied to the reduction in required back-off to keep the PA within a suitable operating region</w:t>
      </w:r>
      <w:r w:rsidR="009462E9">
        <w:rPr>
          <w:rFonts w:eastAsia="맑은 고딕"/>
          <w:lang w:val="en-US" w:eastAsia="ko-KR"/>
        </w:rPr>
        <w:t xml:space="preserve"> (PAPR reduction)</w:t>
      </w:r>
      <w:r w:rsidRPr="00143B20">
        <w:rPr>
          <w:rFonts w:eastAsia="맑은 고딕"/>
          <w:lang w:val="en-US" w:eastAsia="ko-KR"/>
        </w:rPr>
        <w:t xml:space="preserve">, and the SNR degradation term is encouraged to include the effects of fading, non-ideal channel estimation (including DMRS configuration) and equalization, so that the resulting Net Gain reflects realistic link conditions rather than idealized </w:t>
      </w:r>
      <w:r w:rsidRPr="00143B20">
        <w:rPr>
          <w:rFonts w:eastAsia="맑은 고딕"/>
          <w:lang w:val="en-US" w:eastAsia="ko-KR"/>
        </w:rPr>
        <w:lastRenderedPageBreak/>
        <w:t xml:space="preserve">AWGN-only behavior. In addition, when calculating Tx power gain, it would be natural for RAN4 to align with its existing </w:t>
      </w:r>
      <w:r w:rsidR="009462E9">
        <w:rPr>
          <w:rFonts w:eastAsia="맑은 고딕"/>
          <w:lang w:val="en-US" w:eastAsia="ko-KR"/>
        </w:rPr>
        <w:t xml:space="preserve">5G </w:t>
      </w:r>
      <w:r w:rsidRPr="00143B20">
        <w:rPr>
          <w:rFonts w:eastAsia="맑은 고딕"/>
          <w:lang w:val="en-US" w:eastAsia="ko-KR"/>
        </w:rPr>
        <w:t xml:space="preserve">Tx-power/MPR </w:t>
      </w:r>
      <w:r w:rsidR="009462E9">
        <w:rPr>
          <w:rFonts w:eastAsia="맑은 고딕"/>
          <w:lang w:val="en-US" w:eastAsia="ko-KR"/>
        </w:rPr>
        <w:t>requirements</w:t>
      </w:r>
      <w:r w:rsidRPr="00143B20">
        <w:rPr>
          <w:rFonts w:eastAsia="맑은 고딕"/>
          <w:lang w:val="en-US" w:eastAsia="ko-KR"/>
        </w:rPr>
        <w:t xml:space="preserve"> so that waveform results remain comparable to other 6G UE RF studies.</w:t>
      </w:r>
    </w:p>
    <w:p w14:paraId="0884C936" w14:textId="1DF52E90" w:rsidR="00143B20" w:rsidRPr="007675B1" w:rsidRDefault="009462E9" w:rsidP="00143B20">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3:</w:t>
      </w:r>
      <w:r w:rsidRPr="007675B1">
        <w:rPr>
          <w:rFonts w:eastAsia="맑은 고딕"/>
          <w:b/>
          <w:bCs/>
          <w:lang w:val="en-US" w:eastAsia="ko-KR"/>
        </w:rPr>
        <w:tab/>
        <w:t>For low-PAPR schemes, Net Gain can be used as a primary link-level figure to combine Tx power gain and SNR degradation in a single metric.</w:t>
      </w:r>
    </w:p>
    <w:p w14:paraId="6207FB04" w14:textId="4B012CE7" w:rsidR="009462E9" w:rsidRPr="007675B1" w:rsidRDefault="009462E9" w:rsidP="00143B20">
      <w:pPr>
        <w:jc w:val="left"/>
        <w:rPr>
          <w:rFonts w:eastAsia="맑은 고딕"/>
          <w:b/>
          <w:bCs/>
          <w:lang w:val="en-US" w:eastAsia="ko-KR"/>
        </w:rPr>
      </w:pPr>
      <w:r w:rsidRPr="007675B1">
        <w:rPr>
          <w:rFonts w:eastAsia="맑은 고딕" w:hint="eastAsia"/>
          <w:b/>
          <w:bCs/>
          <w:lang w:val="en-US" w:eastAsia="ko-KR"/>
        </w:rPr>
        <w:t>P</w:t>
      </w:r>
      <w:r w:rsidRPr="007675B1">
        <w:rPr>
          <w:rFonts w:eastAsia="맑은 고딕"/>
          <w:b/>
          <w:bCs/>
          <w:lang w:val="en-US" w:eastAsia="ko-KR"/>
        </w:rPr>
        <w:t>roposal 1:</w:t>
      </w:r>
      <w:r w:rsidRPr="007675B1">
        <w:rPr>
          <w:rFonts w:eastAsia="맑은 고딕"/>
          <w:b/>
          <w:bCs/>
          <w:lang w:val="en-US" w:eastAsia="ko-KR"/>
        </w:rPr>
        <w:tab/>
      </w:r>
      <w:r w:rsidRPr="007675B1">
        <w:rPr>
          <w:rFonts w:eastAsia="맑은 고딕"/>
          <w:b/>
          <w:bCs/>
          <w:lang w:val="en-US" w:eastAsia="ko-KR"/>
        </w:rPr>
        <w:tab/>
        <w:t>Net Gain for the waveform evaluation should reflect realistic link conditions rather than idealized behavior, if required.</w:t>
      </w:r>
    </w:p>
    <w:p w14:paraId="7865E826" w14:textId="06F5387D" w:rsidR="00143B20" w:rsidRPr="00143B20" w:rsidRDefault="00143B20" w:rsidP="00143B20">
      <w:pPr>
        <w:jc w:val="left"/>
        <w:rPr>
          <w:rFonts w:eastAsia="맑은 고딕"/>
          <w:lang w:val="en-US" w:eastAsia="ko-KR"/>
        </w:rPr>
      </w:pPr>
      <w:r w:rsidRPr="00143B20">
        <w:rPr>
          <w:rFonts w:eastAsia="맑은 고딕"/>
          <w:lang w:val="en-US" w:eastAsia="ko-KR"/>
        </w:rPr>
        <w:t>When applying this framework to specific low-PAPR techniques such as frequency-domain spectrum shaping on uplink DFT-s-OFDM, it has been observed in RAN1 that the performance is sensitive to whether the transmitter and receiver filters are properly matched. Prior studies indicate that a filter mismatch between transmitter and receiver can cause noticeable performance degradation, while non-transparent FDSS, where the shaping filter is known at the receiver and incorporated into channel estimation and detection, avoids this ambiguity and allows the PAPR benefit to translate into effective coverage gain. This suggests that, from a RAN4 evaluation standpoint, cases involving FDSS or similar shaping might explicitly state whether filter information is assumed to be shared with the receiver, and that any penalty arising from receiver mismatch, if such a case is studied, could simply be reflected as part of the SNR degradation term in the Net Gain metric, rather than requiring separate RF measurements or new requirements.</w:t>
      </w:r>
    </w:p>
    <w:p w14:paraId="7887FE80" w14:textId="44F8AC6B" w:rsidR="00143B20" w:rsidRPr="007675B1" w:rsidRDefault="009462E9" w:rsidP="00143B20">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4:</w:t>
      </w:r>
      <w:r w:rsidRPr="007675B1">
        <w:rPr>
          <w:rFonts w:eastAsia="맑은 고딕"/>
          <w:b/>
          <w:bCs/>
          <w:lang w:val="en-US" w:eastAsia="ko-KR"/>
        </w:rPr>
        <w:tab/>
        <w:t>RAN1 observed that the performance of specific low-PAPR techniques such as frequency-domain spectrum shaping on uplink DFT-s-OFDM is sensitive to whether the transmitter and receiver filters are properly matched.</w:t>
      </w:r>
    </w:p>
    <w:p w14:paraId="12FB5DD0" w14:textId="2662F01C" w:rsidR="001035E0" w:rsidRPr="007675B1" w:rsidRDefault="001035E0" w:rsidP="00143B20">
      <w:pPr>
        <w:jc w:val="left"/>
        <w:rPr>
          <w:rFonts w:eastAsia="맑은 고딕"/>
          <w:b/>
          <w:bCs/>
          <w:lang w:val="en-US" w:eastAsia="ko-KR"/>
        </w:rPr>
      </w:pPr>
      <w:r w:rsidRPr="007675B1">
        <w:rPr>
          <w:rFonts w:eastAsia="맑은 고딕"/>
          <w:b/>
          <w:bCs/>
          <w:lang w:val="en-US" w:eastAsia="ko-KR"/>
        </w:rPr>
        <w:t>Proposal 2:</w:t>
      </w:r>
      <w:r w:rsidRPr="007675B1">
        <w:rPr>
          <w:rFonts w:eastAsia="맑은 고딕"/>
          <w:b/>
          <w:bCs/>
          <w:lang w:val="en-US" w:eastAsia="ko-KR"/>
        </w:rPr>
        <w:tab/>
      </w:r>
      <w:r w:rsidRPr="007675B1">
        <w:rPr>
          <w:rFonts w:eastAsia="맑은 고딕"/>
          <w:b/>
          <w:bCs/>
          <w:lang w:val="en-US" w:eastAsia="ko-KR"/>
        </w:rPr>
        <w:tab/>
      </w:r>
      <w:r w:rsidR="00DE5A93" w:rsidRPr="007675B1">
        <w:rPr>
          <w:rFonts w:eastAsia="맑은 고딕"/>
          <w:b/>
          <w:bCs/>
          <w:lang w:val="en-US" w:eastAsia="ko-KR"/>
        </w:rPr>
        <w:t xml:space="preserve">When studying </w:t>
      </w:r>
      <w:r w:rsidRPr="007675B1">
        <w:rPr>
          <w:rFonts w:eastAsia="맑은 고딕"/>
          <w:b/>
          <w:bCs/>
          <w:lang w:val="en-US" w:eastAsia="ko-KR"/>
        </w:rPr>
        <w:t>FDSS</w:t>
      </w:r>
      <w:r w:rsidR="00DE5A93" w:rsidRPr="007675B1">
        <w:rPr>
          <w:rFonts w:eastAsia="맑은 고딕"/>
          <w:b/>
          <w:bCs/>
          <w:lang w:val="en-US" w:eastAsia="ko-KR"/>
        </w:rPr>
        <w:t xml:space="preserve"> on </w:t>
      </w:r>
      <w:r w:rsidRPr="007675B1">
        <w:rPr>
          <w:rFonts w:eastAsia="맑은 고딕"/>
          <w:b/>
          <w:bCs/>
          <w:lang w:val="en-US" w:eastAsia="ko-KR"/>
        </w:rPr>
        <w:t xml:space="preserve">uplink </w:t>
      </w:r>
      <w:r w:rsidR="00DE5A93" w:rsidRPr="007675B1">
        <w:rPr>
          <w:rFonts w:eastAsia="맑은 고딕"/>
          <w:b/>
          <w:bCs/>
          <w:lang w:val="en-US" w:eastAsia="ko-KR"/>
        </w:rPr>
        <w:t>DFT-s-OFDM, the proposed Net Gain should reflect the receiver mismatch.</w:t>
      </w:r>
    </w:p>
    <w:p w14:paraId="6EBE8300" w14:textId="641A1776" w:rsidR="00143B20" w:rsidRDefault="00143B20" w:rsidP="00143B20">
      <w:pPr>
        <w:jc w:val="left"/>
        <w:rPr>
          <w:rFonts w:eastAsia="맑은 고딕"/>
          <w:lang w:val="en-US" w:eastAsia="ko-KR"/>
        </w:rPr>
      </w:pPr>
      <w:r w:rsidRPr="00143B20">
        <w:rPr>
          <w:rFonts w:eastAsia="맑은 고딕"/>
          <w:lang w:val="en-US" w:eastAsia="ko-KR"/>
        </w:rPr>
        <w:t>Finally, in order to keep the study manageable in the early phase, it may be practical that RAN4 focuses first on a small set of representative cases that are consistent with the current RAN1 direction: for example, uplink low-PAPR enhancements of existing DFT-s-OFDM for π/2-BPSK, evaluated under the Net Gain framework, while treating topics such as uplink multi-rank DFT-s-OFDM and downlink DFT-s-OFDM as items that would only be taken up if RAN1 provides clear evidence of meaningful gains from a system perspective. Current RAN1 discussions already indicate that potential benefits of UL rank&gt;1 DFT-s-OFDM and DL DFT-s-OFDM are limited or highly scenario-dependent, and that CP-OFDM remains the downlink basis.</w:t>
      </w:r>
      <w:r>
        <w:rPr>
          <w:rFonts w:eastAsia="맑은 고딕"/>
          <w:lang w:val="en-US" w:eastAsia="ko-KR"/>
        </w:rPr>
        <w:t xml:space="preserve"> </w:t>
      </w:r>
      <w:r w:rsidRPr="00143B20">
        <w:rPr>
          <w:rFonts w:eastAsia="맑은 고딕"/>
          <w:lang w:val="en-US" w:eastAsia="ko-KR"/>
        </w:rPr>
        <w:t>In this context, an evaluation framework centered on existing NR waveforms, low-PAPR enhancements, and Net Gain as an agreed metric appears sufficient for RAN4 to provide early, consistent feedback, while leaving room to expand the case set later in line with future RAN1 conclusions.</w:t>
      </w:r>
    </w:p>
    <w:p w14:paraId="73AE722A" w14:textId="46E5ACD2" w:rsidR="00DE5A93" w:rsidRPr="007675B1" w:rsidRDefault="00DE5A93" w:rsidP="00DE5A93">
      <w:pPr>
        <w:jc w:val="left"/>
        <w:rPr>
          <w:rFonts w:eastAsia="맑은 고딕"/>
          <w:b/>
          <w:bCs/>
          <w:lang w:val="en-US" w:eastAsia="ko-KR"/>
        </w:rPr>
      </w:pPr>
      <w:r w:rsidRPr="007675B1">
        <w:rPr>
          <w:rFonts w:eastAsia="맑은 고딕"/>
          <w:b/>
          <w:bCs/>
          <w:lang w:val="en-US" w:eastAsia="ko-KR"/>
        </w:rPr>
        <w:t>Proposal 3:</w:t>
      </w:r>
      <w:r w:rsidRPr="007675B1">
        <w:rPr>
          <w:rFonts w:eastAsia="맑은 고딕"/>
          <w:b/>
          <w:bCs/>
          <w:lang w:val="en-US" w:eastAsia="ko-KR"/>
        </w:rPr>
        <w:tab/>
      </w:r>
      <w:r w:rsidRPr="007675B1">
        <w:rPr>
          <w:rFonts w:eastAsia="맑은 고딕"/>
          <w:b/>
          <w:bCs/>
          <w:lang w:val="en-US" w:eastAsia="ko-KR"/>
        </w:rPr>
        <w:tab/>
      </w:r>
      <w:r w:rsidR="007675B1" w:rsidRPr="007675B1">
        <w:rPr>
          <w:rFonts w:eastAsia="맑은 고딕"/>
          <w:b/>
          <w:bCs/>
          <w:lang w:val="en-US" w:eastAsia="ko-KR"/>
        </w:rPr>
        <w:t xml:space="preserve">RAN4 focuses first on </w:t>
      </w:r>
      <w:r w:rsidR="007675B1" w:rsidRPr="007675B1">
        <w:rPr>
          <w:b/>
          <w:bCs/>
          <w:szCs w:val="24"/>
          <w:lang w:eastAsia="zh-CN"/>
        </w:rPr>
        <w:t>the foundational evaluation framework</w:t>
      </w:r>
      <w:r w:rsidR="007675B1" w:rsidRPr="007675B1">
        <w:rPr>
          <w:rFonts w:eastAsia="맑은 고딕"/>
          <w:b/>
          <w:bCs/>
          <w:lang w:val="en-US" w:eastAsia="ko-KR"/>
        </w:rPr>
        <w:t>, while treating topics such as uplink multi-rank DFT-s-OFDM and downlink DFT-s-OFDM as items that would only be taken up if RAN1 provides clear evidence of meaningful gains from a system perspective.</w:t>
      </w:r>
    </w:p>
    <w:p w14:paraId="4FF6DE24" w14:textId="6336E379" w:rsidR="00D47344" w:rsidRDefault="00D47344" w:rsidP="00D47344">
      <w:pPr>
        <w:pStyle w:val="2"/>
      </w:pPr>
      <w:r>
        <w:rPr>
          <w:rFonts w:hint="eastAsia"/>
        </w:rPr>
        <w:t>2</w:t>
      </w:r>
      <w:r>
        <w:t>.2</w:t>
      </w:r>
      <w:r>
        <w:tab/>
      </w:r>
      <w:r w:rsidR="007A16CB">
        <w:rPr>
          <w:szCs w:val="24"/>
        </w:rPr>
        <w:t>D</w:t>
      </w:r>
      <w:r w:rsidR="007A16CB" w:rsidRPr="003E4537">
        <w:rPr>
          <w:szCs w:val="24"/>
        </w:rPr>
        <w:t>ifferent waveform candidates and PAPR reduction techniques</w:t>
      </w:r>
    </w:p>
    <w:p w14:paraId="7235A9A0" w14:textId="5D370EC1" w:rsidR="000803CA" w:rsidRPr="000803CA" w:rsidRDefault="007675B1" w:rsidP="000803CA">
      <w:pPr>
        <w:jc w:val="left"/>
        <w:rPr>
          <w:rFonts w:eastAsia="맑은 고딕"/>
          <w:lang w:val="en-US" w:eastAsia="ko-KR"/>
        </w:rPr>
      </w:pPr>
      <w:r>
        <w:rPr>
          <w:rFonts w:eastAsia="맑은 고딕"/>
          <w:lang w:val="en-US" w:eastAsia="ko-KR"/>
        </w:rPr>
        <w:t>According to [2]</w:t>
      </w:r>
      <w:r w:rsidR="000803CA" w:rsidRPr="000803CA">
        <w:rPr>
          <w:rFonts w:eastAsia="맑은 고딕"/>
          <w:lang w:val="en-US" w:eastAsia="ko-KR"/>
        </w:rPr>
        <w:t xml:space="preserve">, waveform discussions in RAN4 are expected to build on RAN1 agreements, with the main focus on evaluating candidate waveforms and low-PAPR techniques from an RF-requirement perspective, rather than introducing new waveforms independently in RAN4. At the same time, the 6G SID emphasizes a single-technology framework and a common design, which discourages early SI-phase studies that are tailored to specific downlink scenarios or device types. In parallel, </w:t>
      </w:r>
      <w:r w:rsidR="000C5858">
        <w:rPr>
          <w:rFonts w:eastAsia="맑은 고딕"/>
          <w:lang w:val="en-US" w:eastAsia="ko-KR"/>
        </w:rPr>
        <w:t>recent</w:t>
      </w:r>
      <w:r w:rsidR="000803CA" w:rsidRPr="000803CA">
        <w:rPr>
          <w:rFonts w:eastAsia="맑은 고딕"/>
          <w:lang w:val="en-US" w:eastAsia="ko-KR"/>
        </w:rPr>
        <w:t xml:space="preserve"> RAN1 </w:t>
      </w:r>
      <w:r w:rsidR="00E6117A">
        <w:rPr>
          <w:rFonts w:eastAsia="맑은 고딕"/>
          <w:lang w:val="en-US" w:eastAsia="ko-KR"/>
        </w:rPr>
        <w:t>studies</w:t>
      </w:r>
      <w:r w:rsidR="000803CA" w:rsidRPr="000803CA">
        <w:rPr>
          <w:rFonts w:eastAsia="맑은 고딕"/>
          <w:lang w:val="en-US" w:eastAsia="ko-KR"/>
        </w:rPr>
        <w:t xml:space="preserve"> on DL DFT-s-OFDM </w:t>
      </w:r>
      <w:r w:rsidR="00E6117A">
        <w:rPr>
          <w:rFonts w:eastAsia="맑은 고딕"/>
          <w:lang w:val="en-US" w:eastAsia="ko-KR"/>
        </w:rPr>
        <w:t>show</w:t>
      </w:r>
      <w:r w:rsidR="000803CA" w:rsidRPr="000803CA">
        <w:rPr>
          <w:rFonts w:eastAsia="맑은 고딕"/>
          <w:lang w:val="en-US" w:eastAsia="ko-KR"/>
        </w:rPr>
        <w:t xml:space="preserve"> that, across key DL use cases such as eMBB, IoT, FR3 and NTN, the practical coverage or efficiency benefit of introducing DFT-s-OFDM on the downlink is negligible, while the scheduling, multiplexing and implementation costs would be significant. </w:t>
      </w:r>
      <w:r w:rsidR="00871582">
        <w:rPr>
          <w:rFonts w:eastAsia="맑은 고딕"/>
          <w:lang w:val="en-US" w:eastAsia="ko-KR"/>
        </w:rPr>
        <w:t xml:space="preserve">Moreover, </w:t>
      </w:r>
      <w:r w:rsidR="00871582" w:rsidRPr="000803CA">
        <w:rPr>
          <w:rFonts w:eastAsia="맑은 고딕"/>
          <w:lang w:val="en-US" w:eastAsia="ko-KR"/>
        </w:rPr>
        <w:t>there seems to be no clear RF-requirement problem in RAN4 that would mandate a dedicated DL DFT-s-OFDM study</w:t>
      </w:r>
      <w:r w:rsidR="00871582">
        <w:rPr>
          <w:rFonts w:eastAsia="맑은 고딕"/>
          <w:lang w:val="en-US" w:eastAsia="ko-KR"/>
        </w:rPr>
        <w:t>.</w:t>
      </w:r>
      <w:r w:rsidR="00871582" w:rsidRPr="000803CA">
        <w:rPr>
          <w:rFonts w:eastAsia="맑은 고딕"/>
          <w:lang w:val="en-US" w:eastAsia="ko-KR"/>
        </w:rPr>
        <w:t xml:space="preserve"> </w:t>
      </w:r>
      <w:r w:rsidR="000803CA" w:rsidRPr="000803CA">
        <w:rPr>
          <w:rFonts w:eastAsia="맑은 고딕"/>
          <w:lang w:val="en-US" w:eastAsia="ko-KR"/>
        </w:rPr>
        <w:t>Given these points, it appears reasonable that RAN4 does not initiate a separate SI-level RF study on DL DFT-s-OFDM at this stage, and instead maintains CP-OFDM as the downlink baseline until and unless RAN1 reaches a different conclusion and provides concrete DL waveform requests.</w:t>
      </w:r>
      <w:r w:rsidR="00AF779D">
        <w:rPr>
          <w:rFonts w:eastAsia="맑은 고딕"/>
          <w:lang w:val="en-US" w:eastAsia="ko-KR"/>
        </w:rPr>
        <w:t xml:space="preserve"> </w:t>
      </w:r>
    </w:p>
    <w:p w14:paraId="0FB951FE" w14:textId="020A1531" w:rsidR="000803CA" w:rsidRPr="00871582" w:rsidRDefault="00E6117A" w:rsidP="000803CA">
      <w:pPr>
        <w:jc w:val="left"/>
        <w:rPr>
          <w:rFonts w:eastAsia="맑은 고딕"/>
          <w:b/>
          <w:bCs/>
          <w:lang w:val="en-US" w:eastAsia="ko-KR"/>
        </w:rPr>
      </w:pPr>
      <w:r w:rsidRPr="00871582">
        <w:rPr>
          <w:rFonts w:eastAsia="맑은 고딕" w:hint="eastAsia"/>
          <w:b/>
          <w:bCs/>
          <w:lang w:val="en-US" w:eastAsia="ko-KR"/>
        </w:rPr>
        <w:t>O</w:t>
      </w:r>
      <w:r w:rsidRPr="00871582">
        <w:rPr>
          <w:rFonts w:eastAsia="맑은 고딕"/>
          <w:b/>
          <w:bCs/>
          <w:lang w:val="en-US" w:eastAsia="ko-KR"/>
        </w:rPr>
        <w:t>bservation 5:</w:t>
      </w:r>
      <w:r w:rsidRPr="00871582">
        <w:rPr>
          <w:rFonts w:eastAsia="맑은 고딕"/>
          <w:b/>
          <w:bCs/>
          <w:lang w:val="en-US" w:eastAsia="ko-KR"/>
        </w:rPr>
        <w:tab/>
        <w:t>RAN4 agreed that waveform discussions in RAN4 are expected to build on RAN1 agreements, with the main focus on evaluating candidate waveforms and low-PAPR techniques from an RF-requirement perspective, rather than introducing new waveforms independently in RAN4.</w:t>
      </w:r>
    </w:p>
    <w:p w14:paraId="57DBA8FB" w14:textId="45616406" w:rsidR="000C5858" w:rsidRPr="00871582" w:rsidRDefault="000C5858" w:rsidP="000803CA">
      <w:pPr>
        <w:jc w:val="left"/>
        <w:rPr>
          <w:rFonts w:eastAsia="맑은 고딕"/>
          <w:b/>
          <w:bCs/>
          <w:lang w:val="en-US" w:eastAsia="ko-KR"/>
        </w:rPr>
      </w:pPr>
      <w:r w:rsidRPr="00871582">
        <w:rPr>
          <w:rFonts w:eastAsia="맑은 고딕" w:hint="eastAsia"/>
          <w:b/>
          <w:bCs/>
          <w:lang w:val="en-US" w:eastAsia="ko-KR"/>
        </w:rPr>
        <w:lastRenderedPageBreak/>
        <w:t>O</w:t>
      </w:r>
      <w:r w:rsidRPr="00871582">
        <w:rPr>
          <w:rFonts w:eastAsia="맑은 고딕"/>
          <w:b/>
          <w:bCs/>
          <w:lang w:val="en-US" w:eastAsia="ko-KR"/>
        </w:rPr>
        <w:t>bservation 6:</w:t>
      </w:r>
      <w:r w:rsidRPr="00871582">
        <w:rPr>
          <w:rFonts w:eastAsia="맑은 고딕"/>
          <w:b/>
          <w:bCs/>
          <w:lang w:val="en-US" w:eastAsia="ko-KR"/>
        </w:rPr>
        <w:tab/>
        <w:t>6G SID emphasizes a single-technology framework and a common design, which discourages early SI-phase studies that are tailored to specific downlink scenarios or device types.</w:t>
      </w:r>
    </w:p>
    <w:p w14:paraId="444717EA" w14:textId="49964357" w:rsidR="000C5858" w:rsidRPr="00871582" w:rsidRDefault="000C5858" w:rsidP="000803CA">
      <w:pPr>
        <w:jc w:val="left"/>
        <w:rPr>
          <w:rFonts w:eastAsia="맑은 고딕"/>
          <w:b/>
          <w:bCs/>
          <w:lang w:val="en-US" w:eastAsia="ko-KR"/>
        </w:rPr>
      </w:pPr>
      <w:r w:rsidRPr="00871582">
        <w:rPr>
          <w:rFonts w:eastAsia="맑은 고딕" w:hint="eastAsia"/>
          <w:b/>
          <w:bCs/>
          <w:lang w:val="en-US" w:eastAsia="ko-KR"/>
        </w:rPr>
        <w:t>O</w:t>
      </w:r>
      <w:r w:rsidRPr="00871582">
        <w:rPr>
          <w:rFonts w:eastAsia="맑은 고딕"/>
          <w:b/>
          <w:bCs/>
          <w:lang w:val="en-US" w:eastAsia="ko-KR"/>
        </w:rPr>
        <w:t>bservation 7:</w:t>
      </w:r>
      <w:r w:rsidRPr="00871582">
        <w:rPr>
          <w:rFonts w:eastAsia="맑은 고딕"/>
          <w:b/>
          <w:bCs/>
          <w:lang w:val="en-US" w:eastAsia="ko-KR"/>
        </w:rPr>
        <w:tab/>
        <w:t>Recent RAN1 studies on DL DFT-s-OFDM show that the practical coverage or efficiency benefit of introducing DFT-s-OFDM on the downlink is negligible, while the scheduling, multiplexing and implementation costs would be significant.</w:t>
      </w:r>
    </w:p>
    <w:p w14:paraId="24A243E3" w14:textId="516A5CAF" w:rsidR="000C5858" w:rsidRPr="00871582" w:rsidRDefault="000C5858" w:rsidP="000803CA">
      <w:pPr>
        <w:jc w:val="left"/>
        <w:rPr>
          <w:rFonts w:eastAsia="맑은 고딕"/>
          <w:b/>
          <w:bCs/>
          <w:lang w:val="en-US" w:eastAsia="ko-KR"/>
        </w:rPr>
      </w:pPr>
      <w:r w:rsidRPr="00871582">
        <w:rPr>
          <w:rFonts w:eastAsia="맑은 고딕"/>
          <w:b/>
          <w:bCs/>
          <w:lang w:val="en-US" w:eastAsia="ko-KR"/>
        </w:rPr>
        <w:t>Proposal 4:</w:t>
      </w:r>
      <w:r w:rsidRPr="00871582">
        <w:rPr>
          <w:rFonts w:eastAsia="맑은 고딕"/>
          <w:b/>
          <w:bCs/>
          <w:lang w:val="en-US" w:eastAsia="ko-KR"/>
        </w:rPr>
        <w:tab/>
      </w:r>
      <w:r w:rsidRPr="00871582">
        <w:rPr>
          <w:rFonts w:eastAsia="맑은 고딕"/>
          <w:b/>
          <w:bCs/>
          <w:lang w:val="en-US" w:eastAsia="ko-KR"/>
        </w:rPr>
        <w:tab/>
        <w:t>RAN4 should not initiate a separate SI-level RF study on DL DFT-s-OFDM at this stage unless RAN1 reaches a different conclusion and provides concrete DL waveform requests.</w:t>
      </w:r>
    </w:p>
    <w:p w14:paraId="352E67AA" w14:textId="6511A603" w:rsidR="00594721" w:rsidRDefault="000803CA" w:rsidP="00594721">
      <w:pPr>
        <w:jc w:val="left"/>
        <w:rPr>
          <w:rFonts w:eastAsia="맑은 고딕"/>
          <w:lang w:val="en-US" w:eastAsia="ko-KR"/>
        </w:rPr>
      </w:pPr>
      <w:r w:rsidRPr="000803CA">
        <w:rPr>
          <w:rFonts w:eastAsia="맑은 고딕"/>
          <w:lang w:val="en-US" w:eastAsia="ko-KR"/>
        </w:rPr>
        <w:t xml:space="preserve">For the uplink, the situation is different, as PAPR reduction on DFT-s-OFDM for π/2-BPSK remains a natural candidate for improving UL coverage. The WF notes that RAN4 may consider PAPR reduction techniques together with UE PA behavior (MPR-0, memory effects, DPD, etc.) when evaluating 6GR UL performance. In this area, RAN1 has already </w:t>
      </w:r>
      <w:r w:rsidR="00594721">
        <w:rPr>
          <w:rFonts w:eastAsia="맑은 고딕"/>
          <w:lang w:val="en-US" w:eastAsia="ko-KR"/>
        </w:rPr>
        <w:t xml:space="preserve">been </w:t>
      </w:r>
      <w:r w:rsidR="00871582">
        <w:rPr>
          <w:rFonts w:eastAsia="맑은 고딕"/>
          <w:lang w:val="en-US" w:eastAsia="ko-KR"/>
        </w:rPr>
        <w:t>proposed</w:t>
      </w:r>
      <w:r w:rsidRPr="000803CA">
        <w:rPr>
          <w:rFonts w:eastAsia="맑은 고딕"/>
          <w:lang w:val="en-US" w:eastAsia="ko-KR"/>
        </w:rPr>
        <w:t xml:space="preserve"> </w:t>
      </w:r>
      <w:r w:rsidR="00594721">
        <w:rPr>
          <w:rFonts w:eastAsia="맑은 고딕"/>
          <w:lang w:val="en-US" w:eastAsia="ko-KR"/>
        </w:rPr>
        <w:t xml:space="preserve">by </w:t>
      </w:r>
      <w:r w:rsidRPr="000803CA">
        <w:rPr>
          <w:rFonts w:eastAsia="맑은 고딕"/>
          <w:lang w:val="en-US" w:eastAsia="ko-KR"/>
        </w:rPr>
        <w:t>frequency-domain spectrum shaping (FDSS) with a Half-Sine Pulse (HSP) filter applied to π/2-BPSK DFT-s-OFDM</w:t>
      </w:r>
      <w:r w:rsidR="00594721">
        <w:rPr>
          <w:rFonts w:eastAsia="맑은 고딕"/>
          <w:lang w:val="en-US" w:eastAsia="ko-KR"/>
        </w:rPr>
        <w:t xml:space="preserve">. </w:t>
      </w:r>
      <w:r w:rsidR="00594721" w:rsidRPr="00125C2C">
        <w:rPr>
          <w:rFonts w:eastAsia="맑은 고딕"/>
          <w:lang w:val="en-US" w:eastAsia="ko-KR"/>
        </w:rPr>
        <w:t xml:space="preserve">Figure 1 illustrates the transmitter block diagram of FDSS with spectrum extension (FDSS-SE). On top of DFT-s-OFDM, well-designed filter with spectrum extension can be applied. Given the number of modulated symbols (or DFT size) </w:t>
      </w:r>
      <m:oMath>
        <m:r>
          <w:rPr>
            <w:rFonts w:ascii="Cambria Math" w:eastAsia="맑은 고딕" w:hAnsi="Cambria Math"/>
            <w:lang w:val="en-US" w:eastAsia="ko-KR"/>
          </w:rPr>
          <m:t>M</m:t>
        </m:r>
      </m:oMath>
      <w:r w:rsidR="00594721" w:rsidRPr="00125C2C">
        <w:rPr>
          <w:rFonts w:eastAsia="맑은 고딕"/>
          <w:lang w:val="en-US" w:eastAsia="ko-KR"/>
        </w:rPr>
        <w:t xml:space="preserve"> and the filter length </w:t>
      </w:r>
      <m:oMath>
        <m:r>
          <w:rPr>
            <w:rFonts w:ascii="Cambria Math" w:eastAsia="맑은 고딕" w:hAnsi="Cambria Math"/>
            <w:lang w:val="en-US" w:eastAsia="ko-KR"/>
          </w:rPr>
          <m:t>L</m:t>
        </m:r>
      </m:oMath>
      <w:r w:rsidR="00594721" w:rsidRPr="00125C2C">
        <w:rPr>
          <w:rFonts w:eastAsia="맑은 고딕"/>
          <w:lang w:val="en-US" w:eastAsia="ko-KR"/>
        </w:rPr>
        <w:t>, the SE ratio</w:t>
      </w:r>
      <w:r w:rsidR="00594721" w:rsidRPr="00125C2C">
        <w:rPr>
          <w:rFonts w:eastAsia="맑은 고딕" w:hint="eastAsia"/>
          <w:lang w:val="en-US" w:eastAsia="ko-KR"/>
        </w:rPr>
        <w:t xml:space="preserve"> is defined as</w:t>
      </w:r>
      <m:oMath>
        <m:r>
          <m:rPr>
            <m:sty m:val="p"/>
          </m:rPr>
          <w:rPr>
            <w:rFonts w:ascii="Cambria Math" w:eastAsia="맑은 고딕" w:hAnsi="Cambria Math"/>
            <w:lang w:val="en-US" w:eastAsia="ko-KR"/>
          </w:rPr>
          <m:t xml:space="preserve"> </m:t>
        </m:r>
        <m:r>
          <w:rPr>
            <w:rFonts w:ascii="Cambria Math" w:eastAsia="맑은 고딕" w:hAnsi="Cambria Math"/>
            <w:lang w:val="en-US" w:eastAsia="ko-KR"/>
          </w:rPr>
          <m:t>Q</m:t>
        </m:r>
        <m:r>
          <m:rPr>
            <m:sty m:val="p"/>
          </m:rPr>
          <w:rPr>
            <w:rFonts w:ascii="Cambria Math" w:eastAsia="맑은 고딕" w:hAnsi="Cambria Math"/>
            <w:lang w:val="en-US" w:eastAsia="ko-KR"/>
          </w:rPr>
          <m:t>=(</m:t>
        </m:r>
        <m:r>
          <w:rPr>
            <w:rFonts w:ascii="Cambria Math" w:eastAsia="맑은 고딕" w:hAnsi="Cambria Math"/>
            <w:lang w:val="en-US" w:eastAsia="ko-KR"/>
          </w:rPr>
          <m:t>L</m:t>
        </m:r>
        <m:r>
          <m:rPr>
            <m:sty m:val="p"/>
          </m:rPr>
          <w:rPr>
            <w:rFonts w:ascii="Cambria Math" w:eastAsia="맑은 고딕" w:hAnsi="Cambria Math"/>
            <w:lang w:val="en-US" w:eastAsia="ko-KR"/>
          </w:rPr>
          <m:t>-</m:t>
        </m:r>
        <m:r>
          <w:rPr>
            <w:rFonts w:ascii="Cambria Math" w:eastAsia="맑은 고딕" w:hAnsi="Cambria Math"/>
            <w:lang w:val="en-US" w:eastAsia="ko-KR"/>
          </w:rPr>
          <m:t>M</m:t>
        </m:r>
        <m:r>
          <m:rPr>
            <m:sty m:val="p"/>
          </m:rPr>
          <w:rPr>
            <w:rFonts w:ascii="Cambria Math" w:eastAsia="맑은 고딕" w:hAnsi="Cambria Math"/>
            <w:lang w:val="en-US" w:eastAsia="ko-KR"/>
          </w:rPr>
          <m:t>)/</m:t>
        </m:r>
        <m:r>
          <w:rPr>
            <w:rFonts w:ascii="Cambria Math" w:eastAsia="맑은 고딕" w:hAnsi="Cambria Math"/>
            <w:lang w:val="en-US" w:eastAsia="ko-KR"/>
          </w:rPr>
          <m:t>M</m:t>
        </m:r>
      </m:oMath>
      <w:r w:rsidR="00594721" w:rsidRPr="00125C2C">
        <w:rPr>
          <w:rFonts w:eastAsia="맑은 고딕"/>
          <w:lang w:val="en-US" w:eastAsia="ko-KR"/>
        </w:rPr>
        <w:t xml:space="preserve">. </w:t>
      </w:r>
    </w:p>
    <w:p w14:paraId="504BC411" w14:textId="77777777" w:rsidR="00594721" w:rsidRPr="00125C2C" w:rsidRDefault="00594721" w:rsidP="00594721">
      <w:pPr>
        <w:jc w:val="left"/>
        <w:rPr>
          <w:rFonts w:eastAsia="맑은 고딕"/>
          <w:lang w:val="en-US" w:eastAsia="ko-KR"/>
        </w:rPr>
      </w:pPr>
      <w:r w:rsidRPr="00125C2C">
        <w:rPr>
          <w:rFonts w:eastAsia="맑은 고딕"/>
          <w:noProof/>
          <w:lang w:val="en-US" w:eastAsia="ko-KR"/>
        </w:rPr>
        <w:drawing>
          <wp:inline distT="0" distB="0" distL="0" distR="0" wp14:anchorId="703F5A05" wp14:editId="496D5B64">
            <wp:extent cx="6050212" cy="1892174"/>
            <wp:effectExtent l="0" t="0" r="8255" b="0"/>
            <wp:docPr id="5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10"/>
                    <a:srcRect t="-12828" b="-11419"/>
                    <a:stretch/>
                  </pic:blipFill>
                  <pic:spPr bwMode="auto">
                    <a:xfrm>
                      <a:off x="0" y="0"/>
                      <a:ext cx="6077238" cy="1900626"/>
                    </a:xfrm>
                    <a:prstGeom prst="rect">
                      <a:avLst/>
                    </a:prstGeom>
                    <a:ln>
                      <a:noFill/>
                    </a:ln>
                    <a:extLst>
                      <a:ext uri="{53640926-AAD7-44D8-BBD7-CCE9431645EC}">
                        <a14:shadowObscured xmlns:a14="http://schemas.microsoft.com/office/drawing/2010/main"/>
                      </a:ext>
                    </a:extLst>
                  </pic:spPr>
                </pic:pic>
              </a:graphicData>
            </a:graphic>
          </wp:inline>
        </w:drawing>
      </w:r>
    </w:p>
    <w:p w14:paraId="05AD9BD1" w14:textId="77777777" w:rsidR="00594721" w:rsidRPr="00125C2C" w:rsidRDefault="00594721" w:rsidP="00594721">
      <w:pPr>
        <w:jc w:val="center"/>
        <w:rPr>
          <w:rFonts w:eastAsia="맑은 고딕"/>
          <w:b/>
          <w:bCs/>
          <w:lang w:val="en-US" w:eastAsia="ko-KR"/>
        </w:rPr>
      </w:pPr>
      <w:r w:rsidRPr="00125C2C">
        <w:rPr>
          <w:rFonts w:eastAsia="맑은 고딕"/>
          <w:b/>
          <w:bCs/>
          <w:lang w:val="en-US" w:eastAsia="ko-KR"/>
        </w:rPr>
        <w:t xml:space="preserve">Figure </w:t>
      </w:r>
      <w:r w:rsidRPr="00125C2C">
        <w:rPr>
          <w:rFonts w:eastAsia="맑은 고딕"/>
          <w:b/>
          <w:bCs/>
          <w:lang w:val="en-US" w:eastAsia="ko-KR"/>
        </w:rPr>
        <w:fldChar w:fldCharType="begin"/>
      </w:r>
      <w:r w:rsidRPr="00125C2C">
        <w:rPr>
          <w:rFonts w:eastAsia="맑은 고딕"/>
          <w:b/>
          <w:bCs/>
          <w:lang w:val="en-US" w:eastAsia="ko-KR"/>
        </w:rPr>
        <w:instrText xml:space="preserve"> SEQ Figure \* ARABIC </w:instrText>
      </w:r>
      <w:r w:rsidRPr="00125C2C">
        <w:rPr>
          <w:rFonts w:eastAsia="맑은 고딕"/>
          <w:b/>
          <w:bCs/>
          <w:lang w:val="en-US" w:eastAsia="ko-KR"/>
        </w:rPr>
        <w:fldChar w:fldCharType="separate"/>
      </w:r>
      <w:r w:rsidRPr="00125C2C">
        <w:rPr>
          <w:rFonts w:eastAsia="맑은 고딕"/>
          <w:b/>
          <w:bCs/>
          <w:lang w:val="en-US" w:eastAsia="ko-KR"/>
        </w:rPr>
        <w:t>1</w:t>
      </w:r>
      <w:r w:rsidRPr="00125C2C">
        <w:rPr>
          <w:rFonts w:eastAsia="맑은 고딕"/>
          <w:lang w:val="en-US" w:eastAsia="ko-KR"/>
        </w:rPr>
        <w:fldChar w:fldCharType="end"/>
      </w:r>
      <w:r w:rsidRPr="00125C2C">
        <w:rPr>
          <w:rFonts w:eastAsia="맑은 고딕"/>
          <w:b/>
          <w:bCs/>
          <w:lang w:val="en-US" w:eastAsia="ko-KR"/>
        </w:rPr>
        <w:t>. Transmitter block diagram of DFT-s-OFDM with FDSS-SE</w:t>
      </w:r>
    </w:p>
    <w:p w14:paraId="79B5EE2C" w14:textId="5C7B0DA3" w:rsidR="00125C2C" w:rsidRDefault="00594721" w:rsidP="00125C2C">
      <w:pPr>
        <w:jc w:val="left"/>
        <w:rPr>
          <w:rFonts w:eastAsia="맑은 고딕"/>
          <w:lang w:val="en-US" w:eastAsia="ko-KR"/>
        </w:rPr>
      </w:pPr>
      <w:r>
        <w:rPr>
          <w:rFonts w:eastAsia="맑은 고딕"/>
          <w:lang w:val="en-US" w:eastAsia="ko-KR"/>
        </w:rPr>
        <w:t xml:space="preserve">The </w:t>
      </w:r>
      <w:r w:rsidRPr="00594721">
        <w:rPr>
          <w:rFonts w:eastAsia="맑은 고딕"/>
          <w:lang w:val="en-US" w:eastAsia="ko-KR"/>
        </w:rPr>
        <w:t xml:space="preserve">DFT-s-OFDM with FDSS-SE </w:t>
      </w:r>
      <w:r>
        <w:rPr>
          <w:rFonts w:eastAsia="맑은 고딕"/>
          <w:lang w:val="en-US" w:eastAsia="ko-KR"/>
        </w:rPr>
        <w:t xml:space="preserve">also </w:t>
      </w:r>
      <w:r w:rsidR="000803CA" w:rsidRPr="000803CA">
        <w:rPr>
          <w:rFonts w:eastAsia="맑은 고딕"/>
          <w:lang w:val="en-US" w:eastAsia="ko-KR"/>
        </w:rPr>
        <w:t>observed that non-transparent FDSS (where the shaping filter is known at the receiver) can achieve very low PAPR, below 1 dB, while still meeting in-band emission requirements without increasing the effective occupied bandwidth under reasonable spectrum-extension ratios. The same study further reports that, under equal spectral efficiency and with proper Tx/Rx filter matching, such schemes can translate the PAPR gain into a meaningful Net Gain and hence coverage improvement when evaluated with fading channels, practical DMRS-based channel estimation and linear equalization.</w:t>
      </w:r>
      <w:r w:rsidR="00125C2C">
        <w:rPr>
          <w:rFonts w:eastAsia="맑은 고딕"/>
          <w:lang w:val="en-US" w:eastAsia="ko-KR"/>
        </w:rPr>
        <w:t xml:space="preserve"> </w:t>
      </w:r>
    </w:p>
    <w:p w14:paraId="195DE8C4" w14:textId="5E310844" w:rsidR="00125C2C" w:rsidRPr="0024633D" w:rsidRDefault="00125C2C" w:rsidP="00125C2C">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8:</w:t>
      </w:r>
      <w:r w:rsidRPr="0024633D">
        <w:rPr>
          <w:rFonts w:eastAsia="맑은 고딕"/>
          <w:b/>
          <w:bCs/>
          <w:lang w:val="en-US" w:eastAsia="ko-KR"/>
        </w:rPr>
        <w:tab/>
        <w:t>RAN4 agreed that PAPR reduction techniques can be considered together with UE PA behavior (MPR-0, memory effects, DPD, etc.) when evaluating 6GR UL performance.</w:t>
      </w:r>
    </w:p>
    <w:p w14:paraId="4A44F0B9" w14:textId="504FF7E0" w:rsidR="00125C2C" w:rsidRPr="00125C2C" w:rsidRDefault="00125C2C" w:rsidP="00594721">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9:</w:t>
      </w:r>
      <w:r w:rsidRPr="0024633D">
        <w:rPr>
          <w:rFonts w:eastAsia="맑은 고딕"/>
          <w:b/>
          <w:bCs/>
          <w:lang w:val="en-US" w:eastAsia="ko-KR"/>
        </w:rPr>
        <w:tab/>
        <w:t xml:space="preserve">FDSS with a HSP filter applied to π/2-BPSK DFT-s-OFDM </w:t>
      </w:r>
      <w:r w:rsidR="00C97E71" w:rsidRPr="0024633D">
        <w:rPr>
          <w:rFonts w:eastAsia="맑은 고딕"/>
          <w:b/>
          <w:bCs/>
          <w:lang w:val="en-US" w:eastAsia="ko-KR"/>
        </w:rPr>
        <w:t xml:space="preserve">with </w:t>
      </w:r>
      <w:r w:rsidRPr="0024633D">
        <w:rPr>
          <w:rFonts w:eastAsia="맑은 고딕"/>
          <w:b/>
          <w:bCs/>
          <w:lang w:val="en-US" w:eastAsia="ko-KR"/>
        </w:rPr>
        <w:t>non-transparent FDSS can achieve very low PAPR, below 1 dB</w:t>
      </w:r>
      <w:r w:rsidR="00C97E71" w:rsidRPr="0024633D">
        <w:rPr>
          <w:rFonts w:eastAsia="맑은 고딕"/>
          <w:b/>
          <w:bCs/>
          <w:lang w:val="en-US" w:eastAsia="ko-KR"/>
        </w:rPr>
        <w:t xml:space="preserve"> while still meeting in-band emission requirements under reasonable spectrum-extension ratios.</w:t>
      </w:r>
    </w:p>
    <w:p w14:paraId="03B2420B" w14:textId="556C3427" w:rsidR="00125C2C" w:rsidRPr="000803CA" w:rsidRDefault="00125C2C" w:rsidP="00125C2C">
      <w:pPr>
        <w:jc w:val="left"/>
        <w:rPr>
          <w:rFonts w:eastAsia="맑은 고딕"/>
          <w:lang w:val="en-US" w:eastAsia="ko-KR"/>
        </w:rPr>
      </w:pPr>
      <w:r>
        <w:rPr>
          <w:rFonts w:eastAsia="맑은 고딕"/>
          <w:lang w:val="en-US" w:eastAsia="ko-KR"/>
        </w:rPr>
        <w:t xml:space="preserve">In RAN4, </w:t>
      </w:r>
      <w:r w:rsidR="00594721">
        <w:rPr>
          <w:rFonts w:eastAsia="맑은 고딕"/>
          <w:lang w:val="en-US" w:eastAsia="ko-KR"/>
        </w:rPr>
        <w:t xml:space="preserve">it </w:t>
      </w:r>
      <w:r w:rsidR="000803CA" w:rsidRPr="000803CA">
        <w:rPr>
          <w:rFonts w:eastAsia="맑은 고딕"/>
          <w:lang w:val="en-US" w:eastAsia="ko-KR"/>
        </w:rPr>
        <w:t>would primarily be confirming that such low-PAPR proposals, which are already under study in RAN1, can be evaluated consistently from an RF perspective using the agreed Net Gain metric and existing RF requirements, without needing to introduce a new waveform category.</w:t>
      </w:r>
      <w:r>
        <w:rPr>
          <w:rFonts w:eastAsia="맑은 고딕"/>
          <w:lang w:val="en-US" w:eastAsia="ko-KR"/>
        </w:rPr>
        <w:t xml:space="preserve"> For early study set in </w:t>
      </w:r>
      <w:r w:rsidRPr="000803CA">
        <w:rPr>
          <w:rFonts w:eastAsia="맑은 고딕"/>
          <w:lang w:val="en-US" w:eastAsia="ko-KR"/>
        </w:rPr>
        <w:t>RAN4</w:t>
      </w:r>
      <w:r>
        <w:rPr>
          <w:rFonts w:eastAsia="맑은 고딕"/>
          <w:lang w:val="en-US" w:eastAsia="ko-KR"/>
        </w:rPr>
        <w:t xml:space="preserve"> on </w:t>
      </w:r>
      <w:r w:rsidRPr="000803CA">
        <w:rPr>
          <w:rFonts w:eastAsia="맑은 고딕"/>
          <w:lang w:val="en-US" w:eastAsia="ko-KR"/>
        </w:rPr>
        <w:t xml:space="preserve">uplink low-PAPR enhancements, it may therefore be sufficient to focus on representative non-transparent FDSS cases applied to π/2-BPSK DFT-s-OFDM and to </w:t>
      </w:r>
      <w:r w:rsidR="00C97E71">
        <w:rPr>
          <w:rFonts w:eastAsia="맑은 고딕"/>
          <w:lang w:val="en-US" w:eastAsia="ko-KR"/>
        </w:rPr>
        <w:t>check</w:t>
      </w:r>
      <w:r w:rsidRPr="000803CA">
        <w:rPr>
          <w:rFonts w:eastAsia="맑은 고딕"/>
          <w:lang w:val="en-US" w:eastAsia="ko-KR"/>
        </w:rPr>
        <w:t xml:space="preserve"> parameters such as:</w:t>
      </w:r>
    </w:p>
    <w:p w14:paraId="689C44DC" w14:textId="77777777" w:rsidR="00125C2C" w:rsidRPr="000803CA" w:rsidRDefault="00125C2C" w:rsidP="00125C2C">
      <w:pPr>
        <w:pStyle w:val="afc"/>
        <w:numPr>
          <w:ilvl w:val="0"/>
          <w:numId w:val="36"/>
        </w:numPr>
        <w:ind w:firstLineChars="0"/>
        <w:jc w:val="left"/>
        <w:rPr>
          <w:rFonts w:eastAsia="맑은 고딕"/>
          <w:lang w:val="en-US" w:eastAsia="ko-KR"/>
        </w:rPr>
      </w:pPr>
      <w:r w:rsidRPr="000803CA">
        <w:rPr>
          <w:rFonts w:eastAsia="맑은 고딕"/>
          <w:lang w:val="en-US" w:eastAsia="ko-KR"/>
        </w:rPr>
        <w:t>the considered UL waveform (DFT-s-OFDM) and the low-PAPR method (e.g., FDSS with HSP filter and a given spectrum-extension ratio);</w:t>
      </w:r>
    </w:p>
    <w:p w14:paraId="4E0A93D9" w14:textId="77777777" w:rsidR="00125C2C" w:rsidRPr="000803CA" w:rsidRDefault="00125C2C" w:rsidP="00125C2C">
      <w:pPr>
        <w:pStyle w:val="afc"/>
        <w:numPr>
          <w:ilvl w:val="0"/>
          <w:numId w:val="36"/>
        </w:numPr>
        <w:ind w:firstLineChars="0"/>
        <w:jc w:val="left"/>
        <w:rPr>
          <w:rFonts w:eastAsia="맑은 고딕"/>
          <w:lang w:val="en-US" w:eastAsia="ko-KR"/>
        </w:rPr>
      </w:pPr>
      <w:r w:rsidRPr="000803CA">
        <w:rPr>
          <w:rFonts w:eastAsia="맑은 고딕"/>
          <w:lang w:val="en-US" w:eastAsia="ko-KR"/>
        </w:rPr>
        <w:t>the modulation and effective spectral efficiency, including any change due to shaping;</w:t>
      </w:r>
    </w:p>
    <w:p w14:paraId="06D6C334" w14:textId="77777777" w:rsidR="00125C2C" w:rsidRPr="000803CA" w:rsidRDefault="00125C2C" w:rsidP="00125C2C">
      <w:pPr>
        <w:pStyle w:val="afc"/>
        <w:numPr>
          <w:ilvl w:val="0"/>
          <w:numId w:val="36"/>
        </w:numPr>
        <w:ind w:firstLineChars="0"/>
        <w:jc w:val="left"/>
        <w:rPr>
          <w:rFonts w:eastAsia="맑은 고딕"/>
          <w:lang w:val="en-US" w:eastAsia="ko-KR"/>
        </w:rPr>
      </w:pPr>
      <w:r w:rsidRPr="000803CA">
        <w:rPr>
          <w:rFonts w:eastAsia="맑은 고딕"/>
          <w:lang w:val="en-US" w:eastAsia="ko-KR"/>
        </w:rPr>
        <w:t>the assumed PA behavior (MPR, back-off, memory effects, and any DPD usage);</w:t>
      </w:r>
    </w:p>
    <w:p w14:paraId="780B4D6C" w14:textId="77777777" w:rsidR="00125C2C" w:rsidRPr="000803CA" w:rsidRDefault="00125C2C" w:rsidP="00125C2C">
      <w:pPr>
        <w:pStyle w:val="afc"/>
        <w:numPr>
          <w:ilvl w:val="0"/>
          <w:numId w:val="36"/>
        </w:numPr>
        <w:ind w:firstLineChars="0"/>
        <w:jc w:val="left"/>
        <w:rPr>
          <w:rFonts w:eastAsia="맑은 고딕"/>
          <w:lang w:val="en-US" w:eastAsia="ko-KR"/>
        </w:rPr>
      </w:pPr>
      <w:r w:rsidRPr="000803CA">
        <w:rPr>
          <w:rFonts w:eastAsia="맑은 고딕"/>
          <w:lang w:val="en-US" w:eastAsia="ko-KR"/>
        </w:rPr>
        <w:t>the channel model, DMRS configuration and link-level assumptions used in the Net Gain evaluation; and</w:t>
      </w:r>
    </w:p>
    <w:p w14:paraId="64A61687" w14:textId="77777777" w:rsidR="00125C2C" w:rsidRPr="000803CA" w:rsidRDefault="00125C2C" w:rsidP="00125C2C">
      <w:pPr>
        <w:pStyle w:val="afc"/>
        <w:numPr>
          <w:ilvl w:val="0"/>
          <w:numId w:val="36"/>
        </w:numPr>
        <w:ind w:firstLineChars="0"/>
        <w:jc w:val="left"/>
        <w:rPr>
          <w:rFonts w:eastAsia="맑은 고딕"/>
          <w:lang w:val="en-US" w:eastAsia="ko-KR"/>
        </w:rPr>
      </w:pPr>
      <w:r w:rsidRPr="000803CA">
        <w:rPr>
          <w:rFonts w:eastAsia="맑은 고딕"/>
          <w:lang w:val="en-US" w:eastAsia="ko-KR"/>
        </w:rPr>
        <w:lastRenderedPageBreak/>
        <w:t>the key RF indicators (PAPR, required SNR at a fixed BLER target, EVM at the nominal operating point, ACLR and SEM/OBE margins).</w:t>
      </w:r>
    </w:p>
    <w:p w14:paraId="2A95EAB0" w14:textId="5CB8A163" w:rsidR="000803CA" w:rsidRPr="00C97E71" w:rsidRDefault="00C97E71" w:rsidP="000803CA">
      <w:pPr>
        <w:jc w:val="left"/>
        <w:rPr>
          <w:rFonts w:eastAsia="맑은 고딕"/>
          <w:b/>
          <w:bCs/>
          <w:lang w:val="en-US" w:eastAsia="ko-KR"/>
        </w:rPr>
      </w:pPr>
      <w:r w:rsidRPr="00C97E71">
        <w:rPr>
          <w:rFonts w:eastAsia="맑은 고딕" w:hint="eastAsia"/>
          <w:b/>
          <w:bCs/>
          <w:lang w:val="en-US" w:eastAsia="ko-KR"/>
        </w:rPr>
        <w:t>P</w:t>
      </w:r>
      <w:r w:rsidRPr="00C97E71">
        <w:rPr>
          <w:rFonts w:eastAsia="맑은 고딕"/>
          <w:b/>
          <w:bCs/>
          <w:lang w:val="en-US" w:eastAsia="ko-KR"/>
        </w:rPr>
        <w:t>roposal 5:</w:t>
      </w:r>
      <w:r w:rsidRPr="00C97E71">
        <w:rPr>
          <w:rFonts w:eastAsia="맑은 고딕"/>
          <w:b/>
          <w:bCs/>
          <w:lang w:val="en-US" w:eastAsia="ko-KR"/>
        </w:rPr>
        <w:tab/>
      </w:r>
      <w:r w:rsidRPr="00C97E71">
        <w:rPr>
          <w:rFonts w:eastAsia="맑은 고딕"/>
          <w:b/>
          <w:bCs/>
          <w:lang w:val="en-US" w:eastAsia="ko-KR"/>
        </w:rPr>
        <w:tab/>
        <w:t xml:space="preserve">In RAN4, it is sufficient to focus on representative non-transparent FDSS cases applied to π/2-BPSK DFT-s-OFDM for </w:t>
      </w:r>
      <w:r w:rsidR="00594721">
        <w:rPr>
          <w:rFonts w:eastAsia="맑은 고딕"/>
          <w:b/>
          <w:bCs/>
          <w:lang w:val="en-US" w:eastAsia="ko-KR"/>
        </w:rPr>
        <w:t xml:space="preserve">their evaluation of </w:t>
      </w:r>
      <w:r w:rsidRPr="00C97E71">
        <w:rPr>
          <w:rFonts w:eastAsia="맑은 고딕"/>
          <w:b/>
          <w:bCs/>
          <w:lang w:val="en-US" w:eastAsia="ko-KR"/>
        </w:rPr>
        <w:t>uplink low-PAPR enhancements.</w:t>
      </w:r>
    </w:p>
    <w:p w14:paraId="04895767" w14:textId="5BC5AE7B" w:rsidR="000803CA" w:rsidRPr="000803CA" w:rsidRDefault="000803CA" w:rsidP="000803CA">
      <w:pPr>
        <w:jc w:val="left"/>
        <w:rPr>
          <w:rFonts w:eastAsia="맑은 고딕"/>
          <w:lang w:val="en-US" w:eastAsia="ko-KR"/>
        </w:rPr>
      </w:pPr>
      <w:r w:rsidRPr="000803CA">
        <w:rPr>
          <w:rFonts w:eastAsia="맑은 고딕"/>
          <w:lang w:val="en-US" w:eastAsia="ko-KR"/>
        </w:rPr>
        <w:t xml:space="preserve">For uplink multi-rank DFT-s-OFDM, current RAN1 </w:t>
      </w:r>
      <w:r w:rsidR="0024633D">
        <w:rPr>
          <w:rFonts w:eastAsia="맑은 고딕"/>
          <w:lang w:val="en-US" w:eastAsia="ko-KR"/>
        </w:rPr>
        <w:t>studies</w:t>
      </w:r>
      <w:r w:rsidRPr="000803CA">
        <w:rPr>
          <w:rFonts w:eastAsia="맑은 고딕"/>
          <w:lang w:val="en-US" w:eastAsia="ko-KR"/>
        </w:rPr>
        <w:t xml:space="preserve"> suggest that extending the existing DFT-s-OFDM waveform beyond rank-1 does not provide clear system-level gains under realistic assumptions. In particular, RAN1 SLS studies at 3.5 GHz with handheld UE and typical SU-MIMO configurations report that allowing 2-layer DFT-s-OFDM in place of 2-layer CP-OFDM does not deliver an uplink throughput gain and can even lead to a small loss, despite the somewhat optimistic PAPR and PA modeling used for DFT-s-OFDM. It is also noted that the PAPR advantage of DFT-s-OFDM diminishes as the rank increases, and that any potential benefit would, if present, be limited to very specific scenarios, for example primarily line-of-sight environments and rank-2 operations. Furthermore, from a waveform perspective, multi-layer DFT-s-OFDM does not introduce fundamentally new RF-requirement questions beyond those already handled through MPR, EVM and emission limits for existing UL waveforms.</w:t>
      </w:r>
    </w:p>
    <w:p w14:paraId="23EAC850" w14:textId="339CE106" w:rsidR="000803CA" w:rsidRPr="0024633D" w:rsidRDefault="0024633D" w:rsidP="000803CA">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10:</w:t>
      </w:r>
      <w:r w:rsidRPr="0024633D">
        <w:rPr>
          <w:rFonts w:eastAsia="맑은 고딕"/>
          <w:b/>
          <w:bCs/>
          <w:lang w:val="en-US" w:eastAsia="ko-KR"/>
        </w:rPr>
        <w:tab/>
        <w:t>For uplink multi-rank DFT-s-OFDM, current RAN1 studies suggest that extending the existing DFT-s-OFDM waveform beyond rank-1 does not provide clear system-level gains under realistic assumptions.</w:t>
      </w:r>
    </w:p>
    <w:p w14:paraId="247163C5" w14:textId="31674795" w:rsidR="0024633D" w:rsidRPr="0024633D" w:rsidRDefault="0024633D" w:rsidP="000803CA">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11:</w:t>
      </w:r>
      <w:r w:rsidRPr="0024633D">
        <w:rPr>
          <w:rFonts w:eastAsia="맑은 고딕"/>
          <w:b/>
          <w:bCs/>
          <w:lang w:val="en-US" w:eastAsia="ko-KR"/>
        </w:rPr>
        <w:tab/>
        <w:t>Multi-layer DFT-s-OFDM does not introduce fundamentally new RF-requirement questions beyond those already handled through MPR, EVM and emission limits for existing UL waveforms.</w:t>
      </w:r>
    </w:p>
    <w:p w14:paraId="011359E4" w14:textId="77777777" w:rsidR="000803CA" w:rsidRPr="000803CA" w:rsidRDefault="000803CA" w:rsidP="000803CA">
      <w:pPr>
        <w:jc w:val="left"/>
        <w:rPr>
          <w:rFonts w:eastAsia="맑은 고딕"/>
          <w:lang w:val="en-US" w:eastAsia="ko-KR"/>
        </w:rPr>
      </w:pPr>
      <w:r w:rsidRPr="000803CA">
        <w:rPr>
          <w:rFonts w:eastAsia="맑은 고딕"/>
          <w:lang w:val="en-US" w:eastAsia="ko-KR"/>
        </w:rPr>
        <w:t>Against this background, it would appear appropriate that RAN4 does not initiate a general UL multi-rank DFT-s-OFDM study of its own. Instead, any consideration of additional UL ranks for DFT-s-OFDM could be treated as within the RAN1 evaluation domain, with RAN4 only revisiting the topic if RAN1 later requests specific RF assessments for a clearly defined rank scope and deployment scenario. In such a case, RAN4 could, if needed, reuse the same Net Gain and RF-requirement framework described in Section 2.1 and limit its work to checking consistency with existing requirements. Until such a request is made, the current RAN1 conclusions indicate that extending UL DFT-s-OFDM beyond rank-1 does not warrant additional RAN4 study.</w:t>
      </w:r>
    </w:p>
    <w:p w14:paraId="5E6C357A" w14:textId="4C8ED360" w:rsidR="000803CA" w:rsidRPr="0024633D" w:rsidRDefault="0024633D" w:rsidP="000803CA">
      <w:pPr>
        <w:jc w:val="left"/>
        <w:rPr>
          <w:rFonts w:eastAsia="맑은 고딕"/>
          <w:b/>
          <w:bCs/>
          <w:lang w:val="en-US" w:eastAsia="ko-KR"/>
        </w:rPr>
      </w:pPr>
      <w:r w:rsidRPr="0024633D">
        <w:rPr>
          <w:rFonts w:eastAsia="맑은 고딕" w:hint="eastAsia"/>
          <w:b/>
          <w:bCs/>
          <w:lang w:val="en-US" w:eastAsia="ko-KR"/>
        </w:rPr>
        <w:t>P</w:t>
      </w:r>
      <w:r w:rsidRPr="0024633D">
        <w:rPr>
          <w:rFonts w:eastAsia="맑은 고딕"/>
          <w:b/>
          <w:bCs/>
          <w:lang w:val="en-US" w:eastAsia="ko-KR"/>
        </w:rPr>
        <w:t>roposal 6:</w:t>
      </w:r>
      <w:r w:rsidRPr="0024633D">
        <w:rPr>
          <w:rFonts w:eastAsia="맑은 고딕"/>
          <w:b/>
          <w:bCs/>
          <w:lang w:val="en-US" w:eastAsia="ko-KR"/>
        </w:rPr>
        <w:tab/>
      </w:r>
      <w:r w:rsidRPr="0024633D">
        <w:rPr>
          <w:rFonts w:eastAsia="맑은 고딕"/>
          <w:b/>
          <w:bCs/>
          <w:lang w:val="en-US" w:eastAsia="ko-KR"/>
        </w:rPr>
        <w:tab/>
        <w:t>RAN4 should not initiate a general UL multi-rank DFT-s-OFDM study of its own unless RAN1 later requests specific RF assessments for a clearly defined rank scope and deployment scenario.</w:t>
      </w:r>
    </w:p>
    <w:p w14:paraId="4D222AB6" w14:textId="72ABFF77" w:rsidR="003E4537" w:rsidRDefault="000803CA" w:rsidP="000803CA">
      <w:pPr>
        <w:jc w:val="left"/>
        <w:rPr>
          <w:rFonts w:eastAsia="맑은 고딕"/>
          <w:lang w:val="en-US" w:eastAsia="ko-KR"/>
        </w:rPr>
      </w:pPr>
      <w:r w:rsidRPr="000803CA">
        <w:rPr>
          <w:rFonts w:eastAsia="맑은 고딕"/>
          <w:lang w:val="en-US" w:eastAsia="ko-KR"/>
        </w:rPr>
        <w:t xml:space="preserve">For the downlink, similar reasoning applies more strongly: RAN1 </w:t>
      </w:r>
      <w:r w:rsidR="0024633D">
        <w:rPr>
          <w:rFonts w:eastAsia="맑은 고딕"/>
          <w:lang w:val="en-US" w:eastAsia="ko-KR"/>
        </w:rPr>
        <w:t xml:space="preserve">is discussing </w:t>
      </w:r>
      <w:r w:rsidRPr="000803CA">
        <w:rPr>
          <w:rFonts w:eastAsia="맑은 고딕"/>
          <w:lang w:val="en-US" w:eastAsia="ko-KR"/>
        </w:rPr>
        <w:t xml:space="preserve">DL DFT-s-OFDM and </w:t>
      </w:r>
      <w:r w:rsidR="0024633D">
        <w:rPr>
          <w:rFonts w:eastAsia="맑은 고딕"/>
          <w:lang w:val="en-US" w:eastAsia="ko-KR"/>
        </w:rPr>
        <w:t>checking whether</w:t>
      </w:r>
      <w:r w:rsidRPr="000803CA">
        <w:rPr>
          <w:rFonts w:eastAsia="맑은 고딕"/>
          <w:lang w:val="en-US" w:eastAsia="ko-KR"/>
        </w:rPr>
        <w:t xml:space="preserve"> 6GR should stop further DL DFT-s-OFDM study</w:t>
      </w:r>
      <w:r w:rsidR="0024633D">
        <w:rPr>
          <w:rFonts w:eastAsia="맑은 고딕"/>
          <w:lang w:val="en-US" w:eastAsia="ko-KR"/>
        </w:rPr>
        <w:t xml:space="preserve">. This is </w:t>
      </w:r>
      <w:r w:rsidRPr="000803CA">
        <w:rPr>
          <w:rFonts w:eastAsia="맑은 고딕"/>
          <w:lang w:val="en-US" w:eastAsia="ko-KR"/>
        </w:rPr>
        <w:t>mainly because the expected gains are small or negligible in realistic use cases while the impact on scheduling flexibility, MRSS-based migration and UE receiver complexity is negative. In light of this, and considering the 6G SID objective of a common waveform design, RAN4 may continue to use CP-OFDM as the downlink waveform in its evaluations and refrain from introducing DL DFT-s-OFDM into the RAN4 study scope, unless future RAN1 agreements provide a clear and broad justification.</w:t>
      </w:r>
    </w:p>
    <w:p w14:paraId="4B7463E7" w14:textId="2D903917" w:rsidR="0024633D" w:rsidRPr="00236DDE" w:rsidRDefault="0024633D" w:rsidP="000803CA">
      <w:pPr>
        <w:jc w:val="left"/>
        <w:rPr>
          <w:rFonts w:eastAsia="맑은 고딕"/>
          <w:b/>
          <w:bCs/>
          <w:lang w:val="en-US" w:eastAsia="ko-KR"/>
        </w:rPr>
      </w:pPr>
      <w:r w:rsidRPr="00236DDE">
        <w:rPr>
          <w:rFonts w:eastAsia="맑은 고딕" w:hint="eastAsia"/>
          <w:b/>
          <w:bCs/>
          <w:lang w:val="en-US" w:eastAsia="ko-KR"/>
        </w:rPr>
        <w:t>P</w:t>
      </w:r>
      <w:r w:rsidRPr="00236DDE">
        <w:rPr>
          <w:rFonts w:eastAsia="맑은 고딕"/>
          <w:b/>
          <w:bCs/>
          <w:lang w:val="en-US" w:eastAsia="ko-KR"/>
        </w:rPr>
        <w:t>roposal 7:</w:t>
      </w:r>
      <w:r w:rsidRPr="00236DDE">
        <w:rPr>
          <w:rFonts w:eastAsia="맑은 고딕"/>
          <w:b/>
          <w:bCs/>
          <w:lang w:val="en-US" w:eastAsia="ko-KR"/>
        </w:rPr>
        <w:tab/>
      </w:r>
      <w:r w:rsidRPr="00236DDE">
        <w:rPr>
          <w:rFonts w:eastAsia="맑은 고딕"/>
          <w:b/>
          <w:bCs/>
          <w:lang w:val="en-US" w:eastAsia="ko-KR"/>
        </w:rPr>
        <w:tab/>
      </w:r>
      <w:r w:rsidR="00236DDE" w:rsidRPr="00236DDE">
        <w:rPr>
          <w:rFonts w:eastAsia="맑은 고딕"/>
          <w:b/>
          <w:bCs/>
          <w:lang w:val="en-US" w:eastAsia="ko-KR"/>
        </w:rPr>
        <w:t>RAN4 should refrain from introducing DL DFT-s-OFDM into the RAN4 study scope, unless future RAN1 agreements provide a clear and broad justification.</w:t>
      </w:r>
    </w:p>
    <w:p w14:paraId="00423988" w14:textId="5CB7742A" w:rsidR="007A16CB" w:rsidRDefault="007A16CB" w:rsidP="007A16CB">
      <w:pPr>
        <w:pStyle w:val="2"/>
      </w:pPr>
      <w:r>
        <w:rPr>
          <w:rFonts w:hint="eastAsia"/>
        </w:rPr>
        <w:t>2</w:t>
      </w:r>
      <w:r>
        <w:t>.</w:t>
      </w:r>
      <w:r w:rsidR="0063141B">
        <w:t>3</w:t>
      </w:r>
      <w:r>
        <w:tab/>
        <w:t>PA model</w:t>
      </w:r>
      <w:r w:rsidR="0063141B">
        <w:t>s</w:t>
      </w:r>
    </w:p>
    <w:p w14:paraId="51CE8115" w14:textId="77777777" w:rsidR="00124D7F" w:rsidRDefault="007A16CB" w:rsidP="007A16CB">
      <w:pPr>
        <w:jc w:val="left"/>
        <w:rPr>
          <w:rFonts w:eastAsia="맑은 고딕"/>
          <w:lang w:val="en-US" w:eastAsia="ko-KR"/>
        </w:rPr>
      </w:pPr>
      <w:r w:rsidRPr="007A16CB">
        <w:rPr>
          <w:rFonts w:eastAsia="맑은 고딕" w:hint="eastAsia"/>
          <w:lang w:val="en-US" w:eastAsia="ko-KR"/>
        </w:rPr>
        <w:t xml:space="preserve">On the PA model, </w:t>
      </w:r>
      <w:r w:rsidR="00124D7F">
        <w:rPr>
          <w:rFonts w:eastAsia="맑은 고딕"/>
          <w:lang w:val="en-US" w:eastAsia="ko-KR"/>
        </w:rPr>
        <w:t xml:space="preserve">RAN4 </w:t>
      </w:r>
      <w:r w:rsidRPr="007A16CB">
        <w:rPr>
          <w:rFonts w:eastAsia="맑은 고딕" w:hint="eastAsia"/>
          <w:lang w:val="en-US" w:eastAsia="ko-KR"/>
        </w:rPr>
        <w:t>recognize</w:t>
      </w:r>
      <w:r w:rsidR="00124D7F">
        <w:rPr>
          <w:rFonts w:eastAsia="맑은 고딕"/>
          <w:lang w:val="en-US" w:eastAsia="ko-KR"/>
        </w:rPr>
        <w:t>d</w:t>
      </w:r>
      <w:r w:rsidRPr="007A16CB">
        <w:rPr>
          <w:rFonts w:eastAsia="맑은 고딕" w:hint="eastAsia"/>
          <w:lang w:val="en-US" w:eastAsia="ko-KR"/>
        </w:rPr>
        <w:t xml:space="preserve"> the broad set of aspects raised in </w:t>
      </w:r>
      <w:r w:rsidR="00124D7F">
        <w:rPr>
          <w:rFonts w:eastAsia="맑은 고딕"/>
          <w:lang w:val="en-US" w:eastAsia="ko-KR"/>
        </w:rPr>
        <w:t>[2] as follows:</w:t>
      </w:r>
    </w:p>
    <w:tbl>
      <w:tblPr>
        <w:tblStyle w:val="af3"/>
        <w:tblW w:w="0" w:type="auto"/>
        <w:tblLook w:val="04A0" w:firstRow="1" w:lastRow="0" w:firstColumn="1" w:lastColumn="0" w:noHBand="0" w:noVBand="1"/>
      </w:tblPr>
      <w:tblGrid>
        <w:gridCol w:w="9631"/>
      </w:tblGrid>
      <w:tr w:rsidR="00124D7F" w14:paraId="42564745" w14:textId="77777777" w:rsidTr="00CD0D8C">
        <w:tc>
          <w:tcPr>
            <w:tcW w:w="9631" w:type="dxa"/>
          </w:tcPr>
          <w:p w14:paraId="0D8CB3A6" w14:textId="77777777" w:rsidR="00124D7F" w:rsidRPr="00EC0A20" w:rsidRDefault="00124D7F" w:rsidP="00124D7F">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69D4AD23" w14:textId="77777777" w:rsidR="00124D7F" w:rsidRDefault="00124D7F" w:rsidP="00124D7F">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 xml:space="preserve">Consider </w:t>
            </w:r>
            <w:r>
              <w:rPr>
                <w:rFonts w:eastAsia="SimSun" w:hint="eastAsia"/>
                <w:szCs w:val="24"/>
                <w:lang w:eastAsia="zh-CN"/>
              </w:rPr>
              <w:t>P</w:t>
            </w:r>
            <w:r>
              <w:rPr>
                <w:rFonts w:eastAsia="SimSun"/>
                <w:szCs w:val="24"/>
                <w:lang w:eastAsia="zh-CN"/>
              </w:rPr>
              <w:t>A modelling at least for the following aspects for RAN4 discussion</w:t>
            </w:r>
          </w:p>
          <w:p w14:paraId="1F02FCA5" w14:textId="77777777" w:rsidR="00124D7F" w:rsidRDefault="00124D7F" w:rsidP="00124D7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M</w:t>
            </w:r>
            <w:r>
              <w:rPr>
                <w:rFonts w:eastAsia="SimSun"/>
                <w:szCs w:val="24"/>
                <w:lang w:eastAsia="zh-CN"/>
              </w:rPr>
              <w:t>emory effects for UE supporting larger CBW</w:t>
            </w:r>
          </w:p>
          <w:p w14:paraId="50A3131E" w14:textId="77777777" w:rsidR="00124D7F" w:rsidRDefault="00124D7F" w:rsidP="00124D7F">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Different PA models for different sub-frequency ranges, e.g. around 7GHz (high priority, PC3/PC2) and lower frequency bands (PC3)</w:t>
            </w:r>
          </w:p>
          <w:p w14:paraId="1B214330" w14:textId="77777777" w:rsidR="00124D7F" w:rsidRDefault="00124D7F" w:rsidP="00124D7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C</w:t>
            </w:r>
            <w:r>
              <w:rPr>
                <w:rFonts w:eastAsia="SimSun"/>
                <w:szCs w:val="24"/>
                <w:lang w:eastAsia="zh-CN"/>
              </w:rPr>
              <w:t xml:space="preserve">alibration conditions </w:t>
            </w:r>
          </w:p>
          <w:p w14:paraId="661B4162" w14:textId="77777777" w:rsidR="00124D7F" w:rsidRDefault="00124D7F" w:rsidP="00124D7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R</w:t>
            </w:r>
            <w:r>
              <w:rPr>
                <w:rFonts w:eastAsia="SimSun"/>
                <w:szCs w:val="24"/>
                <w:lang w:eastAsia="zh-CN"/>
              </w:rPr>
              <w:t>F impairments used for MPR evaluation, e.g. carrier leakage, I/Q imbalance, etc.</w:t>
            </w:r>
          </w:p>
          <w:p w14:paraId="3EA8283D" w14:textId="77777777" w:rsidR="00124D7F" w:rsidRDefault="00124D7F" w:rsidP="00124D7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P</w:t>
            </w:r>
            <w:r>
              <w:rPr>
                <w:rFonts w:eastAsia="SimSun"/>
                <w:szCs w:val="24"/>
                <w:lang w:eastAsia="zh-CN"/>
              </w:rPr>
              <w:t>A models for different device types, handheld UE is prioritized</w:t>
            </w:r>
          </w:p>
          <w:p w14:paraId="541C8B9E" w14:textId="77777777" w:rsidR="00124D7F" w:rsidRDefault="00124D7F" w:rsidP="00124D7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A</w:t>
            </w:r>
            <w:r>
              <w:rPr>
                <w:rFonts w:eastAsia="SimSun"/>
                <w:szCs w:val="24"/>
                <w:lang w:eastAsia="zh-CN"/>
              </w:rPr>
              <w:t>pplicable requirements</w:t>
            </w:r>
          </w:p>
          <w:p w14:paraId="662515F8" w14:textId="77777777" w:rsidR="00124D7F" w:rsidRDefault="00124D7F" w:rsidP="00124D7F">
            <w:pPr>
              <w:pStyle w:val="afc"/>
              <w:numPr>
                <w:ilvl w:val="3"/>
                <w:numId w:val="15"/>
              </w:numPr>
              <w:spacing w:after="120" w:line="240" w:lineRule="auto"/>
              <w:ind w:left="3096" w:firstLineChars="0"/>
              <w:rPr>
                <w:rFonts w:eastAsia="SimSun"/>
                <w:szCs w:val="24"/>
                <w:lang w:eastAsia="zh-CN"/>
              </w:rPr>
            </w:pPr>
            <w:r>
              <w:rPr>
                <w:rFonts w:eastAsia="SimSun" w:hint="eastAsia"/>
                <w:szCs w:val="24"/>
                <w:lang w:eastAsia="zh-CN"/>
              </w:rPr>
              <w:lastRenderedPageBreak/>
              <w:t>5</w:t>
            </w:r>
            <w:r>
              <w:rPr>
                <w:rFonts w:eastAsia="SimSun"/>
                <w:szCs w:val="24"/>
                <w:lang w:eastAsia="zh-CN"/>
              </w:rPr>
              <w:t>G-A requirements as starting point</w:t>
            </w:r>
          </w:p>
          <w:p w14:paraId="40B6DD58" w14:textId="28883593" w:rsidR="00124D7F" w:rsidRPr="003E4537" w:rsidRDefault="00124D7F" w:rsidP="00124D7F">
            <w:pPr>
              <w:pStyle w:val="afc"/>
              <w:numPr>
                <w:ilvl w:val="2"/>
                <w:numId w:val="15"/>
              </w:numPr>
              <w:spacing w:after="120" w:line="240" w:lineRule="auto"/>
              <w:ind w:left="2376" w:firstLineChars="0"/>
              <w:rPr>
                <w:rFonts w:eastAsia="맑은 고딕"/>
                <w:lang w:eastAsia="ko-KR"/>
              </w:rPr>
            </w:pPr>
            <w:r>
              <w:rPr>
                <w:rFonts w:eastAsia="SimSun" w:hint="eastAsia"/>
                <w:szCs w:val="24"/>
                <w:lang w:eastAsia="zh-CN"/>
              </w:rPr>
              <w:t>P</w:t>
            </w:r>
            <w:r>
              <w:rPr>
                <w:rFonts w:eastAsia="SimSun"/>
                <w:szCs w:val="24"/>
                <w:lang w:eastAsia="zh-CN"/>
              </w:rPr>
              <w:t>A models for RAN1 waveform evaluation and RAN4 requirements discussion can be decoupled</w:t>
            </w:r>
          </w:p>
        </w:tc>
      </w:tr>
    </w:tbl>
    <w:p w14:paraId="41CF1ABF" w14:textId="77777777" w:rsidR="00124D7F" w:rsidRPr="00124D7F" w:rsidRDefault="00124D7F" w:rsidP="007A16CB">
      <w:pPr>
        <w:jc w:val="left"/>
        <w:rPr>
          <w:rFonts w:eastAsia="맑은 고딕"/>
          <w:lang w:eastAsia="ko-KR"/>
        </w:rPr>
      </w:pPr>
    </w:p>
    <w:p w14:paraId="031B8A55" w14:textId="52969A12" w:rsidR="003D5F98" w:rsidRDefault="00236DDE" w:rsidP="005844D1">
      <w:pPr>
        <w:jc w:val="left"/>
        <w:rPr>
          <w:rFonts w:eastAsia="맑은 고딕"/>
          <w:lang w:val="en-US" w:eastAsia="ko-KR"/>
        </w:rPr>
      </w:pPr>
      <w:r>
        <w:rPr>
          <w:rFonts w:eastAsia="맑은 고딕"/>
          <w:lang w:val="en-US" w:eastAsia="ko-KR"/>
        </w:rPr>
        <w:t xml:space="preserve">As noted above [2], </w:t>
      </w:r>
      <w:r w:rsidR="005844D1" w:rsidRPr="005844D1">
        <w:rPr>
          <w:rFonts w:eastAsia="맑은 고딕"/>
          <w:lang w:val="en-US" w:eastAsia="ko-KR"/>
        </w:rPr>
        <w:t xml:space="preserve">the PA model is identified as one of the key ingredients of the waveform study. </w:t>
      </w:r>
      <w:r>
        <w:rPr>
          <w:rFonts w:eastAsia="맑은 고딕"/>
          <w:lang w:val="en-US" w:eastAsia="ko-KR"/>
        </w:rPr>
        <w:t xml:space="preserve">It </w:t>
      </w:r>
      <w:r w:rsidR="005844D1" w:rsidRPr="005844D1">
        <w:rPr>
          <w:rFonts w:eastAsia="맑은 고딕"/>
          <w:lang w:val="en-US" w:eastAsia="ko-KR"/>
        </w:rPr>
        <w:t xml:space="preserve">proposes to study improved PA modelling and lists several aspects that should be taken into account: PA dimensioning (MPR-0), pre-distortion (DPD), memory effects, APT and Doherty PA structures, device-type dependence, sub-frequency-range dependence (e.g., around 7 GHz versus lower bands), calibration conditions, and RF impairments such as carrier leakage and I/Q imbalance that are used when evaluating MPR. </w:t>
      </w:r>
      <w:r w:rsidR="00FB2803">
        <w:rPr>
          <w:rFonts w:eastAsia="맑은 고딕"/>
          <w:lang w:val="en-US" w:eastAsia="ko-KR"/>
        </w:rPr>
        <w:t>I</w:t>
      </w:r>
      <w:r w:rsidR="00FB2803" w:rsidRPr="005844D1">
        <w:rPr>
          <w:rFonts w:eastAsia="맑은 고딕"/>
          <w:lang w:val="en-US" w:eastAsia="ko-KR"/>
        </w:rPr>
        <w:t xml:space="preserve">t is also agreed that different PA models may be considered for different device types (e.g., IoT versus FWA) and that 5G-A requirements can be used as a starting point for applicable RF requirements. </w:t>
      </w:r>
      <w:r w:rsidR="00FB2803">
        <w:rPr>
          <w:rFonts w:eastAsia="맑은 고딕"/>
          <w:lang w:val="en-US" w:eastAsia="ko-KR"/>
        </w:rPr>
        <w:t xml:space="preserve">Figure 6 </w:t>
      </w:r>
      <w:r w:rsidR="00FB2803" w:rsidRPr="00FB2803">
        <w:rPr>
          <w:rFonts w:eastAsia="맑은 고딕"/>
          <w:lang w:val="en-US" w:eastAsia="ko-KR"/>
        </w:rPr>
        <w:t xml:space="preserve">illustrates </w:t>
      </w:r>
      <w:r w:rsidR="00FB2803">
        <w:rPr>
          <w:rFonts w:eastAsia="맑은 고딕"/>
          <w:lang w:val="en-US" w:eastAsia="ko-KR"/>
        </w:rPr>
        <w:t xml:space="preserve">an example of PA profile for 6G SI discussion. </w:t>
      </w:r>
    </w:p>
    <w:p w14:paraId="44BD917F" w14:textId="5638D6BC" w:rsidR="00FB2803" w:rsidRDefault="00FB2803" w:rsidP="00FB2803">
      <w:pPr>
        <w:jc w:val="center"/>
        <w:rPr>
          <w:rFonts w:eastAsia="맑은 고딕"/>
          <w:lang w:val="en-US" w:eastAsia="ko-KR"/>
        </w:rPr>
      </w:pPr>
      <w:r>
        <w:rPr>
          <w:rFonts w:eastAsia="맑은 고딕"/>
          <w:noProof/>
          <w:lang w:val="en-US" w:eastAsia="ko-KR"/>
        </w:rPr>
        <w:drawing>
          <wp:inline distT="0" distB="0" distL="0" distR="0" wp14:anchorId="5EAD11AF" wp14:editId="46FF9661">
            <wp:extent cx="6120000" cy="1324697"/>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324697"/>
                    </a:xfrm>
                    <a:prstGeom prst="rect">
                      <a:avLst/>
                    </a:prstGeom>
                    <a:noFill/>
                  </pic:spPr>
                </pic:pic>
              </a:graphicData>
            </a:graphic>
          </wp:inline>
        </w:drawing>
      </w:r>
    </w:p>
    <w:p w14:paraId="5D92DFC8" w14:textId="603683E3" w:rsidR="00FB2803" w:rsidRPr="00FB2803" w:rsidRDefault="00FB2803" w:rsidP="00FB2803">
      <w:pPr>
        <w:jc w:val="center"/>
        <w:rPr>
          <w:rFonts w:eastAsia="맑은 고딕"/>
          <w:b/>
          <w:bCs/>
          <w:lang w:val="en-US" w:eastAsia="ko-KR"/>
        </w:rPr>
      </w:pPr>
      <w:r w:rsidRPr="00FB2803">
        <w:rPr>
          <w:rFonts w:eastAsia="맑은 고딕" w:hint="eastAsia"/>
          <w:b/>
          <w:bCs/>
          <w:lang w:val="en-US" w:eastAsia="ko-KR"/>
        </w:rPr>
        <w:t>F</w:t>
      </w:r>
      <w:r w:rsidRPr="00FB2803">
        <w:rPr>
          <w:rFonts w:eastAsia="맑은 고딕"/>
          <w:b/>
          <w:bCs/>
          <w:lang w:val="en-US" w:eastAsia="ko-KR"/>
        </w:rPr>
        <w:t xml:space="preserve">igure 2: </w:t>
      </w:r>
      <w:r w:rsidRPr="00FB2803">
        <w:rPr>
          <w:rFonts w:eastAsia="맑은 고딕" w:hint="eastAsia"/>
          <w:b/>
          <w:bCs/>
          <w:lang w:eastAsia="ko-KR"/>
        </w:rPr>
        <w:t>Transmitter chain elements and PA model hooks</w:t>
      </w:r>
    </w:p>
    <w:p w14:paraId="5EF16B2E" w14:textId="6DDF7CFE" w:rsidR="00FB2803" w:rsidRDefault="00FB2803" w:rsidP="005844D1">
      <w:pPr>
        <w:jc w:val="left"/>
        <w:rPr>
          <w:rFonts w:eastAsia="맑은 고딕"/>
          <w:lang w:val="en-US" w:eastAsia="ko-KR"/>
        </w:rPr>
      </w:pPr>
      <w:r w:rsidRPr="005844D1">
        <w:rPr>
          <w:rFonts w:eastAsia="맑은 고딕"/>
          <w:lang w:val="en-US" w:eastAsia="ko-KR"/>
        </w:rPr>
        <w:t>Furthermore, the WF records that PA models used for RAN1 waveform evaluations and those used for RAN4 requirements discussions can be decoupled.</w:t>
      </w:r>
    </w:p>
    <w:p w14:paraId="663A99B0" w14:textId="4C22F363" w:rsidR="005844D1" w:rsidRPr="00236DDE" w:rsidRDefault="00236DDE" w:rsidP="005844D1">
      <w:pPr>
        <w:jc w:val="left"/>
        <w:rPr>
          <w:rFonts w:eastAsia="맑은 고딕"/>
          <w:b/>
          <w:bCs/>
          <w:lang w:val="en-US" w:eastAsia="ko-KR"/>
        </w:rPr>
      </w:pPr>
      <w:r w:rsidRPr="00236DDE">
        <w:rPr>
          <w:rFonts w:eastAsia="맑은 고딕" w:hint="eastAsia"/>
          <w:b/>
          <w:bCs/>
          <w:lang w:val="en-US" w:eastAsia="ko-KR"/>
        </w:rPr>
        <w:t>O</w:t>
      </w:r>
      <w:r w:rsidRPr="00236DDE">
        <w:rPr>
          <w:rFonts w:eastAsia="맑은 고딕"/>
          <w:b/>
          <w:bCs/>
          <w:lang w:val="en-US" w:eastAsia="ko-KR"/>
        </w:rPr>
        <w:t>bservation 12:</w:t>
      </w:r>
      <w:r w:rsidRPr="00236DDE">
        <w:rPr>
          <w:rFonts w:eastAsia="맑은 고딕"/>
          <w:b/>
          <w:bCs/>
          <w:lang w:val="en-US" w:eastAsia="ko-KR"/>
        </w:rPr>
        <w:tab/>
        <w:t>RAN4 agreed that PA models used for RAN1 waveform evaluations and those used for RAN4 requirements discussions can be decoupled.</w:t>
      </w:r>
    </w:p>
    <w:p w14:paraId="237E6387" w14:textId="0B0F8A90" w:rsidR="005844D1" w:rsidRPr="005844D1" w:rsidRDefault="005844D1" w:rsidP="005844D1">
      <w:pPr>
        <w:jc w:val="left"/>
        <w:rPr>
          <w:rFonts w:eastAsia="맑은 고딕"/>
          <w:lang w:val="en-US" w:eastAsia="ko-KR"/>
        </w:rPr>
      </w:pPr>
      <w:r w:rsidRPr="005844D1">
        <w:rPr>
          <w:rFonts w:eastAsia="맑은 고딕"/>
          <w:lang w:val="en-US" w:eastAsia="ko-KR"/>
        </w:rPr>
        <w:t>Against this background, it seems useful for RAN4 to clarify two related but distinct roles of the PA model. The first role is to provide transmitter assumptions for RAN4’s own RF-requirement evaluations, including EVM, ACLR, SEM/OBE and Net Gain for uplink low-PAPR schemes. For this purpose, PA models need to be realistic enough to reflect memory effects at larger channel bandwidths, frequency-selective impairments and calibration conditions, while still being tractable for link-level simulations and requirement derivation. The second role is to reply to the RAN1 LS by supplying PA model descriptions that RAN1 can use in their waveform evaluations, where the focus is more on consistency across companies than on exhaustively covering every device-specific corner case. Since the WF explicitly allows decoupling of these two roles, RAN4 can select and document one or more PA model variants for RAN1 evaluation</w:t>
      </w:r>
      <w:r w:rsidR="00236DDE">
        <w:rPr>
          <w:rFonts w:eastAsia="맑은 고딕"/>
          <w:lang w:val="en-US" w:eastAsia="ko-KR"/>
        </w:rPr>
        <w:t xml:space="preserve"> from legacy models in TR 38.803 [4]</w:t>
      </w:r>
      <w:r w:rsidRPr="005844D1">
        <w:rPr>
          <w:rFonts w:eastAsia="맑은 고딕"/>
          <w:lang w:val="en-US" w:eastAsia="ko-KR"/>
        </w:rPr>
        <w:t xml:space="preserve">, while </w:t>
      </w:r>
      <w:r w:rsidR="00236DDE">
        <w:rPr>
          <w:rFonts w:eastAsia="맑은 고딕"/>
          <w:lang w:val="en-US" w:eastAsia="ko-KR"/>
        </w:rPr>
        <w:t xml:space="preserve">continuing further discussion for enhanced </w:t>
      </w:r>
      <w:r w:rsidRPr="005844D1">
        <w:rPr>
          <w:rFonts w:eastAsia="맑은 고딕"/>
          <w:lang w:val="en-US" w:eastAsia="ko-KR"/>
        </w:rPr>
        <w:t>models internally for RF-requirement studies.</w:t>
      </w:r>
    </w:p>
    <w:p w14:paraId="07B983C8" w14:textId="7E10262C" w:rsidR="005844D1" w:rsidRDefault="005844D1" w:rsidP="005844D1">
      <w:pPr>
        <w:jc w:val="left"/>
        <w:rPr>
          <w:rFonts w:eastAsia="맑은 고딕"/>
          <w:lang w:val="en-US" w:eastAsia="ko-KR"/>
        </w:rPr>
      </w:pPr>
      <w:r w:rsidRPr="005844D1">
        <w:rPr>
          <w:rFonts w:eastAsia="맑은 고딕"/>
          <w:lang w:val="en-US" w:eastAsia="ko-KR"/>
        </w:rPr>
        <w:t xml:space="preserve">For the 6GR study, a pragmatic starting point would be to base the PA models shared with RAN1 on existing formulations consistent with TR 38.803, using them as generic </w:t>
      </w:r>
      <w:r w:rsidR="00023432" w:rsidRPr="005844D1">
        <w:rPr>
          <w:rFonts w:eastAsia="맑은 고딕"/>
          <w:lang w:val="en-US" w:eastAsia="ko-KR"/>
        </w:rPr>
        <w:t>behavioral</w:t>
      </w:r>
      <w:r w:rsidRPr="005844D1">
        <w:rPr>
          <w:rFonts w:eastAsia="맑은 고딕"/>
          <w:lang w:val="en-US" w:eastAsia="ko-KR"/>
        </w:rPr>
        <w:t xml:space="preserve"> models that can be instantiated for different device types and frequency ranges. In particular, the WF suggests that RAN4 should at least consider: (i) memory effects for UEs supporting larger CBW, (ii) different PA models for different sub-frequency ranges, such as around 7 GHz (with PC3/PC2 as a high-priority focus) and for lower FR1 bands (PC3), (iii) calibration conditions that are assumed when deriving MPR and RF requirements, and (iv) RF impairments used for MPR evaluation, such as carrier leakage and I/Q imbalance. Handheld UE is indicated as the priority device type, but the framework should also allow models for other device types such as massive IoT and FWA to be added later.</w:t>
      </w:r>
    </w:p>
    <w:p w14:paraId="10069D38" w14:textId="0A4D3A04" w:rsidR="005844D1" w:rsidRPr="005844D1" w:rsidRDefault="00F139F4" w:rsidP="005844D1">
      <w:pPr>
        <w:jc w:val="left"/>
        <w:rPr>
          <w:rFonts w:eastAsia="맑은 고딕"/>
          <w:lang w:val="en-US" w:eastAsia="ko-KR"/>
        </w:rPr>
      </w:pPr>
      <w:r>
        <w:rPr>
          <w:rFonts w:eastAsia="맑은 고딕"/>
          <w:lang w:val="en-US" w:eastAsia="ko-KR"/>
        </w:rPr>
        <w:t xml:space="preserve">For both tracks, i.e., reply to RAN1 and RAN4 study, </w:t>
      </w:r>
      <w:r w:rsidR="005844D1" w:rsidRPr="005844D1">
        <w:rPr>
          <w:rFonts w:eastAsia="맑은 고딕"/>
          <w:lang w:val="en-US" w:eastAsia="ko-KR"/>
        </w:rPr>
        <w:t xml:space="preserve">RAN4 could </w:t>
      </w:r>
      <w:r>
        <w:rPr>
          <w:rFonts w:eastAsia="맑은 고딕"/>
          <w:lang w:val="en-US" w:eastAsia="ko-KR"/>
        </w:rPr>
        <w:t xml:space="preserve">clarify and </w:t>
      </w:r>
      <w:r w:rsidR="005844D1" w:rsidRPr="005844D1">
        <w:rPr>
          <w:rFonts w:eastAsia="맑은 고딕"/>
          <w:lang w:val="en-US" w:eastAsia="ko-KR"/>
        </w:rPr>
        <w:t>describe the minimum parameter set that characterizes each PA-model instance used in evaluations</w:t>
      </w:r>
      <w:r>
        <w:rPr>
          <w:rFonts w:eastAsia="맑은 고딕"/>
          <w:lang w:val="en-US" w:eastAsia="ko-KR"/>
        </w:rPr>
        <w:t xml:space="preserve"> r</w:t>
      </w:r>
      <w:r w:rsidRPr="005844D1">
        <w:rPr>
          <w:rFonts w:eastAsia="맑은 고딕"/>
          <w:lang w:val="en-US" w:eastAsia="ko-KR"/>
        </w:rPr>
        <w:t>ather than defining a large number of different PA models upfront</w:t>
      </w:r>
      <w:r w:rsidR="005844D1" w:rsidRPr="005844D1">
        <w:rPr>
          <w:rFonts w:eastAsia="맑은 고딕"/>
          <w:lang w:val="en-US" w:eastAsia="ko-KR"/>
        </w:rPr>
        <w:t xml:space="preserve">. For example, for each model, RAN4 might </w:t>
      </w:r>
      <w:r>
        <w:rPr>
          <w:rFonts w:eastAsia="맑은 고딕"/>
          <w:lang w:val="en-US" w:eastAsia="ko-KR"/>
        </w:rPr>
        <w:t>clarify</w:t>
      </w:r>
      <w:r w:rsidR="005844D1" w:rsidRPr="005844D1">
        <w:rPr>
          <w:rFonts w:eastAsia="맑은 고딕"/>
          <w:lang w:val="en-US" w:eastAsia="ko-KR"/>
        </w:rPr>
        <w:t>:</w:t>
      </w:r>
    </w:p>
    <w:p w14:paraId="2FAFCF10" w14:textId="4C957399" w:rsidR="005844D1" w:rsidRPr="005844D1" w:rsidRDefault="005844D1" w:rsidP="0071415A">
      <w:pPr>
        <w:pStyle w:val="afc"/>
        <w:numPr>
          <w:ilvl w:val="0"/>
          <w:numId w:val="37"/>
        </w:numPr>
        <w:ind w:firstLineChars="0"/>
        <w:jc w:val="left"/>
        <w:rPr>
          <w:rFonts w:eastAsia="맑은 고딕"/>
          <w:lang w:val="en-US" w:eastAsia="ko-KR"/>
        </w:rPr>
      </w:pPr>
      <w:r w:rsidRPr="005844D1">
        <w:rPr>
          <w:rFonts w:eastAsia="맑은 고딕"/>
          <w:lang w:val="en-US" w:eastAsia="ko-KR"/>
        </w:rPr>
        <w:t>Device type and power class, e.g.</w:t>
      </w:r>
      <w:r w:rsidR="00023432">
        <w:rPr>
          <w:rFonts w:eastAsia="맑은 고딕"/>
          <w:lang w:val="en-US" w:eastAsia="ko-KR"/>
        </w:rPr>
        <w:t>,</w:t>
      </w:r>
      <w:r w:rsidRPr="005844D1">
        <w:rPr>
          <w:rFonts w:eastAsia="맑은 고딕"/>
          <w:lang w:val="en-US" w:eastAsia="ko-KR"/>
        </w:rPr>
        <w:t xml:space="preserve"> handheld UE (PC3/PC2), IoT UE (PC3 with narrower CBW), or FWA/advanced UE with relaxed form factor;</w:t>
      </w:r>
    </w:p>
    <w:p w14:paraId="4468EBF5" w14:textId="0ADF293A" w:rsidR="005844D1" w:rsidRPr="005844D1" w:rsidRDefault="005844D1" w:rsidP="005844D1">
      <w:pPr>
        <w:pStyle w:val="afc"/>
        <w:numPr>
          <w:ilvl w:val="0"/>
          <w:numId w:val="37"/>
        </w:numPr>
        <w:ind w:firstLineChars="0"/>
        <w:jc w:val="left"/>
        <w:rPr>
          <w:rFonts w:eastAsia="맑은 고딕"/>
          <w:lang w:val="en-US" w:eastAsia="ko-KR"/>
        </w:rPr>
      </w:pPr>
      <w:r w:rsidRPr="005844D1">
        <w:rPr>
          <w:rFonts w:eastAsia="맑은 고딕"/>
          <w:lang w:val="en-US" w:eastAsia="ko-KR"/>
        </w:rPr>
        <w:lastRenderedPageBreak/>
        <w:t>Frequency bucket, such as “around 7 GHz” versus “lower FR1 bands”, aligned with the sub-frequency ranges discussed in the WF;</w:t>
      </w:r>
    </w:p>
    <w:p w14:paraId="5A622CA3" w14:textId="4D4A4DF3" w:rsidR="005844D1" w:rsidRPr="005844D1" w:rsidRDefault="005844D1" w:rsidP="00813AAF">
      <w:pPr>
        <w:pStyle w:val="afc"/>
        <w:numPr>
          <w:ilvl w:val="0"/>
          <w:numId w:val="37"/>
        </w:numPr>
        <w:ind w:firstLineChars="0"/>
        <w:jc w:val="left"/>
        <w:rPr>
          <w:rFonts w:eastAsia="맑은 고딕"/>
          <w:lang w:val="en-US" w:eastAsia="ko-KR"/>
        </w:rPr>
      </w:pPr>
      <w:r w:rsidRPr="005844D1">
        <w:rPr>
          <w:rFonts w:eastAsia="맑은 고딕"/>
          <w:lang w:val="en-US" w:eastAsia="ko-KR"/>
        </w:rPr>
        <w:t>Supported channel bandwidth range and the threshold above which memory effects are enabled, including the assumed memory order;</w:t>
      </w:r>
    </w:p>
    <w:p w14:paraId="47692E1A" w14:textId="6E914F8F" w:rsidR="005844D1" w:rsidRPr="005844D1" w:rsidRDefault="005844D1" w:rsidP="00686A74">
      <w:pPr>
        <w:pStyle w:val="afc"/>
        <w:numPr>
          <w:ilvl w:val="0"/>
          <w:numId w:val="37"/>
        </w:numPr>
        <w:ind w:firstLineChars="0"/>
        <w:jc w:val="left"/>
        <w:rPr>
          <w:rFonts w:eastAsia="맑은 고딕"/>
          <w:lang w:val="en-US" w:eastAsia="ko-KR"/>
        </w:rPr>
      </w:pPr>
      <w:r w:rsidRPr="005844D1">
        <w:rPr>
          <w:rFonts w:eastAsia="맑은 고딕"/>
          <w:lang w:val="en-US" w:eastAsia="ko-KR"/>
        </w:rPr>
        <w:t>Back-off policy and MPR-0 assumption, specifying how output back-off is related to PAPR/CM and to the MPR figures reused from 5G/5G-A;</w:t>
      </w:r>
    </w:p>
    <w:p w14:paraId="751E19B1" w14:textId="064214C5" w:rsidR="005844D1" w:rsidRPr="005844D1" w:rsidRDefault="005844D1" w:rsidP="009A10A5">
      <w:pPr>
        <w:pStyle w:val="afc"/>
        <w:numPr>
          <w:ilvl w:val="0"/>
          <w:numId w:val="37"/>
        </w:numPr>
        <w:ind w:firstLineChars="0"/>
        <w:jc w:val="left"/>
        <w:rPr>
          <w:rFonts w:eastAsia="맑은 고딕"/>
          <w:lang w:val="en-US" w:eastAsia="ko-KR"/>
        </w:rPr>
      </w:pPr>
      <w:r w:rsidRPr="005844D1">
        <w:rPr>
          <w:rFonts w:eastAsia="맑은 고딕"/>
          <w:lang w:val="en-US" w:eastAsia="ko-KR"/>
        </w:rPr>
        <w:t>DPD state (on/off or type) and any related assumption on how much linearization gain is already captured in the PA characteristic;</w:t>
      </w:r>
    </w:p>
    <w:p w14:paraId="289F0AD2" w14:textId="2DA58535" w:rsidR="005844D1" w:rsidRPr="005844D1" w:rsidRDefault="005844D1" w:rsidP="00777B7D">
      <w:pPr>
        <w:pStyle w:val="afc"/>
        <w:numPr>
          <w:ilvl w:val="0"/>
          <w:numId w:val="37"/>
        </w:numPr>
        <w:ind w:firstLineChars="0"/>
        <w:jc w:val="left"/>
        <w:rPr>
          <w:rFonts w:eastAsia="맑은 고딕"/>
          <w:lang w:val="en-US" w:eastAsia="ko-KR"/>
        </w:rPr>
      </w:pPr>
      <w:r w:rsidRPr="005844D1">
        <w:rPr>
          <w:rFonts w:eastAsia="맑은 고딕"/>
          <w:lang w:val="en-US" w:eastAsia="ko-KR"/>
        </w:rPr>
        <w:t>Calibration conditions, for example whether calibration is assumed “best-effort” or “typical”, and how this impacts EVM and emission margins; and</w:t>
      </w:r>
    </w:p>
    <w:p w14:paraId="786EEBF5" w14:textId="77777777" w:rsidR="005844D1" w:rsidRPr="005844D1" w:rsidRDefault="005844D1" w:rsidP="005844D1">
      <w:pPr>
        <w:pStyle w:val="afc"/>
        <w:numPr>
          <w:ilvl w:val="0"/>
          <w:numId w:val="37"/>
        </w:numPr>
        <w:ind w:firstLineChars="0"/>
        <w:jc w:val="left"/>
        <w:rPr>
          <w:rFonts w:eastAsia="맑은 고딕"/>
          <w:lang w:val="en-US" w:eastAsia="ko-KR"/>
        </w:rPr>
      </w:pPr>
      <w:r w:rsidRPr="005844D1">
        <w:rPr>
          <w:rFonts w:eastAsia="맑은 고딕"/>
          <w:lang w:val="en-US" w:eastAsia="ko-KR"/>
        </w:rPr>
        <w:t>RF impairments included in the model, such as I/Q imbalance and carrier leakage, and whether they are used directly in MPR evaluation or only in sensitivity studies.</w:t>
      </w:r>
    </w:p>
    <w:p w14:paraId="525F15C1" w14:textId="715D8253" w:rsidR="005844D1" w:rsidRPr="00F139F4" w:rsidRDefault="00F139F4" w:rsidP="005844D1">
      <w:pPr>
        <w:jc w:val="left"/>
        <w:rPr>
          <w:rFonts w:eastAsia="맑은 고딕"/>
          <w:b/>
          <w:bCs/>
          <w:lang w:val="en-US" w:eastAsia="ko-KR"/>
        </w:rPr>
      </w:pPr>
      <w:r w:rsidRPr="00F139F4">
        <w:rPr>
          <w:rFonts w:eastAsia="맑은 고딕" w:hint="eastAsia"/>
          <w:b/>
          <w:bCs/>
          <w:lang w:val="en-US" w:eastAsia="ko-KR"/>
        </w:rPr>
        <w:t>P</w:t>
      </w:r>
      <w:r w:rsidRPr="00F139F4">
        <w:rPr>
          <w:rFonts w:eastAsia="맑은 고딕"/>
          <w:b/>
          <w:bCs/>
          <w:lang w:val="en-US" w:eastAsia="ko-KR"/>
        </w:rPr>
        <w:t xml:space="preserve">roposal </w:t>
      </w:r>
      <w:r w:rsidR="00977490">
        <w:rPr>
          <w:rFonts w:eastAsia="맑은 고딕"/>
          <w:b/>
          <w:bCs/>
          <w:lang w:val="en-US" w:eastAsia="ko-KR"/>
        </w:rPr>
        <w:t>8</w:t>
      </w:r>
      <w:r w:rsidRPr="00F139F4">
        <w:rPr>
          <w:rFonts w:eastAsia="맑은 고딕"/>
          <w:b/>
          <w:bCs/>
          <w:lang w:val="en-US" w:eastAsia="ko-KR"/>
        </w:rPr>
        <w:t>:</w:t>
      </w:r>
      <w:r w:rsidRPr="00F139F4">
        <w:rPr>
          <w:rFonts w:eastAsia="맑은 고딕"/>
          <w:b/>
          <w:bCs/>
          <w:lang w:val="en-US" w:eastAsia="ko-KR"/>
        </w:rPr>
        <w:tab/>
      </w:r>
      <w:r w:rsidRPr="00F139F4">
        <w:rPr>
          <w:rFonts w:eastAsia="맑은 고딕"/>
          <w:b/>
          <w:bCs/>
          <w:lang w:val="en-US" w:eastAsia="ko-KR"/>
        </w:rPr>
        <w:tab/>
        <w:t>RAN4 should clarify and describe the minimum parameter set that characterizes each PA-model instance used in evaluations for both tracks, i.e., reply to RAN1 and RAN4 study.</w:t>
      </w:r>
    </w:p>
    <w:p w14:paraId="05F8BF81" w14:textId="460BBB13" w:rsidR="005844D1" w:rsidRPr="005844D1" w:rsidRDefault="005844D1" w:rsidP="005844D1">
      <w:pPr>
        <w:jc w:val="left"/>
        <w:rPr>
          <w:rFonts w:eastAsia="맑은 고딕"/>
          <w:lang w:val="en-US" w:eastAsia="ko-KR"/>
        </w:rPr>
      </w:pPr>
      <w:r w:rsidRPr="005844D1">
        <w:rPr>
          <w:rFonts w:eastAsia="맑은 고딕"/>
          <w:lang w:val="en-US" w:eastAsia="ko-KR"/>
        </w:rPr>
        <w:t>On top of this parameter set, RAN4 can continue to treat the existing 5G-A RF requirements as a starting point and gradually refine them for 6GR as more information becomes available from the 6G UE RF study. In practice, this means that waveform- and modulation-evaluation studies in RAN4 would use PA models that are consistent with those requirements and with the Net Gain methodology agreed in RAN1, where the Tx power gain term is tied to the difference in required back-off relative to a reference PA and the SNR degradation term reflects fading channels, non-ideal channel estimation and equalization. In this way, PA modelling remains an enabling assumption for waveform evaluation and requirement discussion, rather than a separate topic that drives waveform choices by itself.</w:t>
      </w:r>
    </w:p>
    <w:p w14:paraId="2F66266B" w14:textId="1D82816F" w:rsidR="007A16CB" w:rsidRDefault="005844D1" w:rsidP="005844D1">
      <w:pPr>
        <w:jc w:val="left"/>
        <w:rPr>
          <w:rFonts w:eastAsia="맑은 고딕"/>
          <w:lang w:val="en-US" w:eastAsia="ko-KR"/>
        </w:rPr>
      </w:pPr>
      <w:r w:rsidRPr="005844D1">
        <w:rPr>
          <w:rFonts w:eastAsia="맑은 고딕"/>
          <w:lang w:val="en-US" w:eastAsia="ko-KR"/>
        </w:rPr>
        <w:t xml:space="preserve">With respect to the reply LS towards RAN1, it may therefore be sufficient that RAN4, in the near term, identifies a small number of representative PA-model profiles derived from TR 38.803-type models, </w:t>
      </w:r>
      <w:r w:rsidR="00023432" w:rsidRPr="00023432">
        <w:rPr>
          <w:rFonts w:eastAsia="맑은 고딕"/>
          <w:lang w:val="en-US" w:eastAsia="ko-KR"/>
        </w:rPr>
        <w:t>e.g., Rapp model and generalized memory-based polynomial (GMP) model,</w:t>
      </w:r>
      <w:r w:rsidR="00023432">
        <w:rPr>
          <w:rFonts w:eastAsia="맑은 고딕"/>
          <w:lang w:val="en-US" w:eastAsia="ko-KR"/>
        </w:rPr>
        <w:t xml:space="preserve"> </w:t>
      </w:r>
      <w:r w:rsidRPr="005844D1">
        <w:rPr>
          <w:rFonts w:eastAsia="맑은 고딕"/>
          <w:lang w:val="en-US" w:eastAsia="ko-KR"/>
        </w:rPr>
        <w:t>covering at least handheld UE in lower FR1 bands and around 7 GHz (PC3/PC2), and documents for each profile the main parameters listed above. These profiles can then be referenced by RAN1 for waveform evaluations such as low-PAPR UL schemes, without requiring RAN4 to introduce new PA formalisms. Over time, as the 6G UE RF study clarifies the mapping between device types, numbers of Tx/Rx chains and operating frequency ranges, additional PA profiles for IoT, reduced-capability devices or FWA can be added under the same framework. Throughout this process, it would be consistent with the agreed single-technology-framework principle that RAN4 concentrates on requirement-oriented evaluations</w:t>
      </w:r>
      <w:r w:rsidR="00F139F4">
        <w:rPr>
          <w:rFonts w:eastAsia="맑은 고딕"/>
          <w:lang w:val="en-US" w:eastAsia="ko-KR"/>
        </w:rPr>
        <w:t xml:space="preserve"> such as </w:t>
      </w:r>
      <w:r w:rsidRPr="005844D1">
        <w:rPr>
          <w:rFonts w:eastAsia="맑은 고딕"/>
          <w:lang w:val="en-US" w:eastAsia="ko-KR"/>
        </w:rPr>
        <w:t>EVM, ACLR, SEM/OBE, Net Gain and related KPIs</w:t>
      </w:r>
      <w:r w:rsidR="00F139F4">
        <w:rPr>
          <w:rFonts w:eastAsia="맑은 고딕"/>
          <w:lang w:val="en-US" w:eastAsia="ko-KR"/>
        </w:rPr>
        <w:t xml:space="preserve"> </w:t>
      </w:r>
      <w:r w:rsidRPr="005844D1">
        <w:rPr>
          <w:rFonts w:eastAsia="맑은 고딕"/>
          <w:lang w:val="en-US" w:eastAsia="ko-KR"/>
        </w:rPr>
        <w:t>while leaving decisions on introducing or discontinuing specific waveforms to RAN1, based on their broader system-level considerations.</w:t>
      </w:r>
    </w:p>
    <w:p w14:paraId="75AA6083" w14:textId="035D12B7" w:rsidR="00977490" w:rsidRPr="00236DDE" w:rsidRDefault="00977490" w:rsidP="00977490">
      <w:pPr>
        <w:jc w:val="left"/>
        <w:rPr>
          <w:rFonts w:eastAsia="맑은 고딕"/>
          <w:b/>
          <w:bCs/>
          <w:lang w:val="en-US" w:eastAsia="ko-KR"/>
        </w:rPr>
      </w:pPr>
      <w:r w:rsidRPr="00236DDE">
        <w:rPr>
          <w:rFonts w:eastAsia="맑은 고딕" w:hint="eastAsia"/>
          <w:b/>
          <w:bCs/>
          <w:lang w:val="en-US" w:eastAsia="ko-KR"/>
        </w:rPr>
        <w:t>P</w:t>
      </w:r>
      <w:r w:rsidRPr="00236DDE">
        <w:rPr>
          <w:rFonts w:eastAsia="맑은 고딕"/>
          <w:b/>
          <w:bCs/>
          <w:lang w:val="en-US" w:eastAsia="ko-KR"/>
        </w:rPr>
        <w:t xml:space="preserve">roposal </w:t>
      </w:r>
      <w:r>
        <w:rPr>
          <w:rFonts w:eastAsia="맑은 고딕"/>
          <w:b/>
          <w:bCs/>
          <w:lang w:val="en-US" w:eastAsia="ko-KR"/>
        </w:rPr>
        <w:t>9</w:t>
      </w:r>
      <w:r w:rsidRPr="00236DDE">
        <w:rPr>
          <w:rFonts w:eastAsia="맑은 고딕"/>
          <w:b/>
          <w:bCs/>
          <w:lang w:val="en-US" w:eastAsia="ko-KR"/>
        </w:rPr>
        <w:t>:</w:t>
      </w:r>
      <w:r w:rsidRPr="00236DDE">
        <w:rPr>
          <w:rFonts w:eastAsia="맑은 고딕"/>
          <w:b/>
          <w:bCs/>
          <w:lang w:val="en-US" w:eastAsia="ko-KR"/>
        </w:rPr>
        <w:tab/>
      </w:r>
      <w:r w:rsidRPr="00236DDE">
        <w:rPr>
          <w:rFonts w:eastAsia="맑은 고딕"/>
          <w:b/>
          <w:bCs/>
          <w:lang w:val="en-US" w:eastAsia="ko-KR"/>
        </w:rPr>
        <w:tab/>
        <w:t xml:space="preserve">RAN4 should select and document one or more PA model variants for RAN1 evaluation from legacy models in TR 38.803, </w:t>
      </w:r>
      <w:r w:rsidR="00023432">
        <w:rPr>
          <w:rFonts w:eastAsia="맑은 고딕"/>
          <w:b/>
          <w:bCs/>
          <w:lang w:val="en-US" w:eastAsia="ko-KR"/>
        </w:rPr>
        <w:t xml:space="preserve">e.g., </w:t>
      </w:r>
      <w:r w:rsidR="00023432" w:rsidRPr="00023432">
        <w:rPr>
          <w:rFonts w:eastAsia="맑은 고딕"/>
          <w:b/>
          <w:bCs/>
          <w:lang w:val="en-US" w:eastAsia="ko-KR"/>
        </w:rPr>
        <w:t>Rapp model and generalized memory-based polynomial (GMP) model</w:t>
      </w:r>
      <w:r w:rsidR="00023432">
        <w:rPr>
          <w:rFonts w:eastAsia="맑은 고딕"/>
          <w:b/>
          <w:bCs/>
          <w:lang w:val="en-US" w:eastAsia="ko-KR"/>
        </w:rPr>
        <w:t xml:space="preserve">, </w:t>
      </w:r>
      <w:r w:rsidRPr="00236DDE">
        <w:rPr>
          <w:rFonts w:eastAsia="맑은 고딕"/>
          <w:b/>
          <w:bCs/>
          <w:lang w:val="en-US" w:eastAsia="ko-KR"/>
        </w:rPr>
        <w:t>while continuing further discussion for enhanced models internally for RF-requirement studies.</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7183715D"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w:t>
      </w:r>
      <w:r w:rsidR="00A537B6">
        <w:t>evaluation framework, waveform candidates, PAPR reduction technique, and PA model</w:t>
      </w:r>
      <w:r w:rsidR="005D1514" w:rsidRPr="0061383F">
        <w:t xml:space="preserve"> for </w:t>
      </w:r>
      <w:r w:rsidR="00A537B6">
        <w:t>6GR waveform in RAN4</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5AA0EBFA" w14:textId="77777777" w:rsidR="002D2100" w:rsidRPr="002D2100" w:rsidRDefault="002D2100" w:rsidP="00C339B9">
      <w:pPr>
        <w:jc w:val="left"/>
        <w:rPr>
          <w:rFonts w:eastAsiaTheme="minorEastAsia"/>
          <w:lang w:eastAsia="zh-CN"/>
        </w:rPr>
      </w:pPr>
    </w:p>
    <w:p w14:paraId="57C87E78" w14:textId="10A54690" w:rsidR="00244743" w:rsidRPr="00C9081D" w:rsidRDefault="00A537B6" w:rsidP="0053767C">
      <w:pPr>
        <w:pStyle w:val="21"/>
        <w:rPr>
          <w:rStyle w:val="afe"/>
          <w:i/>
          <w:iCs/>
          <w:u w:val="single"/>
        </w:rPr>
      </w:pPr>
      <w:r>
        <w:rPr>
          <w:rStyle w:val="afe"/>
          <w:i/>
          <w:iCs/>
          <w:u w:val="single"/>
        </w:rPr>
        <w:t>Evaluation framework</w:t>
      </w:r>
    </w:p>
    <w:p w14:paraId="405F2953" w14:textId="77777777" w:rsidR="00A537B6" w:rsidRPr="007675B1" w:rsidRDefault="00A537B6" w:rsidP="00A537B6">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1:</w:t>
      </w:r>
      <w:r w:rsidRPr="007675B1">
        <w:rPr>
          <w:rFonts w:eastAsia="맑은 고딕"/>
          <w:b/>
          <w:bCs/>
          <w:lang w:val="en-US" w:eastAsia="ko-KR"/>
        </w:rPr>
        <w:tab/>
        <w:t>RAN4 study on waveform is described as evaluating candidate waveforms and potential PAPR-reduction techniques based on agreements and inputs from RAN1.</w:t>
      </w:r>
    </w:p>
    <w:p w14:paraId="1DC12C26" w14:textId="77777777" w:rsidR="00A537B6" w:rsidRPr="007675B1" w:rsidRDefault="00A537B6" w:rsidP="00A537B6">
      <w:pPr>
        <w:jc w:val="left"/>
        <w:rPr>
          <w:rFonts w:eastAsia="맑은 고딕"/>
          <w:b/>
          <w:bCs/>
          <w:lang w:val="en-US" w:eastAsia="ko-KR"/>
        </w:rPr>
      </w:pPr>
      <w:r w:rsidRPr="007675B1">
        <w:rPr>
          <w:rFonts w:eastAsia="맑은 고딕" w:hint="eastAsia"/>
          <w:b/>
          <w:bCs/>
          <w:lang w:val="en-US" w:eastAsia="ko-KR"/>
        </w:rPr>
        <w:lastRenderedPageBreak/>
        <w:t>O</w:t>
      </w:r>
      <w:r w:rsidRPr="007675B1">
        <w:rPr>
          <w:rFonts w:eastAsia="맑은 고딕"/>
          <w:b/>
          <w:bCs/>
          <w:lang w:val="en-US" w:eastAsia="ko-KR"/>
        </w:rPr>
        <w:t>bservation 2:</w:t>
      </w:r>
      <w:r w:rsidRPr="007675B1">
        <w:rPr>
          <w:rFonts w:eastAsia="맑은 고딕"/>
          <w:b/>
          <w:bCs/>
          <w:lang w:val="en-US" w:eastAsia="ko-KR"/>
        </w:rPr>
        <w:tab/>
        <w:t>RAN1 has agreed that, for uplink low-PAPR proposals, the link-level performance evaluation criterion is Net Gain under the same spectral efficiency as the reference.</w:t>
      </w:r>
    </w:p>
    <w:p w14:paraId="16C75CDD" w14:textId="77777777" w:rsidR="00A537B6" w:rsidRPr="007675B1" w:rsidRDefault="00A537B6" w:rsidP="00A537B6">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3:</w:t>
      </w:r>
      <w:r w:rsidRPr="007675B1">
        <w:rPr>
          <w:rFonts w:eastAsia="맑은 고딕"/>
          <w:b/>
          <w:bCs/>
          <w:lang w:val="en-US" w:eastAsia="ko-KR"/>
        </w:rPr>
        <w:tab/>
        <w:t>For low-PAPR schemes, Net Gain can be used as a primary link-level figure to combine Tx power gain and SNR degradation in a single metric.</w:t>
      </w:r>
    </w:p>
    <w:p w14:paraId="79424075" w14:textId="77777777" w:rsidR="00A537B6" w:rsidRPr="007675B1" w:rsidRDefault="00A537B6" w:rsidP="00A537B6">
      <w:pPr>
        <w:jc w:val="left"/>
        <w:rPr>
          <w:rFonts w:eastAsia="맑은 고딕"/>
          <w:b/>
          <w:bCs/>
          <w:lang w:val="en-US" w:eastAsia="ko-KR"/>
        </w:rPr>
      </w:pPr>
      <w:r w:rsidRPr="007675B1">
        <w:rPr>
          <w:rFonts w:eastAsia="맑은 고딕" w:hint="eastAsia"/>
          <w:b/>
          <w:bCs/>
          <w:lang w:val="en-US" w:eastAsia="ko-KR"/>
        </w:rPr>
        <w:t>P</w:t>
      </w:r>
      <w:r w:rsidRPr="007675B1">
        <w:rPr>
          <w:rFonts w:eastAsia="맑은 고딕"/>
          <w:b/>
          <w:bCs/>
          <w:lang w:val="en-US" w:eastAsia="ko-KR"/>
        </w:rPr>
        <w:t>roposal 1:</w:t>
      </w:r>
      <w:r w:rsidRPr="007675B1">
        <w:rPr>
          <w:rFonts w:eastAsia="맑은 고딕"/>
          <w:b/>
          <w:bCs/>
          <w:lang w:val="en-US" w:eastAsia="ko-KR"/>
        </w:rPr>
        <w:tab/>
      </w:r>
      <w:r w:rsidRPr="007675B1">
        <w:rPr>
          <w:rFonts w:eastAsia="맑은 고딕"/>
          <w:b/>
          <w:bCs/>
          <w:lang w:val="en-US" w:eastAsia="ko-KR"/>
        </w:rPr>
        <w:tab/>
        <w:t>Net Gain for the waveform evaluation should reflect realistic link conditions rather than idealized behavior, if required.</w:t>
      </w:r>
    </w:p>
    <w:p w14:paraId="7DAFAEDA" w14:textId="77777777" w:rsidR="00A537B6" w:rsidRPr="007675B1" w:rsidRDefault="00A537B6" w:rsidP="00A537B6">
      <w:pPr>
        <w:jc w:val="left"/>
        <w:rPr>
          <w:rFonts w:eastAsia="맑은 고딕"/>
          <w:b/>
          <w:bCs/>
          <w:lang w:val="en-US" w:eastAsia="ko-KR"/>
        </w:rPr>
      </w:pPr>
      <w:r w:rsidRPr="007675B1">
        <w:rPr>
          <w:rFonts w:eastAsia="맑은 고딕" w:hint="eastAsia"/>
          <w:b/>
          <w:bCs/>
          <w:lang w:val="en-US" w:eastAsia="ko-KR"/>
        </w:rPr>
        <w:t>O</w:t>
      </w:r>
      <w:r w:rsidRPr="007675B1">
        <w:rPr>
          <w:rFonts w:eastAsia="맑은 고딕"/>
          <w:b/>
          <w:bCs/>
          <w:lang w:val="en-US" w:eastAsia="ko-KR"/>
        </w:rPr>
        <w:t>bservation 4:</w:t>
      </w:r>
      <w:r w:rsidRPr="007675B1">
        <w:rPr>
          <w:rFonts w:eastAsia="맑은 고딕"/>
          <w:b/>
          <w:bCs/>
          <w:lang w:val="en-US" w:eastAsia="ko-KR"/>
        </w:rPr>
        <w:tab/>
        <w:t>RAN1 observed that the performance of specific low-PAPR techniques such as frequency-domain spectrum shaping on uplink DFT-s-OFDM is sensitive to whether the transmitter and receiver filters are properly matched.</w:t>
      </w:r>
    </w:p>
    <w:p w14:paraId="57D3E631" w14:textId="77777777" w:rsidR="00A537B6" w:rsidRPr="007675B1" w:rsidRDefault="00A537B6" w:rsidP="00A537B6">
      <w:pPr>
        <w:jc w:val="left"/>
        <w:rPr>
          <w:rFonts w:eastAsia="맑은 고딕"/>
          <w:b/>
          <w:bCs/>
          <w:lang w:val="en-US" w:eastAsia="ko-KR"/>
        </w:rPr>
      </w:pPr>
      <w:r w:rsidRPr="007675B1">
        <w:rPr>
          <w:rFonts w:eastAsia="맑은 고딕"/>
          <w:b/>
          <w:bCs/>
          <w:lang w:val="en-US" w:eastAsia="ko-KR"/>
        </w:rPr>
        <w:t>Proposal 2:</w:t>
      </w:r>
      <w:r w:rsidRPr="007675B1">
        <w:rPr>
          <w:rFonts w:eastAsia="맑은 고딕"/>
          <w:b/>
          <w:bCs/>
          <w:lang w:val="en-US" w:eastAsia="ko-KR"/>
        </w:rPr>
        <w:tab/>
      </w:r>
      <w:r w:rsidRPr="007675B1">
        <w:rPr>
          <w:rFonts w:eastAsia="맑은 고딕"/>
          <w:b/>
          <w:bCs/>
          <w:lang w:val="en-US" w:eastAsia="ko-KR"/>
        </w:rPr>
        <w:tab/>
        <w:t>When studying FDSS on uplink DFT-s-OFDM, the proposed Net Gain should reflect the receiver mismatch.</w:t>
      </w:r>
    </w:p>
    <w:p w14:paraId="3153B65D" w14:textId="2BF028D7" w:rsidR="0053767C" w:rsidRDefault="00A537B6" w:rsidP="00244743">
      <w:pPr>
        <w:jc w:val="left"/>
        <w:rPr>
          <w:rFonts w:eastAsia="맑은 고딕"/>
          <w:b/>
          <w:bCs/>
          <w:lang w:val="en-US" w:eastAsia="ko-KR"/>
        </w:rPr>
      </w:pPr>
      <w:r w:rsidRPr="007675B1">
        <w:rPr>
          <w:rFonts w:eastAsia="맑은 고딕"/>
          <w:b/>
          <w:bCs/>
          <w:lang w:val="en-US" w:eastAsia="ko-KR"/>
        </w:rPr>
        <w:t>Proposal 3:</w:t>
      </w:r>
      <w:r w:rsidRPr="007675B1">
        <w:rPr>
          <w:rFonts w:eastAsia="맑은 고딕"/>
          <w:b/>
          <w:bCs/>
          <w:lang w:val="en-US" w:eastAsia="ko-KR"/>
        </w:rPr>
        <w:tab/>
      </w:r>
      <w:r w:rsidRPr="007675B1">
        <w:rPr>
          <w:rFonts w:eastAsia="맑은 고딕"/>
          <w:b/>
          <w:bCs/>
          <w:lang w:val="en-US" w:eastAsia="ko-KR"/>
        </w:rPr>
        <w:tab/>
        <w:t xml:space="preserve">RAN4 focuses first on </w:t>
      </w:r>
      <w:r w:rsidRPr="007675B1">
        <w:rPr>
          <w:b/>
          <w:bCs/>
          <w:szCs w:val="24"/>
          <w:lang w:eastAsia="zh-CN"/>
        </w:rPr>
        <w:t>the foundational evaluation framework</w:t>
      </w:r>
      <w:r w:rsidRPr="007675B1">
        <w:rPr>
          <w:rFonts w:eastAsia="맑은 고딕"/>
          <w:b/>
          <w:bCs/>
          <w:lang w:val="en-US" w:eastAsia="ko-KR"/>
        </w:rPr>
        <w:t>, while treating topics such as uplink multi-rank DFT-s-OFDM and downlink DFT-s-OFDM as items that would only be taken up if RAN1 provides clear evidence of meaningful gains from a system perspective.</w:t>
      </w:r>
    </w:p>
    <w:p w14:paraId="375B874A" w14:textId="77777777" w:rsidR="002D2100" w:rsidRPr="00A537B6" w:rsidRDefault="002D2100" w:rsidP="00244743">
      <w:pPr>
        <w:jc w:val="left"/>
        <w:rPr>
          <w:rFonts w:eastAsia="맑은 고딕"/>
          <w:b/>
          <w:bCs/>
          <w:lang w:val="en-US" w:eastAsia="ko-KR"/>
        </w:rPr>
      </w:pPr>
    </w:p>
    <w:p w14:paraId="46EA5E35" w14:textId="7C988002" w:rsidR="0053767C" w:rsidRPr="00C9081D" w:rsidRDefault="00A537B6" w:rsidP="0053767C">
      <w:pPr>
        <w:pStyle w:val="21"/>
        <w:rPr>
          <w:rStyle w:val="afe"/>
          <w:i/>
          <w:iCs/>
          <w:u w:val="single"/>
        </w:rPr>
      </w:pPr>
      <w:r>
        <w:rPr>
          <w:rStyle w:val="afe"/>
          <w:i/>
          <w:iCs/>
          <w:u w:val="single"/>
        </w:rPr>
        <w:t>W</w:t>
      </w:r>
      <w:r w:rsidRPr="00A537B6">
        <w:rPr>
          <w:rStyle w:val="afe"/>
          <w:i/>
          <w:iCs/>
          <w:u w:val="single"/>
        </w:rPr>
        <w:t>aveform candidates and PAPR reduction techniques</w:t>
      </w:r>
    </w:p>
    <w:p w14:paraId="70B3C68B" w14:textId="77777777" w:rsidR="00A537B6" w:rsidRPr="00871582" w:rsidRDefault="00A537B6" w:rsidP="00A537B6">
      <w:pPr>
        <w:jc w:val="left"/>
        <w:rPr>
          <w:rFonts w:eastAsia="맑은 고딕"/>
          <w:b/>
          <w:bCs/>
          <w:lang w:val="en-US" w:eastAsia="ko-KR"/>
        </w:rPr>
      </w:pPr>
      <w:r w:rsidRPr="00871582">
        <w:rPr>
          <w:rFonts w:eastAsia="맑은 고딕" w:hint="eastAsia"/>
          <w:b/>
          <w:bCs/>
          <w:lang w:val="en-US" w:eastAsia="ko-KR"/>
        </w:rPr>
        <w:t>O</w:t>
      </w:r>
      <w:r w:rsidRPr="00871582">
        <w:rPr>
          <w:rFonts w:eastAsia="맑은 고딕"/>
          <w:b/>
          <w:bCs/>
          <w:lang w:val="en-US" w:eastAsia="ko-KR"/>
        </w:rPr>
        <w:t>bservation 5:</w:t>
      </w:r>
      <w:r w:rsidRPr="00871582">
        <w:rPr>
          <w:rFonts w:eastAsia="맑은 고딕"/>
          <w:b/>
          <w:bCs/>
          <w:lang w:val="en-US" w:eastAsia="ko-KR"/>
        </w:rPr>
        <w:tab/>
        <w:t>RAN4 agreed that waveform discussions in RAN4 are expected to build on RAN1 agreements, with the main focus on evaluating candidate waveforms and low-PAPR techniques from an RF-requirement perspective, rather than introducing new waveforms independently in RAN4.</w:t>
      </w:r>
    </w:p>
    <w:p w14:paraId="3BD4AC85" w14:textId="77777777" w:rsidR="00A537B6" w:rsidRPr="00871582" w:rsidRDefault="00A537B6" w:rsidP="00A537B6">
      <w:pPr>
        <w:jc w:val="left"/>
        <w:rPr>
          <w:rFonts w:eastAsia="맑은 고딕"/>
          <w:b/>
          <w:bCs/>
          <w:lang w:val="en-US" w:eastAsia="ko-KR"/>
        </w:rPr>
      </w:pPr>
      <w:r w:rsidRPr="00871582">
        <w:rPr>
          <w:rFonts w:eastAsia="맑은 고딕" w:hint="eastAsia"/>
          <w:b/>
          <w:bCs/>
          <w:lang w:val="en-US" w:eastAsia="ko-KR"/>
        </w:rPr>
        <w:t>O</w:t>
      </w:r>
      <w:r w:rsidRPr="00871582">
        <w:rPr>
          <w:rFonts w:eastAsia="맑은 고딕"/>
          <w:b/>
          <w:bCs/>
          <w:lang w:val="en-US" w:eastAsia="ko-KR"/>
        </w:rPr>
        <w:t>bservation 6:</w:t>
      </w:r>
      <w:r w:rsidRPr="00871582">
        <w:rPr>
          <w:rFonts w:eastAsia="맑은 고딕"/>
          <w:b/>
          <w:bCs/>
          <w:lang w:val="en-US" w:eastAsia="ko-KR"/>
        </w:rPr>
        <w:tab/>
        <w:t>6G SID emphasizes a single-technology framework and a common design, which discourages early SI-phase studies that are tailored to specific downlink scenarios or device types.</w:t>
      </w:r>
    </w:p>
    <w:p w14:paraId="68EB450D" w14:textId="77777777" w:rsidR="00A537B6" w:rsidRPr="00871582" w:rsidRDefault="00A537B6" w:rsidP="00A537B6">
      <w:pPr>
        <w:jc w:val="left"/>
        <w:rPr>
          <w:rFonts w:eastAsia="맑은 고딕"/>
          <w:b/>
          <w:bCs/>
          <w:lang w:val="en-US" w:eastAsia="ko-KR"/>
        </w:rPr>
      </w:pPr>
      <w:r w:rsidRPr="00871582">
        <w:rPr>
          <w:rFonts w:eastAsia="맑은 고딕" w:hint="eastAsia"/>
          <w:b/>
          <w:bCs/>
          <w:lang w:val="en-US" w:eastAsia="ko-KR"/>
        </w:rPr>
        <w:t>O</w:t>
      </w:r>
      <w:r w:rsidRPr="00871582">
        <w:rPr>
          <w:rFonts w:eastAsia="맑은 고딕"/>
          <w:b/>
          <w:bCs/>
          <w:lang w:val="en-US" w:eastAsia="ko-KR"/>
        </w:rPr>
        <w:t>bservation 7:</w:t>
      </w:r>
      <w:r w:rsidRPr="00871582">
        <w:rPr>
          <w:rFonts w:eastAsia="맑은 고딕"/>
          <w:b/>
          <w:bCs/>
          <w:lang w:val="en-US" w:eastAsia="ko-KR"/>
        </w:rPr>
        <w:tab/>
        <w:t>Recent RAN1 studies on DL DFT-s-OFDM show that the practical coverage or efficiency benefit of introducing DFT-s-OFDM on the downlink is negligible, while the scheduling, multiplexing and implementation costs would be significant.</w:t>
      </w:r>
    </w:p>
    <w:p w14:paraId="24C502A7" w14:textId="77777777" w:rsidR="00A537B6" w:rsidRPr="00871582" w:rsidRDefault="00A537B6" w:rsidP="00A537B6">
      <w:pPr>
        <w:jc w:val="left"/>
        <w:rPr>
          <w:rFonts w:eastAsia="맑은 고딕"/>
          <w:b/>
          <w:bCs/>
          <w:lang w:val="en-US" w:eastAsia="ko-KR"/>
        </w:rPr>
      </w:pPr>
      <w:r w:rsidRPr="00871582">
        <w:rPr>
          <w:rFonts w:eastAsia="맑은 고딕"/>
          <w:b/>
          <w:bCs/>
          <w:lang w:val="en-US" w:eastAsia="ko-KR"/>
        </w:rPr>
        <w:t>Proposal 4:</w:t>
      </w:r>
      <w:r w:rsidRPr="00871582">
        <w:rPr>
          <w:rFonts w:eastAsia="맑은 고딕"/>
          <w:b/>
          <w:bCs/>
          <w:lang w:val="en-US" w:eastAsia="ko-KR"/>
        </w:rPr>
        <w:tab/>
      </w:r>
      <w:r w:rsidRPr="00871582">
        <w:rPr>
          <w:rFonts w:eastAsia="맑은 고딕"/>
          <w:b/>
          <w:bCs/>
          <w:lang w:val="en-US" w:eastAsia="ko-KR"/>
        </w:rPr>
        <w:tab/>
        <w:t>RAN4 should not initiate a separate SI-level RF study on DL DFT-s-OFDM at this stage unless RAN1 reaches a different conclusion and provides concrete DL waveform requests.</w:t>
      </w:r>
    </w:p>
    <w:p w14:paraId="35038EF8" w14:textId="77777777" w:rsidR="00A537B6" w:rsidRPr="0024633D" w:rsidRDefault="00A537B6" w:rsidP="00A537B6">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8:</w:t>
      </w:r>
      <w:r w:rsidRPr="0024633D">
        <w:rPr>
          <w:rFonts w:eastAsia="맑은 고딕"/>
          <w:b/>
          <w:bCs/>
          <w:lang w:val="en-US" w:eastAsia="ko-KR"/>
        </w:rPr>
        <w:tab/>
        <w:t>RAN4 agreed that PAPR reduction techniques can be considered together with UE PA behavior (MPR-0, memory effects, DPD, etc.) when evaluating 6GR UL performance.</w:t>
      </w:r>
    </w:p>
    <w:p w14:paraId="649092D0" w14:textId="77777777" w:rsidR="00A537B6" w:rsidRPr="00125C2C" w:rsidRDefault="00A537B6" w:rsidP="00A537B6">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9:</w:t>
      </w:r>
      <w:r w:rsidRPr="0024633D">
        <w:rPr>
          <w:rFonts w:eastAsia="맑은 고딕"/>
          <w:b/>
          <w:bCs/>
          <w:lang w:val="en-US" w:eastAsia="ko-KR"/>
        </w:rPr>
        <w:tab/>
        <w:t>FDSS with a HSP filter applied to π/2-BPSK DFT-s-OFDM with non-transparent FDSS can achieve very low PAPR, below 1 dB while still meeting in-band emission requirements under reasonable spectrum-extension ratios.</w:t>
      </w:r>
    </w:p>
    <w:p w14:paraId="195D23C9" w14:textId="77777777" w:rsidR="00A537B6" w:rsidRPr="00C97E71" w:rsidRDefault="00A537B6" w:rsidP="00A537B6">
      <w:pPr>
        <w:jc w:val="left"/>
        <w:rPr>
          <w:rFonts w:eastAsia="맑은 고딕"/>
          <w:b/>
          <w:bCs/>
          <w:lang w:val="en-US" w:eastAsia="ko-KR"/>
        </w:rPr>
      </w:pPr>
      <w:r w:rsidRPr="00C97E71">
        <w:rPr>
          <w:rFonts w:eastAsia="맑은 고딕" w:hint="eastAsia"/>
          <w:b/>
          <w:bCs/>
          <w:lang w:val="en-US" w:eastAsia="ko-KR"/>
        </w:rPr>
        <w:t>P</w:t>
      </w:r>
      <w:r w:rsidRPr="00C97E71">
        <w:rPr>
          <w:rFonts w:eastAsia="맑은 고딕"/>
          <w:b/>
          <w:bCs/>
          <w:lang w:val="en-US" w:eastAsia="ko-KR"/>
        </w:rPr>
        <w:t>roposal 5:</w:t>
      </w:r>
      <w:r w:rsidRPr="00C97E71">
        <w:rPr>
          <w:rFonts w:eastAsia="맑은 고딕"/>
          <w:b/>
          <w:bCs/>
          <w:lang w:val="en-US" w:eastAsia="ko-KR"/>
        </w:rPr>
        <w:tab/>
      </w:r>
      <w:r w:rsidRPr="00C97E71">
        <w:rPr>
          <w:rFonts w:eastAsia="맑은 고딕"/>
          <w:b/>
          <w:bCs/>
          <w:lang w:val="en-US" w:eastAsia="ko-KR"/>
        </w:rPr>
        <w:tab/>
        <w:t xml:space="preserve">In RAN4, it is sufficient to focus on representative non-transparent FDSS cases applied to π/2-BPSK DFT-s-OFDM for </w:t>
      </w:r>
      <w:r>
        <w:rPr>
          <w:rFonts w:eastAsia="맑은 고딕"/>
          <w:b/>
          <w:bCs/>
          <w:lang w:val="en-US" w:eastAsia="ko-KR"/>
        </w:rPr>
        <w:t xml:space="preserve">their evaluation of </w:t>
      </w:r>
      <w:r w:rsidRPr="00C97E71">
        <w:rPr>
          <w:rFonts w:eastAsia="맑은 고딕"/>
          <w:b/>
          <w:bCs/>
          <w:lang w:val="en-US" w:eastAsia="ko-KR"/>
        </w:rPr>
        <w:t>uplink low-PAPR enhancements.</w:t>
      </w:r>
    </w:p>
    <w:p w14:paraId="253290EA" w14:textId="77777777" w:rsidR="00A537B6" w:rsidRPr="0024633D" w:rsidRDefault="00A537B6" w:rsidP="00A537B6">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10:</w:t>
      </w:r>
      <w:r w:rsidRPr="0024633D">
        <w:rPr>
          <w:rFonts w:eastAsia="맑은 고딕"/>
          <w:b/>
          <w:bCs/>
          <w:lang w:val="en-US" w:eastAsia="ko-KR"/>
        </w:rPr>
        <w:tab/>
        <w:t>For uplink multi-rank DFT-s-OFDM, current RAN1 studies suggest that extending the existing DFT-s-OFDM waveform beyond rank-1 does not provide clear system-level gains under realistic assumptions.</w:t>
      </w:r>
    </w:p>
    <w:p w14:paraId="1FEE3202" w14:textId="77777777" w:rsidR="00A537B6" w:rsidRPr="0024633D" w:rsidRDefault="00A537B6" w:rsidP="00A537B6">
      <w:pPr>
        <w:jc w:val="left"/>
        <w:rPr>
          <w:rFonts w:eastAsia="맑은 고딕"/>
          <w:b/>
          <w:bCs/>
          <w:lang w:val="en-US" w:eastAsia="ko-KR"/>
        </w:rPr>
      </w:pPr>
      <w:r w:rsidRPr="0024633D">
        <w:rPr>
          <w:rFonts w:eastAsia="맑은 고딕" w:hint="eastAsia"/>
          <w:b/>
          <w:bCs/>
          <w:lang w:val="en-US" w:eastAsia="ko-KR"/>
        </w:rPr>
        <w:t>O</w:t>
      </w:r>
      <w:r w:rsidRPr="0024633D">
        <w:rPr>
          <w:rFonts w:eastAsia="맑은 고딕"/>
          <w:b/>
          <w:bCs/>
          <w:lang w:val="en-US" w:eastAsia="ko-KR"/>
        </w:rPr>
        <w:t>bservation 11:</w:t>
      </w:r>
      <w:r w:rsidRPr="0024633D">
        <w:rPr>
          <w:rFonts w:eastAsia="맑은 고딕"/>
          <w:b/>
          <w:bCs/>
          <w:lang w:val="en-US" w:eastAsia="ko-KR"/>
        </w:rPr>
        <w:tab/>
        <w:t>Multi-layer DFT-s-OFDM does not introduce fundamentally new RF-requirement questions beyond those already handled through MPR, EVM and emission limits for existing UL waveforms.</w:t>
      </w:r>
    </w:p>
    <w:p w14:paraId="100137C4" w14:textId="77777777" w:rsidR="00A537B6" w:rsidRPr="0024633D" w:rsidRDefault="00A537B6" w:rsidP="00A537B6">
      <w:pPr>
        <w:jc w:val="left"/>
        <w:rPr>
          <w:rFonts w:eastAsia="맑은 고딕"/>
          <w:b/>
          <w:bCs/>
          <w:lang w:val="en-US" w:eastAsia="ko-KR"/>
        </w:rPr>
      </w:pPr>
      <w:r w:rsidRPr="0024633D">
        <w:rPr>
          <w:rFonts w:eastAsia="맑은 고딕" w:hint="eastAsia"/>
          <w:b/>
          <w:bCs/>
          <w:lang w:val="en-US" w:eastAsia="ko-KR"/>
        </w:rPr>
        <w:t>P</w:t>
      </w:r>
      <w:r w:rsidRPr="0024633D">
        <w:rPr>
          <w:rFonts w:eastAsia="맑은 고딕"/>
          <w:b/>
          <w:bCs/>
          <w:lang w:val="en-US" w:eastAsia="ko-KR"/>
        </w:rPr>
        <w:t>roposal 6:</w:t>
      </w:r>
      <w:r w:rsidRPr="0024633D">
        <w:rPr>
          <w:rFonts w:eastAsia="맑은 고딕"/>
          <w:b/>
          <w:bCs/>
          <w:lang w:val="en-US" w:eastAsia="ko-KR"/>
        </w:rPr>
        <w:tab/>
      </w:r>
      <w:r w:rsidRPr="0024633D">
        <w:rPr>
          <w:rFonts w:eastAsia="맑은 고딕"/>
          <w:b/>
          <w:bCs/>
          <w:lang w:val="en-US" w:eastAsia="ko-KR"/>
        </w:rPr>
        <w:tab/>
        <w:t>RAN4 should not initiate a general UL multi-rank DFT-s-OFDM study of its own unless RAN1 later requests specific RF assessments for a clearly defined rank scope and deployment scenario.</w:t>
      </w:r>
    </w:p>
    <w:p w14:paraId="19C52728" w14:textId="4D61EACA" w:rsidR="00A537B6" w:rsidRDefault="00A537B6" w:rsidP="00A537B6">
      <w:pPr>
        <w:jc w:val="left"/>
        <w:rPr>
          <w:rFonts w:eastAsia="맑은 고딕"/>
          <w:b/>
          <w:bCs/>
          <w:lang w:val="en-US" w:eastAsia="ko-KR"/>
        </w:rPr>
      </w:pPr>
      <w:r w:rsidRPr="00236DDE">
        <w:rPr>
          <w:rFonts w:eastAsia="맑은 고딕" w:hint="eastAsia"/>
          <w:b/>
          <w:bCs/>
          <w:lang w:val="en-US" w:eastAsia="ko-KR"/>
        </w:rPr>
        <w:t>P</w:t>
      </w:r>
      <w:r w:rsidRPr="00236DDE">
        <w:rPr>
          <w:rFonts w:eastAsia="맑은 고딕"/>
          <w:b/>
          <w:bCs/>
          <w:lang w:val="en-US" w:eastAsia="ko-KR"/>
        </w:rPr>
        <w:t>roposal 7:</w:t>
      </w:r>
      <w:r w:rsidRPr="00236DDE">
        <w:rPr>
          <w:rFonts w:eastAsia="맑은 고딕"/>
          <w:b/>
          <w:bCs/>
          <w:lang w:val="en-US" w:eastAsia="ko-KR"/>
        </w:rPr>
        <w:tab/>
      </w:r>
      <w:r w:rsidRPr="00236DDE">
        <w:rPr>
          <w:rFonts w:eastAsia="맑은 고딕"/>
          <w:b/>
          <w:bCs/>
          <w:lang w:val="en-US" w:eastAsia="ko-KR"/>
        </w:rPr>
        <w:tab/>
        <w:t>RAN4 should refrain from introducing DL DFT-s-OFDM into the RAN4 study scope, unless future RAN1 agreements provide a clear and broad justification.</w:t>
      </w:r>
    </w:p>
    <w:p w14:paraId="4079171B" w14:textId="77777777" w:rsidR="002D2100" w:rsidRPr="00236DDE" w:rsidRDefault="002D2100" w:rsidP="00A537B6">
      <w:pPr>
        <w:jc w:val="left"/>
        <w:rPr>
          <w:rFonts w:eastAsia="맑은 고딕"/>
          <w:b/>
          <w:bCs/>
          <w:lang w:val="en-US" w:eastAsia="ko-KR"/>
        </w:rPr>
      </w:pPr>
    </w:p>
    <w:p w14:paraId="282CF2D1" w14:textId="4E7D59EE" w:rsidR="0053767C" w:rsidRPr="00C9081D" w:rsidRDefault="00A537B6" w:rsidP="0053767C">
      <w:pPr>
        <w:pStyle w:val="21"/>
        <w:rPr>
          <w:rStyle w:val="afe"/>
          <w:i/>
          <w:iCs/>
          <w:u w:val="single"/>
        </w:rPr>
      </w:pPr>
      <w:r>
        <w:rPr>
          <w:rStyle w:val="afe"/>
          <w:i/>
          <w:iCs/>
          <w:u w:val="single"/>
          <w:lang w:val="en-US"/>
        </w:rPr>
        <w:t>PA model</w:t>
      </w:r>
    </w:p>
    <w:p w14:paraId="210A325D" w14:textId="77777777" w:rsidR="00A537B6" w:rsidRPr="00236DDE" w:rsidRDefault="00A537B6" w:rsidP="00A537B6">
      <w:pPr>
        <w:jc w:val="left"/>
        <w:rPr>
          <w:rFonts w:eastAsia="맑은 고딕"/>
          <w:b/>
          <w:bCs/>
          <w:lang w:val="en-US" w:eastAsia="ko-KR"/>
        </w:rPr>
      </w:pPr>
      <w:r w:rsidRPr="00236DDE">
        <w:rPr>
          <w:rFonts w:eastAsia="맑은 고딕" w:hint="eastAsia"/>
          <w:b/>
          <w:bCs/>
          <w:lang w:val="en-US" w:eastAsia="ko-KR"/>
        </w:rPr>
        <w:lastRenderedPageBreak/>
        <w:t>O</w:t>
      </w:r>
      <w:r w:rsidRPr="00236DDE">
        <w:rPr>
          <w:rFonts w:eastAsia="맑은 고딕"/>
          <w:b/>
          <w:bCs/>
          <w:lang w:val="en-US" w:eastAsia="ko-KR"/>
        </w:rPr>
        <w:t>bservation 12:</w:t>
      </w:r>
      <w:r w:rsidRPr="00236DDE">
        <w:rPr>
          <w:rFonts w:eastAsia="맑은 고딕"/>
          <w:b/>
          <w:bCs/>
          <w:lang w:val="en-US" w:eastAsia="ko-KR"/>
        </w:rPr>
        <w:tab/>
        <w:t>RAN4 agreed that PA models used for RAN1 waveform evaluations and those used for RAN4 requirements discussions can be decoupled.</w:t>
      </w:r>
    </w:p>
    <w:p w14:paraId="1F3AEB62" w14:textId="77777777" w:rsidR="00A537B6" w:rsidRPr="00F139F4" w:rsidRDefault="00A537B6" w:rsidP="00A537B6">
      <w:pPr>
        <w:jc w:val="left"/>
        <w:rPr>
          <w:rFonts w:eastAsia="맑은 고딕"/>
          <w:b/>
          <w:bCs/>
          <w:lang w:val="en-US" w:eastAsia="ko-KR"/>
        </w:rPr>
      </w:pPr>
      <w:r w:rsidRPr="00F139F4">
        <w:rPr>
          <w:rFonts w:eastAsia="맑은 고딕" w:hint="eastAsia"/>
          <w:b/>
          <w:bCs/>
          <w:lang w:val="en-US" w:eastAsia="ko-KR"/>
        </w:rPr>
        <w:t>P</w:t>
      </w:r>
      <w:r w:rsidRPr="00F139F4">
        <w:rPr>
          <w:rFonts w:eastAsia="맑은 고딕"/>
          <w:b/>
          <w:bCs/>
          <w:lang w:val="en-US" w:eastAsia="ko-KR"/>
        </w:rPr>
        <w:t xml:space="preserve">roposal </w:t>
      </w:r>
      <w:r>
        <w:rPr>
          <w:rFonts w:eastAsia="맑은 고딕"/>
          <w:b/>
          <w:bCs/>
          <w:lang w:val="en-US" w:eastAsia="ko-KR"/>
        </w:rPr>
        <w:t>8</w:t>
      </w:r>
      <w:r w:rsidRPr="00F139F4">
        <w:rPr>
          <w:rFonts w:eastAsia="맑은 고딕"/>
          <w:b/>
          <w:bCs/>
          <w:lang w:val="en-US" w:eastAsia="ko-KR"/>
        </w:rPr>
        <w:t>:</w:t>
      </w:r>
      <w:r w:rsidRPr="00F139F4">
        <w:rPr>
          <w:rFonts w:eastAsia="맑은 고딕"/>
          <w:b/>
          <w:bCs/>
          <w:lang w:val="en-US" w:eastAsia="ko-KR"/>
        </w:rPr>
        <w:tab/>
      </w:r>
      <w:r w:rsidRPr="00F139F4">
        <w:rPr>
          <w:rFonts w:eastAsia="맑은 고딕"/>
          <w:b/>
          <w:bCs/>
          <w:lang w:val="en-US" w:eastAsia="ko-KR"/>
        </w:rPr>
        <w:tab/>
        <w:t>RAN4 should clarify and describe the minimum parameter set that characterizes each PA-model instance used in evaluations for both tracks, i.e., reply to RAN1 and RAN4 study.</w:t>
      </w:r>
    </w:p>
    <w:p w14:paraId="3264E106" w14:textId="77777777" w:rsidR="00A537B6" w:rsidRPr="00236DDE" w:rsidRDefault="00A537B6" w:rsidP="00A537B6">
      <w:pPr>
        <w:jc w:val="left"/>
        <w:rPr>
          <w:rFonts w:eastAsia="맑은 고딕"/>
          <w:b/>
          <w:bCs/>
          <w:lang w:val="en-US" w:eastAsia="ko-KR"/>
        </w:rPr>
      </w:pPr>
      <w:r w:rsidRPr="00236DDE">
        <w:rPr>
          <w:rFonts w:eastAsia="맑은 고딕" w:hint="eastAsia"/>
          <w:b/>
          <w:bCs/>
          <w:lang w:val="en-US" w:eastAsia="ko-KR"/>
        </w:rPr>
        <w:t>P</w:t>
      </w:r>
      <w:r w:rsidRPr="00236DDE">
        <w:rPr>
          <w:rFonts w:eastAsia="맑은 고딕"/>
          <w:b/>
          <w:bCs/>
          <w:lang w:val="en-US" w:eastAsia="ko-KR"/>
        </w:rPr>
        <w:t xml:space="preserve">roposal </w:t>
      </w:r>
      <w:r>
        <w:rPr>
          <w:rFonts w:eastAsia="맑은 고딕"/>
          <w:b/>
          <w:bCs/>
          <w:lang w:val="en-US" w:eastAsia="ko-KR"/>
        </w:rPr>
        <w:t>9</w:t>
      </w:r>
      <w:r w:rsidRPr="00236DDE">
        <w:rPr>
          <w:rFonts w:eastAsia="맑은 고딕"/>
          <w:b/>
          <w:bCs/>
          <w:lang w:val="en-US" w:eastAsia="ko-KR"/>
        </w:rPr>
        <w:t>:</w:t>
      </w:r>
      <w:r w:rsidRPr="00236DDE">
        <w:rPr>
          <w:rFonts w:eastAsia="맑은 고딕"/>
          <w:b/>
          <w:bCs/>
          <w:lang w:val="en-US" w:eastAsia="ko-KR"/>
        </w:rPr>
        <w:tab/>
      </w:r>
      <w:r w:rsidRPr="00236DDE">
        <w:rPr>
          <w:rFonts w:eastAsia="맑은 고딕"/>
          <w:b/>
          <w:bCs/>
          <w:lang w:val="en-US" w:eastAsia="ko-KR"/>
        </w:rPr>
        <w:tab/>
        <w:t xml:space="preserve">RAN4 should select and document one or more PA model variants for RAN1 evaluation from legacy models in TR 38.803, </w:t>
      </w:r>
      <w:r>
        <w:rPr>
          <w:rFonts w:eastAsia="맑은 고딕"/>
          <w:b/>
          <w:bCs/>
          <w:lang w:val="en-US" w:eastAsia="ko-KR"/>
        </w:rPr>
        <w:t xml:space="preserve">e.g., </w:t>
      </w:r>
      <w:r w:rsidRPr="00023432">
        <w:rPr>
          <w:rFonts w:eastAsia="맑은 고딕"/>
          <w:b/>
          <w:bCs/>
          <w:lang w:val="en-US" w:eastAsia="ko-KR"/>
        </w:rPr>
        <w:t>Rapp model and generalized memory-based polynomial (GMP) model</w:t>
      </w:r>
      <w:r>
        <w:rPr>
          <w:rFonts w:eastAsia="맑은 고딕"/>
          <w:b/>
          <w:bCs/>
          <w:lang w:val="en-US" w:eastAsia="ko-KR"/>
        </w:rPr>
        <w:t xml:space="preserve">, </w:t>
      </w:r>
      <w:r w:rsidRPr="00236DDE">
        <w:rPr>
          <w:rFonts w:eastAsia="맑은 고딕"/>
          <w:b/>
          <w:bCs/>
          <w:lang w:val="en-US" w:eastAsia="ko-KR"/>
        </w:rPr>
        <w:t>while continuing further discussion for enhanced models internally for RF-requirement studies.</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7D9809F4"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D97CEA">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D97CEA">
        <w:rPr>
          <w:rFonts w:eastAsia="맑은 고딕"/>
          <w:lang w:eastAsia="ko-KR"/>
        </w:rPr>
        <w:tab/>
      </w:r>
      <w:r w:rsidR="00D97CEA">
        <w:rPr>
          <w:rFonts w:eastAsia="맑은 고딕"/>
          <w:lang w:eastAsia="ko-KR"/>
        </w:rPr>
        <w:tab/>
      </w:r>
      <w:r w:rsidR="00D97CEA">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3B390EA5"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r>
      <w:r w:rsidR="00D97CEA">
        <w:t>R4-2514641</w:t>
      </w:r>
      <w:r>
        <w:rPr>
          <w:rFonts w:eastAsia="맑은 고딕"/>
          <w:lang w:eastAsia="ko-KR"/>
        </w:rPr>
        <w:tab/>
      </w:r>
      <w:r w:rsidR="00D97CEA">
        <w:rPr>
          <w:rFonts w:eastAsia="맑은 고딕"/>
          <w:lang w:eastAsia="ko-KR"/>
        </w:rPr>
        <w:tab/>
      </w:r>
      <w:r w:rsidR="00D97CEA" w:rsidRPr="00D97CEA">
        <w:rPr>
          <w:rFonts w:eastAsia="맑은 고딕"/>
          <w:lang w:eastAsia="ko-KR"/>
        </w:rPr>
        <w:t>WF for 6GR system parameter</w:t>
      </w:r>
      <w:r w:rsidR="00D97CEA">
        <w:rPr>
          <w:rFonts w:eastAsia="맑은 고딕"/>
          <w:lang w:eastAsia="ko-KR"/>
        </w:rPr>
        <w:tab/>
      </w:r>
      <w:r w:rsidR="00D97CEA">
        <w:rPr>
          <w:rFonts w:eastAsia="맑은 고딕"/>
          <w:lang w:eastAsia="ko-KR"/>
        </w:rPr>
        <w:tab/>
      </w:r>
      <w:r>
        <w:rPr>
          <w:rFonts w:eastAsia="맑은 고딕"/>
          <w:lang w:eastAsia="ko-KR"/>
        </w:rPr>
        <w:tab/>
      </w:r>
      <w:r w:rsidR="00D97CEA">
        <w:rPr>
          <w:rFonts w:eastAsia="맑은 고딕"/>
          <w:lang w:eastAsia="ko-KR"/>
        </w:rPr>
        <w:tab/>
      </w:r>
      <w:r w:rsidR="00D97CEA">
        <w:rPr>
          <w:rFonts w:eastAsia="맑은 고딕"/>
          <w:lang w:eastAsia="ko-KR"/>
        </w:rPr>
        <w:tab/>
      </w:r>
      <w:r w:rsidR="00D97CEA">
        <w:rPr>
          <w:rFonts w:eastAsia="맑은 고딕"/>
          <w:lang w:eastAsia="ko-KR"/>
        </w:rPr>
        <w:tab/>
      </w:r>
      <w:r>
        <w:rPr>
          <w:rFonts w:eastAsia="맑은 고딕"/>
          <w:lang w:eastAsia="ko-KR"/>
        </w:rPr>
        <w:t>RAN4#116</w:t>
      </w:r>
      <w:r w:rsidR="00D97CEA">
        <w:rPr>
          <w:rFonts w:eastAsia="맑은 고딕"/>
          <w:lang w:eastAsia="ko-KR"/>
        </w:rPr>
        <w:t>bis</w:t>
      </w:r>
    </w:p>
    <w:p w14:paraId="09EAEA21" w14:textId="6B0F3D1B" w:rsidR="00D97CEA" w:rsidRDefault="00D97CEA"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w:t>
      </w:r>
      <w:r>
        <w:rPr>
          <w:rFonts w:eastAsia="맑은 고딕"/>
          <w:lang w:eastAsia="ko-KR"/>
        </w:rPr>
        <w:tab/>
      </w:r>
      <w:r w:rsidRPr="00D97CEA">
        <w:rPr>
          <w:rFonts w:eastAsia="맑은 고딕"/>
          <w:lang w:eastAsia="ko-KR"/>
        </w:rPr>
        <w:t>R4-2520006</w:t>
      </w:r>
      <w:r>
        <w:rPr>
          <w:rFonts w:eastAsia="맑은 고딕"/>
          <w:lang w:eastAsia="ko-KR"/>
        </w:rPr>
        <w:tab/>
      </w:r>
      <w:r>
        <w:rPr>
          <w:rFonts w:eastAsia="맑은 고딕"/>
          <w:lang w:eastAsia="ko-KR"/>
        </w:rPr>
        <w:tab/>
      </w:r>
      <w:r w:rsidRPr="00D97CEA">
        <w:rPr>
          <w:rFonts w:eastAsia="맑은 고딕"/>
          <w:lang w:eastAsia="ko-KR"/>
        </w:rPr>
        <w:t>LS on PA models in 6GR waveform evaluations</w:t>
      </w:r>
      <w:r>
        <w:rPr>
          <w:rFonts w:eastAsia="맑은 고딕"/>
          <w:lang w:eastAsia="ko-KR"/>
        </w:rPr>
        <w:tab/>
        <w:t>RAN4#117</w:t>
      </w:r>
    </w:p>
    <w:p w14:paraId="5CB81E29" w14:textId="0D5B15D4" w:rsidR="00C9081D" w:rsidRDefault="00953B6B"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D97CEA">
        <w:rPr>
          <w:rFonts w:eastAsia="맑은 고딕"/>
          <w:lang w:eastAsia="ko-KR"/>
        </w:rPr>
        <w:t>4</w:t>
      </w:r>
      <w:r>
        <w:rPr>
          <w:rFonts w:eastAsia="맑은 고딕"/>
          <w:lang w:eastAsia="ko-KR"/>
        </w:rPr>
        <w:t>]</w:t>
      </w:r>
      <w:r>
        <w:rPr>
          <w:rFonts w:eastAsia="맑은 고딕"/>
          <w:lang w:eastAsia="ko-KR"/>
        </w:rPr>
        <w:tab/>
        <w:t>3GPP T</w:t>
      </w:r>
      <w:r w:rsidR="00CB1EB1">
        <w:rPr>
          <w:rFonts w:eastAsia="맑은 고딕"/>
          <w:lang w:eastAsia="ko-KR"/>
        </w:rPr>
        <w:t>R</w:t>
      </w:r>
      <w:r>
        <w:rPr>
          <w:rFonts w:eastAsia="맑은 고딕"/>
          <w:lang w:eastAsia="ko-KR"/>
        </w:rPr>
        <w:t xml:space="preserve"> 38.</w:t>
      </w:r>
      <w:r w:rsidR="00D97CEA">
        <w:rPr>
          <w:rFonts w:eastAsia="맑은 고딕"/>
          <w:lang w:eastAsia="ko-KR"/>
        </w:rPr>
        <w:t>803</w:t>
      </w:r>
      <w:r>
        <w:rPr>
          <w:rFonts w:eastAsia="맑은 고딕"/>
          <w:lang w:eastAsia="ko-KR"/>
        </w:rPr>
        <w:tab/>
      </w:r>
      <w:r w:rsidR="00D97CEA" w:rsidRPr="00D97CEA">
        <w:rPr>
          <w:rFonts w:eastAsia="맑은 고딕"/>
          <w:lang w:eastAsia="ko-KR"/>
        </w:rPr>
        <w:t>Study on new radio access technology: Radio Frequency (RF) and co-existence aspects</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AA6F" w14:textId="77777777" w:rsidR="00041C3F" w:rsidRDefault="00041C3F" w:rsidP="00FC2656">
      <w:pPr>
        <w:spacing w:after="0" w:line="240" w:lineRule="auto"/>
      </w:pPr>
      <w:r>
        <w:separator/>
      </w:r>
    </w:p>
  </w:endnote>
  <w:endnote w:type="continuationSeparator" w:id="0">
    <w:p w14:paraId="4D0ADDF5" w14:textId="77777777" w:rsidR="00041C3F" w:rsidRDefault="00041C3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EA98" w14:textId="77777777" w:rsidR="00041C3F" w:rsidRDefault="00041C3F" w:rsidP="00FC2656">
      <w:pPr>
        <w:spacing w:after="0" w:line="240" w:lineRule="auto"/>
      </w:pPr>
      <w:r>
        <w:separator/>
      </w:r>
    </w:p>
  </w:footnote>
  <w:footnote w:type="continuationSeparator" w:id="0">
    <w:p w14:paraId="260337A0" w14:textId="77777777" w:rsidR="00041C3F" w:rsidRDefault="00041C3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5"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C59CC"/>
    <w:multiLevelType w:val="hybridMultilevel"/>
    <w:tmpl w:val="3B327EB4"/>
    <w:lvl w:ilvl="0" w:tplc="C8366ED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6F6CF3"/>
    <w:multiLevelType w:val="hybridMultilevel"/>
    <w:tmpl w:val="9954C490"/>
    <w:lvl w:ilvl="0" w:tplc="66FEBD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D61BA6"/>
    <w:multiLevelType w:val="hybridMultilevel"/>
    <w:tmpl w:val="B252A94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1715C1"/>
    <w:multiLevelType w:val="hybridMultilevel"/>
    <w:tmpl w:val="64C6868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8B17DA"/>
    <w:multiLevelType w:val="multilevel"/>
    <w:tmpl w:val="93FC90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1000F"/>
    <w:multiLevelType w:val="hybridMultilevel"/>
    <w:tmpl w:val="D5128E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981429"/>
    <w:multiLevelType w:val="hybridMultilevel"/>
    <w:tmpl w:val="4D5E75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B24FCF"/>
    <w:multiLevelType w:val="hybridMultilevel"/>
    <w:tmpl w:val="DECCCFB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3D5ABF"/>
    <w:multiLevelType w:val="hybridMultilevel"/>
    <w:tmpl w:val="486CA3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5"/>
  </w:num>
  <w:num w:numId="2">
    <w:abstractNumId w:val="30"/>
  </w:num>
  <w:num w:numId="3">
    <w:abstractNumId w:val="29"/>
  </w:num>
  <w:num w:numId="4">
    <w:abstractNumId w:val="7"/>
  </w:num>
  <w:num w:numId="5">
    <w:abstractNumId w:val="28"/>
  </w:num>
  <w:num w:numId="6">
    <w:abstractNumId w:val="26"/>
  </w:num>
  <w:num w:numId="7">
    <w:abstractNumId w:val="24"/>
  </w:num>
  <w:num w:numId="8">
    <w:abstractNumId w:val="27"/>
  </w:num>
  <w:num w:numId="9">
    <w:abstractNumId w:val="31"/>
  </w:num>
  <w:num w:numId="10">
    <w:abstractNumId w:val="14"/>
  </w:num>
  <w:num w:numId="11">
    <w:abstractNumId w:val="16"/>
  </w:num>
  <w:num w:numId="12">
    <w:abstractNumId w:val="3"/>
  </w:num>
  <w:num w:numId="13">
    <w:abstractNumId w:val="21"/>
  </w:num>
  <w:num w:numId="14">
    <w:abstractNumId w:val="1"/>
  </w:num>
  <w:num w:numId="15">
    <w:abstractNumId w:val="25"/>
  </w:num>
  <w:num w:numId="16">
    <w:abstractNumId w:val="0"/>
  </w:num>
  <w:num w:numId="17">
    <w:abstractNumId w:val="19"/>
  </w:num>
  <w:num w:numId="18">
    <w:abstractNumId w:val="10"/>
  </w:num>
  <w:num w:numId="19">
    <w:abstractNumId w:val="22"/>
  </w:num>
  <w:num w:numId="20">
    <w:abstractNumId w:val="2"/>
  </w:num>
  <w:num w:numId="21">
    <w:abstractNumId w:val="38"/>
  </w:num>
  <w:num w:numId="22">
    <w:abstractNumId w:val="9"/>
  </w:num>
  <w:num w:numId="23">
    <w:abstractNumId w:val="8"/>
  </w:num>
  <w:num w:numId="24">
    <w:abstractNumId w:val="4"/>
  </w:num>
  <w:num w:numId="25">
    <w:abstractNumId w:val="32"/>
  </w:num>
  <w:num w:numId="26">
    <w:abstractNumId w:val="11"/>
  </w:num>
  <w:num w:numId="27">
    <w:abstractNumId w:val="33"/>
  </w:num>
  <w:num w:numId="28">
    <w:abstractNumId w:val="12"/>
  </w:num>
  <w:num w:numId="29">
    <w:abstractNumId w:val="17"/>
  </w:num>
  <w:num w:numId="30">
    <w:abstractNumId w:val="5"/>
  </w:num>
  <w:num w:numId="31">
    <w:abstractNumId w:val="13"/>
  </w:num>
  <w:num w:numId="32">
    <w:abstractNumId w:val="6"/>
  </w:num>
  <w:num w:numId="33">
    <w:abstractNumId w:val="35"/>
  </w:num>
  <w:num w:numId="34">
    <w:abstractNumId w:val="37"/>
  </w:num>
  <w:num w:numId="35">
    <w:abstractNumId w:val="36"/>
  </w:num>
  <w:num w:numId="36">
    <w:abstractNumId w:val="18"/>
  </w:num>
  <w:num w:numId="37">
    <w:abstractNumId w:val="34"/>
  </w:num>
  <w:num w:numId="38">
    <w:abstractNumId w:val="23"/>
  </w:num>
  <w:num w:numId="39">
    <w:abstractNumId w:val="23"/>
  </w:num>
  <w:num w:numId="4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62"/>
    <w:rsid w:val="0000390D"/>
    <w:rsid w:val="00004165"/>
    <w:rsid w:val="000056FE"/>
    <w:rsid w:val="0000707D"/>
    <w:rsid w:val="00007CD5"/>
    <w:rsid w:val="00010C85"/>
    <w:rsid w:val="00014BD4"/>
    <w:rsid w:val="0001661A"/>
    <w:rsid w:val="000168EA"/>
    <w:rsid w:val="00020C56"/>
    <w:rsid w:val="00023432"/>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1C3F"/>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3CA"/>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991"/>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191D"/>
    <w:rsid w:val="000C2553"/>
    <w:rsid w:val="000C362A"/>
    <w:rsid w:val="000C38C3"/>
    <w:rsid w:val="000C5858"/>
    <w:rsid w:val="000C5C42"/>
    <w:rsid w:val="000C6E14"/>
    <w:rsid w:val="000C758B"/>
    <w:rsid w:val="000C7E08"/>
    <w:rsid w:val="000D05F6"/>
    <w:rsid w:val="000D09FD"/>
    <w:rsid w:val="000D0F50"/>
    <w:rsid w:val="000D1436"/>
    <w:rsid w:val="000D194D"/>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5E0"/>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84F"/>
    <w:rsid w:val="00123209"/>
    <w:rsid w:val="00123422"/>
    <w:rsid w:val="00123F81"/>
    <w:rsid w:val="001244CC"/>
    <w:rsid w:val="00124B6A"/>
    <w:rsid w:val="00124D7F"/>
    <w:rsid w:val="00125C2C"/>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20"/>
    <w:rsid w:val="00144600"/>
    <w:rsid w:val="00144B4C"/>
    <w:rsid w:val="00144F96"/>
    <w:rsid w:val="0014668D"/>
    <w:rsid w:val="00147D21"/>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077B"/>
    <w:rsid w:val="00235394"/>
    <w:rsid w:val="00235577"/>
    <w:rsid w:val="00235947"/>
    <w:rsid w:val="00236DDE"/>
    <w:rsid w:val="002371B2"/>
    <w:rsid w:val="00237808"/>
    <w:rsid w:val="00240213"/>
    <w:rsid w:val="00240ACF"/>
    <w:rsid w:val="0024105B"/>
    <w:rsid w:val="002414A4"/>
    <w:rsid w:val="00243581"/>
    <w:rsid w:val="002435CA"/>
    <w:rsid w:val="0024442E"/>
    <w:rsid w:val="0024469F"/>
    <w:rsid w:val="00244743"/>
    <w:rsid w:val="0024633D"/>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68C2"/>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100"/>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6295"/>
    <w:rsid w:val="003273DA"/>
    <w:rsid w:val="003273FB"/>
    <w:rsid w:val="0033093F"/>
    <w:rsid w:val="00330C6F"/>
    <w:rsid w:val="003312D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880"/>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F98"/>
    <w:rsid w:val="003D61F8"/>
    <w:rsid w:val="003D6CF0"/>
    <w:rsid w:val="003D7719"/>
    <w:rsid w:val="003E1935"/>
    <w:rsid w:val="003E40EE"/>
    <w:rsid w:val="003E4537"/>
    <w:rsid w:val="003E4D91"/>
    <w:rsid w:val="003E54FE"/>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128"/>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44D1"/>
    <w:rsid w:val="0058519C"/>
    <w:rsid w:val="005852B5"/>
    <w:rsid w:val="005853F0"/>
    <w:rsid w:val="00586940"/>
    <w:rsid w:val="005900EE"/>
    <w:rsid w:val="00590166"/>
    <w:rsid w:val="00590413"/>
    <w:rsid w:val="005912F0"/>
    <w:rsid w:val="00591457"/>
    <w:rsid w:val="0059149A"/>
    <w:rsid w:val="00591FB0"/>
    <w:rsid w:val="005920C5"/>
    <w:rsid w:val="00594721"/>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7A0"/>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41B"/>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379"/>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675B1"/>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6CB"/>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1CC"/>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276"/>
    <w:rsid w:val="00864454"/>
    <w:rsid w:val="00864DA4"/>
    <w:rsid w:val="008657B7"/>
    <w:rsid w:val="00866D5B"/>
    <w:rsid w:val="00866FF5"/>
    <w:rsid w:val="00867146"/>
    <w:rsid w:val="00867938"/>
    <w:rsid w:val="008713AD"/>
    <w:rsid w:val="00871582"/>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62E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490"/>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3AB"/>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1E8"/>
    <w:rsid w:val="00A17268"/>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A51"/>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37B6"/>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9D1"/>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AF779D"/>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8DF"/>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160AC"/>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1E2"/>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E71"/>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0D04"/>
    <w:rsid w:val="00CB1EB1"/>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550"/>
    <w:rsid w:val="00CF5B0D"/>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344"/>
    <w:rsid w:val="00D47D49"/>
    <w:rsid w:val="00D50E8E"/>
    <w:rsid w:val="00D520E4"/>
    <w:rsid w:val="00D52873"/>
    <w:rsid w:val="00D531BD"/>
    <w:rsid w:val="00D53A38"/>
    <w:rsid w:val="00D53D0F"/>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CEA"/>
    <w:rsid w:val="00D97F0C"/>
    <w:rsid w:val="00DA030B"/>
    <w:rsid w:val="00DA0F7E"/>
    <w:rsid w:val="00DA12EF"/>
    <w:rsid w:val="00DA1DD5"/>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E5A93"/>
    <w:rsid w:val="00DF069A"/>
    <w:rsid w:val="00DF08BB"/>
    <w:rsid w:val="00DF14A8"/>
    <w:rsid w:val="00DF19D3"/>
    <w:rsid w:val="00DF28D1"/>
    <w:rsid w:val="00DF3965"/>
    <w:rsid w:val="00DF43F2"/>
    <w:rsid w:val="00DF4C55"/>
    <w:rsid w:val="00DF4EEC"/>
    <w:rsid w:val="00DF5026"/>
    <w:rsid w:val="00DF676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4BB"/>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17A"/>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3BE5"/>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107E"/>
    <w:rsid w:val="00EB12EF"/>
    <w:rsid w:val="00EB2778"/>
    <w:rsid w:val="00EB3437"/>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9F4"/>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2803"/>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0488">
      <w:bodyDiv w:val="1"/>
      <w:marLeft w:val="0"/>
      <w:marRight w:val="0"/>
      <w:marTop w:val="0"/>
      <w:marBottom w:val="0"/>
      <w:divBdr>
        <w:top w:val="none" w:sz="0" w:space="0" w:color="auto"/>
        <w:left w:val="none" w:sz="0" w:space="0" w:color="auto"/>
        <w:bottom w:val="none" w:sz="0" w:space="0" w:color="auto"/>
        <w:right w:val="none" w:sz="0" w:space="0" w:color="auto"/>
      </w:divBdr>
      <w:divsChild>
        <w:div w:id="241068876">
          <w:marLeft w:val="0"/>
          <w:marRight w:val="0"/>
          <w:marTop w:val="0"/>
          <w:marBottom w:val="0"/>
          <w:divBdr>
            <w:top w:val="none" w:sz="0" w:space="0" w:color="auto"/>
            <w:left w:val="none" w:sz="0" w:space="0" w:color="auto"/>
            <w:bottom w:val="none" w:sz="0" w:space="0" w:color="auto"/>
            <w:right w:val="none" w:sz="0" w:space="0" w:color="auto"/>
          </w:divBdr>
        </w:div>
        <w:div w:id="1572739320">
          <w:marLeft w:val="0"/>
          <w:marRight w:val="0"/>
          <w:marTop w:val="0"/>
          <w:marBottom w:val="0"/>
          <w:divBdr>
            <w:top w:val="none" w:sz="0" w:space="0" w:color="auto"/>
            <w:left w:val="none" w:sz="0" w:space="0" w:color="auto"/>
            <w:bottom w:val="none" w:sz="0" w:space="0" w:color="auto"/>
            <w:right w:val="none" w:sz="0" w:space="0" w:color="auto"/>
          </w:divBdr>
        </w:div>
        <w:div w:id="1888830778">
          <w:marLeft w:val="0"/>
          <w:marRight w:val="0"/>
          <w:marTop w:val="0"/>
          <w:marBottom w:val="0"/>
          <w:divBdr>
            <w:top w:val="none" w:sz="0" w:space="0" w:color="auto"/>
            <w:left w:val="none" w:sz="0" w:space="0" w:color="auto"/>
            <w:bottom w:val="none" w:sz="0" w:space="0" w:color="auto"/>
            <w:right w:val="none" w:sz="0" w:space="0" w:color="auto"/>
          </w:divBdr>
        </w:div>
        <w:div w:id="1450971957">
          <w:marLeft w:val="0"/>
          <w:marRight w:val="0"/>
          <w:marTop w:val="0"/>
          <w:marBottom w:val="0"/>
          <w:divBdr>
            <w:top w:val="none" w:sz="0" w:space="0" w:color="auto"/>
            <w:left w:val="none" w:sz="0" w:space="0" w:color="auto"/>
            <w:bottom w:val="none" w:sz="0" w:space="0" w:color="auto"/>
            <w:right w:val="none" w:sz="0" w:space="0" w:color="auto"/>
          </w:divBdr>
        </w:div>
        <w:div w:id="1393431561">
          <w:marLeft w:val="0"/>
          <w:marRight w:val="0"/>
          <w:marTop w:val="0"/>
          <w:marBottom w:val="0"/>
          <w:divBdr>
            <w:top w:val="none" w:sz="0" w:space="0" w:color="auto"/>
            <w:left w:val="none" w:sz="0" w:space="0" w:color="auto"/>
            <w:bottom w:val="none" w:sz="0" w:space="0" w:color="auto"/>
            <w:right w:val="none" w:sz="0" w:space="0" w:color="auto"/>
          </w:divBdr>
        </w:div>
        <w:div w:id="539634632">
          <w:marLeft w:val="0"/>
          <w:marRight w:val="0"/>
          <w:marTop w:val="0"/>
          <w:marBottom w:val="0"/>
          <w:divBdr>
            <w:top w:val="none" w:sz="0" w:space="0" w:color="auto"/>
            <w:left w:val="none" w:sz="0" w:space="0" w:color="auto"/>
            <w:bottom w:val="none" w:sz="0" w:space="0" w:color="auto"/>
            <w:right w:val="none" w:sz="0" w:space="0" w:color="auto"/>
          </w:divBdr>
        </w:div>
        <w:div w:id="678234870">
          <w:marLeft w:val="0"/>
          <w:marRight w:val="0"/>
          <w:marTop w:val="0"/>
          <w:marBottom w:val="0"/>
          <w:divBdr>
            <w:top w:val="none" w:sz="0" w:space="0" w:color="auto"/>
            <w:left w:val="none" w:sz="0" w:space="0" w:color="auto"/>
            <w:bottom w:val="none" w:sz="0" w:space="0" w:color="auto"/>
            <w:right w:val="none" w:sz="0" w:space="0" w:color="auto"/>
          </w:divBdr>
        </w:div>
        <w:div w:id="191381757">
          <w:marLeft w:val="0"/>
          <w:marRight w:val="0"/>
          <w:marTop w:val="0"/>
          <w:marBottom w:val="0"/>
          <w:divBdr>
            <w:top w:val="none" w:sz="0" w:space="0" w:color="auto"/>
            <w:left w:val="none" w:sz="0" w:space="0" w:color="auto"/>
            <w:bottom w:val="none" w:sz="0" w:space="0" w:color="auto"/>
            <w:right w:val="none" w:sz="0" w:space="0" w:color="auto"/>
          </w:divBdr>
        </w:div>
        <w:div w:id="893738539">
          <w:marLeft w:val="0"/>
          <w:marRight w:val="0"/>
          <w:marTop w:val="0"/>
          <w:marBottom w:val="0"/>
          <w:divBdr>
            <w:top w:val="none" w:sz="0" w:space="0" w:color="auto"/>
            <w:left w:val="none" w:sz="0" w:space="0" w:color="auto"/>
            <w:bottom w:val="none" w:sz="0" w:space="0" w:color="auto"/>
            <w:right w:val="none" w:sz="0" w:space="0" w:color="auto"/>
          </w:divBdr>
        </w:div>
        <w:div w:id="1171331109">
          <w:marLeft w:val="0"/>
          <w:marRight w:val="0"/>
          <w:marTop w:val="0"/>
          <w:marBottom w:val="0"/>
          <w:divBdr>
            <w:top w:val="none" w:sz="0" w:space="0" w:color="auto"/>
            <w:left w:val="none" w:sz="0" w:space="0" w:color="auto"/>
            <w:bottom w:val="none" w:sz="0" w:space="0" w:color="auto"/>
            <w:right w:val="none" w:sz="0" w:space="0" w:color="auto"/>
          </w:divBdr>
        </w:div>
        <w:div w:id="1316640447">
          <w:marLeft w:val="0"/>
          <w:marRight w:val="0"/>
          <w:marTop w:val="0"/>
          <w:marBottom w:val="0"/>
          <w:divBdr>
            <w:top w:val="none" w:sz="0" w:space="0" w:color="auto"/>
            <w:left w:val="none" w:sz="0" w:space="0" w:color="auto"/>
            <w:bottom w:val="none" w:sz="0" w:space="0" w:color="auto"/>
            <w:right w:val="none" w:sz="0" w:space="0" w:color="auto"/>
          </w:divBdr>
        </w:div>
        <w:div w:id="1938244212">
          <w:marLeft w:val="0"/>
          <w:marRight w:val="0"/>
          <w:marTop w:val="0"/>
          <w:marBottom w:val="0"/>
          <w:divBdr>
            <w:top w:val="none" w:sz="0" w:space="0" w:color="auto"/>
            <w:left w:val="none" w:sz="0" w:space="0" w:color="auto"/>
            <w:bottom w:val="none" w:sz="0" w:space="0" w:color="auto"/>
            <w:right w:val="none" w:sz="0" w:space="0" w:color="auto"/>
          </w:divBdr>
        </w:div>
        <w:div w:id="18355583">
          <w:marLeft w:val="0"/>
          <w:marRight w:val="0"/>
          <w:marTop w:val="0"/>
          <w:marBottom w:val="0"/>
          <w:divBdr>
            <w:top w:val="none" w:sz="0" w:space="0" w:color="auto"/>
            <w:left w:val="none" w:sz="0" w:space="0" w:color="auto"/>
            <w:bottom w:val="none" w:sz="0" w:space="0" w:color="auto"/>
            <w:right w:val="none" w:sz="0" w:space="0" w:color="auto"/>
          </w:divBdr>
        </w:div>
        <w:div w:id="823549922">
          <w:marLeft w:val="0"/>
          <w:marRight w:val="0"/>
          <w:marTop w:val="0"/>
          <w:marBottom w:val="0"/>
          <w:divBdr>
            <w:top w:val="none" w:sz="0" w:space="0" w:color="auto"/>
            <w:left w:val="none" w:sz="0" w:space="0" w:color="auto"/>
            <w:bottom w:val="none" w:sz="0" w:space="0" w:color="auto"/>
            <w:right w:val="none" w:sz="0" w:space="0" w:color="auto"/>
          </w:divBdr>
        </w:div>
        <w:div w:id="2116636023">
          <w:marLeft w:val="0"/>
          <w:marRight w:val="0"/>
          <w:marTop w:val="0"/>
          <w:marBottom w:val="0"/>
          <w:divBdr>
            <w:top w:val="none" w:sz="0" w:space="0" w:color="auto"/>
            <w:left w:val="none" w:sz="0" w:space="0" w:color="auto"/>
            <w:bottom w:val="none" w:sz="0" w:space="0" w:color="auto"/>
            <w:right w:val="none" w:sz="0" w:space="0" w:color="auto"/>
          </w:divBdr>
        </w:div>
        <w:div w:id="1956867731">
          <w:marLeft w:val="0"/>
          <w:marRight w:val="0"/>
          <w:marTop w:val="0"/>
          <w:marBottom w:val="0"/>
          <w:divBdr>
            <w:top w:val="none" w:sz="0" w:space="0" w:color="auto"/>
            <w:left w:val="none" w:sz="0" w:space="0" w:color="auto"/>
            <w:bottom w:val="none" w:sz="0" w:space="0" w:color="auto"/>
            <w:right w:val="none" w:sz="0" w:space="0" w:color="auto"/>
          </w:divBdr>
        </w:div>
        <w:div w:id="513963403">
          <w:marLeft w:val="0"/>
          <w:marRight w:val="0"/>
          <w:marTop w:val="0"/>
          <w:marBottom w:val="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83679146">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7061200">
      <w:bodyDiv w:val="1"/>
      <w:marLeft w:val="0"/>
      <w:marRight w:val="0"/>
      <w:marTop w:val="0"/>
      <w:marBottom w:val="0"/>
      <w:divBdr>
        <w:top w:val="none" w:sz="0" w:space="0" w:color="auto"/>
        <w:left w:val="none" w:sz="0" w:space="0" w:color="auto"/>
        <w:bottom w:val="none" w:sz="0" w:space="0" w:color="auto"/>
        <w:right w:val="none" w:sz="0" w:space="0" w:color="auto"/>
      </w:divBdr>
      <w:divsChild>
        <w:div w:id="149910245">
          <w:marLeft w:val="0"/>
          <w:marRight w:val="0"/>
          <w:marTop w:val="0"/>
          <w:marBottom w:val="0"/>
          <w:divBdr>
            <w:top w:val="none" w:sz="0" w:space="0" w:color="auto"/>
            <w:left w:val="none" w:sz="0" w:space="0" w:color="auto"/>
            <w:bottom w:val="none" w:sz="0" w:space="0" w:color="auto"/>
            <w:right w:val="none" w:sz="0" w:space="0" w:color="auto"/>
          </w:divBdr>
        </w:div>
        <w:div w:id="1400589533">
          <w:marLeft w:val="0"/>
          <w:marRight w:val="0"/>
          <w:marTop w:val="0"/>
          <w:marBottom w:val="0"/>
          <w:divBdr>
            <w:top w:val="none" w:sz="0" w:space="0" w:color="auto"/>
            <w:left w:val="none" w:sz="0" w:space="0" w:color="auto"/>
            <w:bottom w:val="none" w:sz="0" w:space="0" w:color="auto"/>
            <w:right w:val="none" w:sz="0" w:space="0" w:color="auto"/>
          </w:divBdr>
        </w:div>
        <w:div w:id="1352099366">
          <w:marLeft w:val="0"/>
          <w:marRight w:val="0"/>
          <w:marTop w:val="0"/>
          <w:marBottom w:val="0"/>
          <w:divBdr>
            <w:top w:val="none" w:sz="0" w:space="0" w:color="auto"/>
            <w:left w:val="none" w:sz="0" w:space="0" w:color="auto"/>
            <w:bottom w:val="none" w:sz="0" w:space="0" w:color="auto"/>
            <w:right w:val="none" w:sz="0" w:space="0" w:color="auto"/>
          </w:divBdr>
        </w:div>
        <w:div w:id="1454442535">
          <w:marLeft w:val="0"/>
          <w:marRight w:val="0"/>
          <w:marTop w:val="0"/>
          <w:marBottom w:val="0"/>
          <w:divBdr>
            <w:top w:val="none" w:sz="0" w:space="0" w:color="auto"/>
            <w:left w:val="none" w:sz="0" w:space="0" w:color="auto"/>
            <w:bottom w:val="none" w:sz="0" w:space="0" w:color="auto"/>
            <w:right w:val="none" w:sz="0" w:space="0" w:color="auto"/>
          </w:divBdr>
        </w:div>
        <w:div w:id="1410154095">
          <w:marLeft w:val="0"/>
          <w:marRight w:val="0"/>
          <w:marTop w:val="0"/>
          <w:marBottom w:val="0"/>
          <w:divBdr>
            <w:top w:val="none" w:sz="0" w:space="0" w:color="auto"/>
            <w:left w:val="none" w:sz="0" w:space="0" w:color="auto"/>
            <w:bottom w:val="none" w:sz="0" w:space="0" w:color="auto"/>
            <w:right w:val="none" w:sz="0" w:space="0" w:color="auto"/>
          </w:divBdr>
        </w:div>
        <w:div w:id="924415526">
          <w:marLeft w:val="0"/>
          <w:marRight w:val="0"/>
          <w:marTop w:val="0"/>
          <w:marBottom w:val="0"/>
          <w:divBdr>
            <w:top w:val="none" w:sz="0" w:space="0" w:color="auto"/>
            <w:left w:val="none" w:sz="0" w:space="0" w:color="auto"/>
            <w:bottom w:val="none" w:sz="0" w:space="0" w:color="auto"/>
            <w:right w:val="none" w:sz="0" w:space="0" w:color="auto"/>
          </w:divBdr>
        </w:div>
        <w:div w:id="1076592182">
          <w:marLeft w:val="0"/>
          <w:marRight w:val="0"/>
          <w:marTop w:val="0"/>
          <w:marBottom w:val="0"/>
          <w:divBdr>
            <w:top w:val="none" w:sz="0" w:space="0" w:color="auto"/>
            <w:left w:val="none" w:sz="0" w:space="0" w:color="auto"/>
            <w:bottom w:val="none" w:sz="0" w:space="0" w:color="auto"/>
            <w:right w:val="none" w:sz="0" w:space="0" w:color="auto"/>
          </w:divBdr>
        </w:div>
        <w:div w:id="345834527">
          <w:marLeft w:val="0"/>
          <w:marRight w:val="0"/>
          <w:marTop w:val="0"/>
          <w:marBottom w:val="0"/>
          <w:divBdr>
            <w:top w:val="none" w:sz="0" w:space="0" w:color="auto"/>
            <w:left w:val="none" w:sz="0" w:space="0" w:color="auto"/>
            <w:bottom w:val="none" w:sz="0" w:space="0" w:color="auto"/>
            <w:right w:val="none" w:sz="0" w:space="0" w:color="auto"/>
          </w:divBdr>
        </w:div>
        <w:div w:id="630943851">
          <w:marLeft w:val="0"/>
          <w:marRight w:val="0"/>
          <w:marTop w:val="0"/>
          <w:marBottom w:val="0"/>
          <w:divBdr>
            <w:top w:val="none" w:sz="0" w:space="0" w:color="auto"/>
            <w:left w:val="none" w:sz="0" w:space="0" w:color="auto"/>
            <w:bottom w:val="none" w:sz="0" w:space="0" w:color="auto"/>
            <w:right w:val="none" w:sz="0" w:space="0" w:color="auto"/>
          </w:divBdr>
        </w:div>
        <w:div w:id="1869949354">
          <w:marLeft w:val="0"/>
          <w:marRight w:val="0"/>
          <w:marTop w:val="0"/>
          <w:marBottom w:val="0"/>
          <w:divBdr>
            <w:top w:val="none" w:sz="0" w:space="0" w:color="auto"/>
            <w:left w:val="none" w:sz="0" w:space="0" w:color="auto"/>
            <w:bottom w:val="none" w:sz="0" w:space="0" w:color="auto"/>
            <w:right w:val="none" w:sz="0" w:space="0" w:color="auto"/>
          </w:divBdr>
        </w:div>
        <w:div w:id="2138378452">
          <w:marLeft w:val="0"/>
          <w:marRight w:val="0"/>
          <w:marTop w:val="0"/>
          <w:marBottom w:val="0"/>
          <w:divBdr>
            <w:top w:val="none" w:sz="0" w:space="0" w:color="auto"/>
            <w:left w:val="none" w:sz="0" w:space="0" w:color="auto"/>
            <w:bottom w:val="none" w:sz="0" w:space="0" w:color="auto"/>
            <w:right w:val="none" w:sz="0" w:space="0" w:color="auto"/>
          </w:divBdr>
        </w:div>
        <w:div w:id="473066951">
          <w:marLeft w:val="0"/>
          <w:marRight w:val="0"/>
          <w:marTop w:val="0"/>
          <w:marBottom w:val="0"/>
          <w:divBdr>
            <w:top w:val="none" w:sz="0" w:space="0" w:color="auto"/>
            <w:left w:val="none" w:sz="0" w:space="0" w:color="auto"/>
            <w:bottom w:val="none" w:sz="0" w:space="0" w:color="auto"/>
            <w:right w:val="none" w:sz="0" w:space="0" w:color="auto"/>
          </w:divBdr>
        </w:div>
        <w:div w:id="380633917">
          <w:marLeft w:val="0"/>
          <w:marRight w:val="0"/>
          <w:marTop w:val="0"/>
          <w:marBottom w:val="0"/>
          <w:divBdr>
            <w:top w:val="none" w:sz="0" w:space="0" w:color="auto"/>
            <w:left w:val="none" w:sz="0" w:space="0" w:color="auto"/>
            <w:bottom w:val="none" w:sz="0" w:space="0" w:color="auto"/>
            <w:right w:val="none" w:sz="0" w:space="0" w:color="auto"/>
          </w:divBdr>
        </w:div>
        <w:div w:id="1341850485">
          <w:marLeft w:val="0"/>
          <w:marRight w:val="0"/>
          <w:marTop w:val="0"/>
          <w:marBottom w:val="0"/>
          <w:divBdr>
            <w:top w:val="none" w:sz="0" w:space="0" w:color="auto"/>
            <w:left w:val="none" w:sz="0" w:space="0" w:color="auto"/>
            <w:bottom w:val="none" w:sz="0" w:space="0" w:color="auto"/>
            <w:right w:val="none" w:sz="0" w:space="0" w:color="auto"/>
          </w:divBdr>
        </w:div>
        <w:div w:id="892691011">
          <w:marLeft w:val="0"/>
          <w:marRight w:val="0"/>
          <w:marTop w:val="0"/>
          <w:marBottom w:val="0"/>
          <w:divBdr>
            <w:top w:val="none" w:sz="0" w:space="0" w:color="auto"/>
            <w:left w:val="none" w:sz="0" w:space="0" w:color="auto"/>
            <w:bottom w:val="none" w:sz="0" w:space="0" w:color="auto"/>
            <w:right w:val="none" w:sz="0" w:space="0" w:color="auto"/>
          </w:divBdr>
        </w:div>
        <w:div w:id="1261379167">
          <w:marLeft w:val="0"/>
          <w:marRight w:val="0"/>
          <w:marTop w:val="0"/>
          <w:marBottom w:val="0"/>
          <w:divBdr>
            <w:top w:val="none" w:sz="0" w:space="0" w:color="auto"/>
            <w:left w:val="none" w:sz="0" w:space="0" w:color="auto"/>
            <w:bottom w:val="none" w:sz="0" w:space="0" w:color="auto"/>
            <w:right w:val="none" w:sz="0" w:space="0" w:color="auto"/>
          </w:divBdr>
        </w:div>
        <w:div w:id="876772785">
          <w:marLeft w:val="0"/>
          <w:marRight w:val="0"/>
          <w:marTop w:val="0"/>
          <w:marBottom w:val="0"/>
          <w:divBdr>
            <w:top w:val="none" w:sz="0" w:space="0" w:color="auto"/>
            <w:left w:val="none" w:sz="0" w:space="0" w:color="auto"/>
            <w:bottom w:val="none" w:sz="0" w:space="0" w:color="auto"/>
            <w:right w:val="none" w:sz="0" w:space="0" w:color="auto"/>
          </w:divBdr>
        </w:div>
        <w:div w:id="163402787">
          <w:marLeft w:val="0"/>
          <w:marRight w:val="0"/>
          <w:marTop w:val="0"/>
          <w:marBottom w:val="0"/>
          <w:divBdr>
            <w:top w:val="none" w:sz="0" w:space="0" w:color="auto"/>
            <w:left w:val="none" w:sz="0" w:space="0" w:color="auto"/>
            <w:bottom w:val="none" w:sz="0" w:space="0" w:color="auto"/>
            <w:right w:val="none" w:sz="0" w:space="0" w:color="auto"/>
          </w:divBdr>
        </w:div>
        <w:div w:id="1631327179">
          <w:marLeft w:val="0"/>
          <w:marRight w:val="0"/>
          <w:marTop w:val="0"/>
          <w:marBottom w:val="0"/>
          <w:divBdr>
            <w:top w:val="none" w:sz="0" w:space="0" w:color="auto"/>
            <w:left w:val="none" w:sz="0" w:space="0" w:color="auto"/>
            <w:bottom w:val="none" w:sz="0" w:space="0" w:color="auto"/>
            <w:right w:val="none" w:sz="0" w:space="0" w:color="auto"/>
          </w:divBdr>
        </w:div>
        <w:div w:id="1370377447">
          <w:marLeft w:val="0"/>
          <w:marRight w:val="0"/>
          <w:marTop w:val="0"/>
          <w:marBottom w:val="0"/>
          <w:divBdr>
            <w:top w:val="none" w:sz="0" w:space="0" w:color="auto"/>
            <w:left w:val="none" w:sz="0" w:space="0" w:color="auto"/>
            <w:bottom w:val="none" w:sz="0" w:space="0" w:color="auto"/>
            <w:right w:val="none" w:sz="0" w:space="0" w:color="auto"/>
          </w:divBdr>
        </w:div>
        <w:div w:id="1405444908">
          <w:marLeft w:val="0"/>
          <w:marRight w:val="0"/>
          <w:marTop w:val="0"/>
          <w:marBottom w:val="0"/>
          <w:divBdr>
            <w:top w:val="none" w:sz="0" w:space="0" w:color="auto"/>
            <w:left w:val="none" w:sz="0" w:space="0" w:color="auto"/>
            <w:bottom w:val="none" w:sz="0" w:space="0" w:color="auto"/>
            <w:right w:val="none" w:sz="0" w:space="0" w:color="auto"/>
          </w:divBdr>
        </w:div>
        <w:div w:id="627198731">
          <w:marLeft w:val="0"/>
          <w:marRight w:val="0"/>
          <w:marTop w:val="0"/>
          <w:marBottom w:val="0"/>
          <w:divBdr>
            <w:top w:val="none" w:sz="0" w:space="0" w:color="auto"/>
            <w:left w:val="none" w:sz="0" w:space="0" w:color="auto"/>
            <w:bottom w:val="none" w:sz="0" w:space="0" w:color="auto"/>
            <w:right w:val="none" w:sz="0" w:space="0" w:color="auto"/>
          </w:divBdr>
        </w:div>
        <w:div w:id="2119793456">
          <w:marLeft w:val="0"/>
          <w:marRight w:val="0"/>
          <w:marTop w:val="0"/>
          <w:marBottom w:val="0"/>
          <w:divBdr>
            <w:top w:val="none" w:sz="0" w:space="0" w:color="auto"/>
            <w:left w:val="none" w:sz="0" w:space="0" w:color="auto"/>
            <w:bottom w:val="none" w:sz="0" w:space="0" w:color="auto"/>
            <w:right w:val="none" w:sz="0" w:space="0" w:color="auto"/>
          </w:divBdr>
        </w:div>
        <w:div w:id="243027218">
          <w:marLeft w:val="0"/>
          <w:marRight w:val="0"/>
          <w:marTop w:val="0"/>
          <w:marBottom w:val="0"/>
          <w:divBdr>
            <w:top w:val="none" w:sz="0" w:space="0" w:color="auto"/>
            <w:left w:val="none" w:sz="0" w:space="0" w:color="auto"/>
            <w:bottom w:val="none" w:sz="0" w:space="0" w:color="auto"/>
            <w:right w:val="none" w:sz="0" w:space="0" w:color="auto"/>
          </w:divBdr>
        </w:div>
        <w:div w:id="1528058160">
          <w:marLeft w:val="0"/>
          <w:marRight w:val="0"/>
          <w:marTop w:val="0"/>
          <w:marBottom w:val="0"/>
          <w:divBdr>
            <w:top w:val="none" w:sz="0" w:space="0" w:color="auto"/>
            <w:left w:val="none" w:sz="0" w:space="0" w:color="auto"/>
            <w:bottom w:val="none" w:sz="0" w:space="0" w:color="auto"/>
            <w:right w:val="none" w:sz="0" w:space="0" w:color="auto"/>
          </w:divBdr>
        </w:div>
      </w:divsChild>
    </w:div>
    <w:div w:id="1133717190">
      <w:bodyDiv w:val="1"/>
      <w:marLeft w:val="0"/>
      <w:marRight w:val="0"/>
      <w:marTop w:val="0"/>
      <w:marBottom w:val="0"/>
      <w:divBdr>
        <w:top w:val="none" w:sz="0" w:space="0" w:color="auto"/>
        <w:left w:val="none" w:sz="0" w:space="0" w:color="auto"/>
        <w:bottom w:val="none" w:sz="0" w:space="0" w:color="auto"/>
        <w:right w:val="none" w:sz="0" w:space="0" w:color="auto"/>
      </w:divBdr>
      <w:divsChild>
        <w:div w:id="2131625069">
          <w:marLeft w:val="0"/>
          <w:marRight w:val="0"/>
          <w:marTop w:val="0"/>
          <w:marBottom w:val="0"/>
          <w:divBdr>
            <w:top w:val="none" w:sz="0" w:space="0" w:color="auto"/>
            <w:left w:val="none" w:sz="0" w:space="0" w:color="auto"/>
            <w:bottom w:val="none" w:sz="0" w:space="0" w:color="auto"/>
            <w:right w:val="none" w:sz="0" w:space="0" w:color="auto"/>
          </w:divBdr>
        </w:div>
        <w:div w:id="1182622309">
          <w:marLeft w:val="0"/>
          <w:marRight w:val="0"/>
          <w:marTop w:val="0"/>
          <w:marBottom w:val="0"/>
          <w:divBdr>
            <w:top w:val="none" w:sz="0" w:space="0" w:color="auto"/>
            <w:left w:val="none" w:sz="0" w:space="0" w:color="auto"/>
            <w:bottom w:val="none" w:sz="0" w:space="0" w:color="auto"/>
            <w:right w:val="none" w:sz="0" w:space="0" w:color="auto"/>
          </w:divBdr>
        </w:div>
        <w:div w:id="1585260516">
          <w:marLeft w:val="0"/>
          <w:marRight w:val="0"/>
          <w:marTop w:val="0"/>
          <w:marBottom w:val="0"/>
          <w:divBdr>
            <w:top w:val="none" w:sz="0" w:space="0" w:color="auto"/>
            <w:left w:val="none" w:sz="0" w:space="0" w:color="auto"/>
            <w:bottom w:val="none" w:sz="0" w:space="0" w:color="auto"/>
            <w:right w:val="none" w:sz="0" w:space="0" w:color="auto"/>
          </w:divBdr>
        </w:div>
        <w:div w:id="1967738053">
          <w:marLeft w:val="0"/>
          <w:marRight w:val="0"/>
          <w:marTop w:val="0"/>
          <w:marBottom w:val="0"/>
          <w:divBdr>
            <w:top w:val="none" w:sz="0" w:space="0" w:color="auto"/>
            <w:left w:val="none" w:sz="0" w:space="0" w:color="auto"/>
            <w:bottom w:val="none" w:sz="0" w:space="0" w:color="auto"/>
            <w:right w:val="none" w:sz="0" w:space="0" w:color="auto"/>
          </w:divBdr>
        </w:div>
        <w:div w:id="889417639">
          <w:marLeft w:val="0"/>
          <w:marRight w:val="0"/>
          <w:marTop w:val="0"/>
          <w:marBottom w:val="0"/>
          <w:divBdr>
            <w:top w:val="none" w:sz="0" w:space="0" w:color="auto"/>
            <w:left w:val="none" w:sz="0" w:space="0" w:color="auto"/>
            <w:bottom w:val="none" w:sz="0" w:space="0" w:color="auto"/>
            <w:right w:val="none" w:sz="0" w:space="0" w:color="auto"/>
          </w:divBdr>
        </w:div>
        <w:div w:id="2063089002">
          <w:marLeft w:val="0"/>
          <w:marRight w:val="0"/>
          <w:marTop w:val="0"/>
          <w:marBottom w:val="0"/>
          <w:divBdr>
            <w:top w:val="none" w:sz="0" w:space="0" w:color="auto"/>
            <w:left w:val="none" w:sz="0" w:space="0" w:color="auto"/>
            <w:bottom w:val="none" w:sz="0" w:space="0" w:color="auto"/>
            <w:right w:val="none" w:sz="0" w:space="0" w:color="auto"/>
          </w:divBdr>
        </w:div>
        <w:div w:id="356585308">
          <w:marLeft w:val="0"/>
          <w:marRight w:val="0"/>
          <w:marTop w:val="0"/>
          <w:marBottom w:val="0"/>
          <w:divBdr>
            <w:top w:val="none" w:sz="0" w:space="0" w:color="auto"/>
            <w:left w:val="none" w:sz="0" w:space="0" w:color="auto"/>
            <w:bottom w:val="none" w:sz="0" w:space="0" w:color="auto"/>
            <w:right w:val="none" w:sz="0" w:space="0" w:color="auto"/>
          </w:divBdr>
        </w:div>
        <w:div w:id="1497111821">
          <w:marLeft w:val="0"/>
          <w:marRight w:val="0"/>
          <w:marTop w:val="0"/>
          <w:marBottom w:val="0"/>
          <w:divBdr>
            <w:top w:val="none" w:sz="0" w:space="0" w:color="auto"/>
            <w:left w:val="none" w:sz="0" w:space="0" w:color="auto"/>
            <w:bottom w:val="none" w:sz="0" w:space="0" w:color="auto"/>
            <w:right w:val="none" w:sz="0" w:space="0" w:color="auto"/>
          </w:divBdr>
        </w:div>
        <w:div w:id="424106862">
          <w:marLeft w:val="0"/>
          <w:marRight w:val="0"/>
          <w:marTop w:val="0"/>
          <w:marBottom w:val="0"/>
          <w:divBdr>
            <w:top w:val="none" w:sz="0" w:space="0" w:color="auto"/>
            <w:left w:val="none" w:sz="0" w:space="0" w:color="auto"/>
            <w:bottom w:val="none" w:sz="0" w:space="0" w:color="auto"/>
            <w:right w:val="none" w:sz="0" w:space="0" w:color="auto"/>
          </w:divBdr>
        </w:div>
        <w:div w:id="1061517893">
          <w:marLeft w:val="0"/>
          <w:marRight w:val="0"/>
          <w:marTop w:val="0"/>
          <w:marBottom w:val="0"/>
          <w:divBdr>
            <w:top w:val="none" w:sz="0" w:space="0" w:color="auto"/>
            <w:left w:val="none" w:sz="0" w:space="0" w:color="auto"/>
            <w:bottom w:val="none" w:sz="0" w:space="0" w:color="auto"/>
            <w:right w:val="none" w:sz="0" w:space="0" w:color="auto"/>
          </w:divBdr>
        </w:div>
        <w:div w:id="1242914122">
          <w:marLeft w:val="0"/>
          <w:marRight w:val="0"/>
          <w:marTop w:val="0"/>
          <w:marBottom w:val="0"/>
          <w:divBdr>
            <w:top w:val="none" w:sz="0" w:space="0" w:color="auto"/>
            <w:left w:val="none" w:sz="0" w:space="0" w:color="auto"/>
            <w:bottom w:val="none" w:sz="0" w:space="0" w:color="auto"/>
            <w:right w:val="none" w:sz="0" w:space="0" w:color="auto"/>
          </w:divBdr>
        </w:div>
        <w:div w:id="321350420">
          <w:marLeft w:val="0"/>
          <w:marRight w:val="0"/>
          <w:marTop w:val="0"/>
          <w:marBottom w:val="0"/>
          <w:divBdr>
            <w:top w:val="none" w:sz="0" w:space="0" w:color="auto"/>
            <w:left w:val="none" w:sz="0" w:space="0" w:color="auto"/>
            <w:bottom w:val="none" w:sz="0" w:space="0" w:color="auto"/>
            <w:right w:val="none" w:sz="0" w:space="0" w:color="auto"/>
          </w:divBdr>
        </w:div>
        <w:div w:id="2072848712">
          <w:marLeft w:val="0"/>
          <w:marRight w:val="0"/>
          <w:marTop w:val="0"/>
          <w:marBottom w:val="0"/>
          <w:divBdr>
            <w:top w:val="none" w:sz="0" w:space="0" w:color="auto"/>
            <w:left w:val="none" w:sz="0" w:space="0" w:color="auto"/>
            <w:bottom w:val="none" w:sz="0" w:space="0" w:color="auto"/>
            <w:right w:val="none" w:sz="0" w:space="0" w:color="auto"/>
          </w:divBdr>
        </w:div>
        <w:div w:id="1038623701">
          <w:marLeft w:val="0"/>
          <w:marRight w:val="0"/>
          <w:marTop w:val="0"/>
          <w:marBottom w:val="0"/>
          <w:divBdr>
            <w:top w:val="none" w:sz="0" w:space="0" w:color="auto"/>
            <w:left w:val="none" w:sz="0" w:space="0" w:color="auto"/>
            <w:bottom w:val="none" w:sz="0" w:space="0" w:color="auto"/>
            <w:right w:val="none" w:sz="0" w:space="0" w:color="auto"/>
          </w:divBdr>
        </w:div>
        <w:div w:id="1053039100">
          <w:marLeft w:val="0"/>
          <w:marRight w:val="0"/>
          <w:marTop w:val="0"/>
          <w:marBottom w:val="0"/>
          <w:divBdr>
            <w:top w:val="none" w:sz="0" w:space="0" w:color="auto"/>
            <w:left w:val="none" w:sz="0" w:space="0" w:color="auto"/>
            <w:bottom w:val="none" w:sz="0" w:space="0" w:color="auto"/>
            <w:right w:val="none" w:sz="0" w:space="0" w:color="auto"/>
          </w:divBdr>
        </w:div>
        <w:div w:id="1562790471">
          <w:marLeft w:val="0"/>
          <w:marRight w:val="0"/>
          <w:marTop w:val="0"/>
          <w:marBottom w:val="0"/>
          <w:divBdr>
            <w:top w:val="none" w:sz="0" w:space="0" w:color="auto"/>
            <w:left w:val="none" w:sz="0" w:space="0" w:color="auto"/>
            <w:bottom w:val="none" w:sz="0" w:space="0" w:color="auto"/>
            <w:right w:val="none" w:sz="0" w:space="0" w:color="auto"/>
          </w:divBdr>
        </w:div>
        <w:div w:id="904602628">
          <w:marLeft w:val="0"/>
          <w:marRight w:val="0"/>
          <w:marTop w:val="0"/>
          <w:marBottom w:val="0"/>
          <w:divBdr>
            <w:top w:val="none" w:sz="0" w:space="0" w:color="auto"/>
            <w:left w:val="none" w:sz="0" w:space="0" w:color="auto"/>
            <w:bottom w:val="none" w:sz="0" w:space="0" w:color="auto"/>
            <w:right w:val="none" w:sz="0" w:space="0" w:color="auto"/>
          </w:divBdr>
        </w:div>
      </w:divsChild>
    </w:div>
    <w:div w:id="1145009318">
      <w:bodyDiv w:val="1"/>
      <w:marLeft w:val="0"/>
      <w:marRight w:val="0"/>
      <w:marTop w:val="0"/>
      <w:marBottom w:val="0"/>
      <w:divBdr>
        <w:top w:val="none" w:sz="0" w:space="0" w:color="auto"/>
        <w:left w:val="none" w:sz="0" w:space="0" w:color="auto"/>
        <w:bottom w:val="none" w:sz="0" w:space="0" w:color="auto"/>
        <w:right w:val="none" w:sz="0" w:space="0" w:color="auto"/>
      </w:divBdr>
      <w:divsChild>
        <w:div w:id="1357729159">
          <w:marLeft w:val="0"/>
          <w:marRight w:val="0"/>
          <w:marTop w:val="0"/>
          <w:marBottom w:val="0"/>
          <w:divBdr>
            <w:top w:val="none" w:sz="0" w:space="0" w:color="auto"/>
            <w:left w:val="none" w:sz="0" w:space="0" w:color="auto"/>
            <w:bottom w:val="none" w:sz="0" w:space="0" w:color="auto"/>
            <w:right w:val="none" w:sz="0" w:space="0" w:color="auto"/>
          </w:divBdr>
        </w:div>
        <w:div w:id="1565528656">
          <w:marLeft w:val="0"/>
          <w:marRight w:val="0"/>
          <w:marTop w:val="0"/>
          <w:marBottom w:val="0"/>
          <w:divBdr>
            <w:top w:val="none" w:sz="0" w:space="0" w:color="auto"/>
            <w:left w:val="none" w:sz="0" w:space="0" w:color="auto"/>
            <w:bottom w:val="none" w:sz="0" w:space="0" w:color="auto"/>
            <w:right w:val="none" w:sz="0" w:space="0" w:color="auto"/>
          </w:divBdr>
        </w:div>
        <w:div w:id="106698079">
          <w:marLeft w:val="0"/>
          <w:marRight w:val="0"/>
          <w:marTop w:val="0"/>
          <w:marBottom w:val="0"/>
          <w:divBdr>
            <w:top w:val="none" w:sz="0" w:space="0" w:color="auto"/>
            <w:left w:val="none" w:sz="0" w:space="0" w:color="auto"/>
            <w:bottom w:val="none" w:sz="0" w:space="0" w:color="auto"/>
            <w:right w:val="none" w:sz="0" w:space="0" w:color="auto"/>
          </w:divBdr>
        </w:div>
        <w:div w:id="1977097696">
          <w:marLeft w:val="0"/>
          <w:marRight w:val="0"/>
          <w:marTop w:val="0"/>
          <w:marBottom w:val="0"/>
          <w:divBdr>
            <w:top w:val="none" w:sz="0" w:space="0" w:color="auto"/>
            <w:left w:val="none" w:sz="0" w:space="0" w:color="auto"/>
            <w:bottom w:val="none" w:sz="0" w:space="0" w:color="auto"/>
            <w:right w:val="none" w:sz="0" w:space="0" w:color="auto"/>
          </w:divBdr>
        </w:div>
        <w:div w:id="455486623">
          <w:marLeft w:val="0"/>
          <w:marRight w:val="0"/>
          <w:marTop w:val="0"/>
          <w:marBottom w:val="0"/>
          <w:divBdr>
            <w:top w:val="none" w:sz="0" w:space="0" w:color="auto"/>
            <w:left w:val="none" w:sz="0" w:space="0" w:color="auto"/>
            <w:bottom w:val="none" w:sz="0" w:space="0" w:color="auto"/>
            <w:right w:val="none" w:sz="0" w:space="0" w:color="auto"/>
          </w:divBdr>
        </w:div>
        <w:div w:id="1875000251">
          <w:marLeft w:val="0"/>
          <w:marRight w:val="0"/>
          <w:marTop w:val="0"/>
          <w:marBottom w:val="0"/>
          <w:divBdr>
            <w:top w:val="none" w:sz="0" w:space="0" w:color="auto"/>
            <w:left w:val="none" w:sz="0" w:space="0" w:color="auto"/>
            <w:bottom w:val="none" w:sz="0" w:space="0" w:color="auto"/>
            <w:right w:val="none" w:sz="0" w:space="0" w:color="auto"/>
          </w:divBdr>
        </w:div>
        <w:div w:id="325524876">
          <w:marLeft w:val="0"/>
          <w:marRight w:val="0"/>
          <w:marTop w:val="0"/>
          <w:marBottom w:val="0"/>
          <w:divBdr>
            <w:top w:val="none" w:sz="0" w:space="0" w:color="auto"/>
            <w:left w:val="none" w:sz="0" w:space="0" w:color="auto"/>
            <w:bottom w:val="none" w:sz="0" w:space="0" w:color="auto"/>
            <w:right w:val="none" w:sz="0" w:space="0" w:color="auto"/>
          </w:divBdr>
        </w:div>
        <w:div w:id="122114141">
          <w:marLeft w:val="0"/>
          <w:marRight w:val="0"/>
          <w:marTop w:val="0"/>
          <w:marBottom w:val="0"/>
          <w:divBdr>
            <w:top w:val="none" w:sz="0" w:space="0" w:color="auto"/>
            <w:left w:val="none" w:sz="0" w:space="0" w:color="auto"/>
            <w:bottom w:val="none" w:sz="0" w:space="0" w:color="auto"/>
            <w:right w:val="none" w:sz="0" w:space="0" w:color="auto"/>
          </w:divBdr>
        </w:div>
        <w:div w:id="669794082">
          <w:marLeft w:val="0"/>
          <w:marRight w:val="0"/>
          <w:marTop w:val="0"/>
          <w:marBottom w:val="0"/>
          <w:divBdr>
            <w:top w:val="none" w:sz="0" w:space="0" w:color="auto"/>
            <w:left w:val="none" w:sz="0" w:space="0" w:color="auto"/>
            <w:bottom w:val="none" w:sz="0" w:space="0" w:color="auto"/>
            <w:right w:val="none" w:sz="0" w:space="0" w:color="auto"/>
          </w:divBdr>
        </w:div>
        <w:div w:id="245961605">
          <w:marLeft w:val="0"/>
          <w:marRight w:val="0"/>
          <w:marTop w:val="0"/>
          <w:marBottom w:val="0"/>
          <w:divBdr>
            <w:top w:val="none" w:sz="0" w:space="0" w:color="auto"/>
            <w:left w:val="none" w:sz="0" w:space="0" w:color="auto"/>
            <w:bottom w:val="none" w:sz="0" w:space="0" w:color="auto"/>
            <w:right w:val="none" w:sz="0" w:space="0" w:color="auto"/>
          </w:divBdr>
        </w:div>
        <w:div w:id="1954246256">
          <w:marLeft w:val="0"/>
          <w:marRight w:val="0"/>
          <w:marTop w:val="0"/>
          <w:marBottom w:val="0"/>
          <w:divBdr>
            <w:top w:val="none" w:sz="0" w:space="0" w:color="auto"/>
            <w:left w:val="none" w:sz="0" w:space="0" w:color="auto"/>
            <w:bottom w:val="none" w:sz="0" w:space="0" w:color="auto"/>
            <w:right w:val="none" w:sz="0" w:space="0" w:color="auto"/>
          </w:divBdr>
        </w:div>
        <w:div w:id="1652713518">
          <w:marLeft w:val="0"/>
          <w:marRight w:val="0"/>
          <w:marTop w:val="0"/>
          <w:marBottom w:val="0"/>
          <w:divBdr>
            <w:top w:val="none" w:sz="0" w:space="0" w:color="auto"/>
            <w:left w:val="none" w:sz="0" w:space="0" w:color="auto"/>
            <w:bottom w:val="none" w:sz="0" w:space="0" w:color="auto"/>
            <w:right w:val="none" w:sz="0" w:space="0" w:color="auto"/>
          </w:divBdr>
        </w:div>
        <w:div w:id="1679194410">
          <w:marLeft w:val="0"/>
          <w:marRight w:val="0"/>
          <w:marTop w:val="0"/>
          <w:marBottom w:val="0"/>
          <w:divBdr>
            <w:top w:val="none" w:sz="0" w:space="0" w:color="auto"/>
            <w:left w:val="none" w:sz="0" w:space="0" w:color="auto"/>
            <w:bottom w:val="none" w:sz="0" w:space="0" w:color="auto"/>
            <w:right w:val="none" w:sz="0" w:space="0" w:color="auto"/>
          </w:divBdr>
        </w:div>
        <w:div w:id="1693339706">
          <w:marLeft w:val="0"/>
          <w:marRight w:val="0"/>
          <w:marTop w:val="0"/>
          <w:marBottom w:val="0"/>
          <w:divBdr>
            <w:top w:val="none" w:sz="0" w:space="0" w:color="auto"/>
            <w:left w:val="none" w:sz="0" w:space="0" w:color="auto"/>
            <w:bottom w:val="none" w:sz="0" w:space="0" w:color="auto"/>
            <w:right w:val="none" w:sz="0" w:space="0" w:color="auto"/>
          </w:divBdr>
        </w:div>
        <w:div w:id="1802726346">
          <w:marLeft w:val="0"/>
          <w:marRight w:val="0"/>
          <w:marTop w:val="0"/>
          <w:marBottom w:val="0"/>
          <w:divBdr>
            <w:top w:val="none" w:sz="0" w:space="0" w:color="auto"/>
            <w:left w:val="none" w:sz="0" w:space="0" w:color="auto"/>
            <w:bottom w:val="none" w:sz="0" w:space="0" w:color="auto"/>
            <w:right w:val="none" w:sz="0" w:space="0" w:color="auto"/>
          </w:divBdr>
        </w:div>
        <w:div w:id="1388840870">
          <w:marLeft w:val="0"/>
          <w:marRight w:val="0"/>
          <w:marTop w:val="0"/>
          <w:marBottom w:val="0"/>
          <w:divBdr>
            <w:top w:val="none" w:sz="0" w:space="0" w:color="auto"/>
            <w:left w:val="none" w:sz="0" w:space="0" w:color="auto"/>
            <w:bottom w:val="none" w:sz="0" w:space="0" w:color="auto"/>
            <w:right w:val="none" w:sz="0" w:space="0" w:color="auto"/>
          </w:divBdr>
        </w:div>
        <w:div w:id="2010404041">
          <w:marLeft w:val="0"/>
          <w:marRight w:val="0"/>
          <w:marTop w:val="0"/>
          <w:marBottom w:val="0"/>
          <w:divBdr>
            <w:top w:val="none" w:sz="0" w:space="0" w:color="auto"/>
            <w:left w:val="none" w:sz="0" w:space="0" w:color="auto"/>
            <w:bottom w:val="none" w:sz="0" w:space="0" w:color="auto"/>
            <w:right w:val="none" w:sz="0" w:space="0" w:color="auto"/>
          </w:divBdr>
        </w:div>
        <w:div w:id="956176343">
          <w:marLeft w:val="0"/>
          <w:marRight w:val="0"/>
          <w:marTop w:val="0"/>
          <w:marBottom w:val="0"/>
          <w:divBdr>
            <w:top w:val="none" w:sz="0" w:space="0" w:color="auto"/>
            <w:left w:val="none" w:sz="0" w:space="0" w:color="auto"/>
            <w:bottom w:val="none" w:sz="0" w:space="0" w:color="auto"/>
            <w:right w:val="none" w:sz="0" w:space="0" w:color="auto"/>
          </w:divBdr>
        </w:div>
        <w:div w:id="763917727">
          <w:marLeft w:val="0"/>
          <w:marRight w:val="0"/>
          <w:marTop w:val="0"/>
          <w:marBottom w:val="0"/>
          <w:divBdr>
            <w:top w:val="none" w:sz="0" w:space="0" w:color="auto"/>
            <w:left w:val="none" w:sz="0" w:space="0" w:color="auto"/>
            <w:bottom w:val="none" w:sz="0" w:space="0" w:color="auto"/>
            <w:right w:val="none" w:sz="0" w:space="0" w:color="auto"/>
          </w:divBdr>
        </w:div>
        <w:div w:id="98453923">
          <w:marLeft w:val="0"/>
          <w:marRight w:val="0"/>
          <w:marTop w:val="0"/>
          <w:marBottom w:val="0"/>
          <w:divBdr>
            <w:top w:val="none" w:sz="0" w:space="0" w:color="auto"/>
            <w:left w:val="none" w:sz="0" w:space="0" w:color="auto"/>
            <w:bottom w:val="none" w:sz="0" w:space="0" w:color="auto"/>
            <w:right w:val="none" w:sz="0" w:space="0" w:color="auto"/>
          </w:divBdr>
        </w:div>
        <w:div w:id="558245651">
          <w:marLeft w:val="0"/>
          <w:marRight w:val="0"/>
          <w:marTop w:val="0"/>
          <w:marBottom w:val="0"/>
          <w:divBdr>
            <w:top w:val="none" w:sz="0" w:space="0" w:color="auto"/>
            <w:left w:val="none" w:sz="0" w:space="0" w:color="auto"/>
            <w:bottom w:val="none" w:sz="0" w:space="0" w:color="auto"/>
            <w:right w:val="none" w:sz="0" w:space="0" w:color="auto"/>
          </w:divBdr>
        </w:div>
        <w:div w:id="132069409">
          <w:marLeft w:val="0"/>
          <w:marRight w:val="0"/>
          <w:marTop w:val="0"/>
          <w:marBottom w:val="0"/>
          <w:divBdr>
            <w:top w:val="none" w:sz="0" w:space="0" w:color="auto"/>
            <w:left w:val="none" w:sz="0" w:space="0" w:color="auto"/>
            <w:bottom w:val="none" w:sz="0" w:space="0" w:color="auto"/>
            <w:right w:val="none" w:sz="0" w:space="0" w:color="auto"/>
          </w:divBdr>
        </w:div>
        <w:div w:id="1461193383">
          <w:marLeft w:val="0"/>
          <w:marRight w:val="0"/>
          <w:marTop w:val="0"/>
          <w:marBottom w:val="0"/>
          <w:divBdr>
            <w:top w:val="none" w:sz="0" w:space="0" w:color="auto"/>
            <w:left w:val="none" w:sz="0" w:space="0" w:color="auto"/>
            <w:bottom w:val="none" w:sz="0" w:space="0" w:color="auto"/>
            <w:right w:val="none" w:sz="0" w:space="0" w:color="auto"/>
          </w:divBdr>
        </w:div>
        <w:div w:id="715858644">
          <w:marLeft w:val="0"/>
          <w:marRight w:val="0"/>
          <w:marTop w:val="0"/>
          <w:marBottom w:val="0"/>
          <w:divBdr>
            <w:top w:val="none" w:sz="0" w:space="0" w:color="auto"/>
            <w:left w:val="none" w:sz="0" w:space="0" w:color="auto"/>
            <w:bottom w:val="none" w:sz="0" w:space="0" w:color="auto"/>
            <w:right w:val="none" w:sz="0" w:space="0" w:color="auto"/>
          </w:divBdr>
        </w:div>
        <w:div w:id="1039553772">
          <w:marLeft w:val="0"/>
          <w:marRight w:val="0"/>
          <w:marTop w:val="0"/>
          <w:marBottom w:val="0"/>
          <w:divBdr>
            <w:top w:val="none" w:sz="0" w:space="0" w:color="auto"/>
            <w:left w:val="none" w:sz="0" w:space="0" w:color="auto"/>
            <w:bottom w:val="none" w:sz="0" w:space="0" w:color="auto"/>
            <w:right w:val="none" w:sz="0" w:space="0" w:color="auto"/>
          </w:divBdr>
        </w:div>
        <w:div w:id="334306342">
          <w:marLeft w:val="0"/>
          <w:marRight w:val="0"/>
          <w:marTop w:val="0"/>
          <w:marBottom w:val="0"/>
          <w:divBdr>
            <w:top w:val="none" w:sz="0" w:space="0" w:color="auto"/>
            <w:left w:val="none" w:sz="0" w:space="0" w:color="auto"/>
            <w:bottom w:val="none" w:sz="0" w:space="0" w:color="auto"/>
            <w:right w:val="none" w:sz="0" w:space="0" w:color="auto"/>
          </w:divBdr>
        </w:div>
        <w:div w:id="1835682116">
          <w:marLeft w:val="0"/>
          <w:marRight w:val="0"/>
          <w:marTop w:val="0"/>
          <w:marBottom w:val="0"/>
          <w:divBdr>
            <w:top w:val="none" w:sz="0" w:space="0" w:color="auto"/>
            <w:left w:val="none" w:sz="0" w:space="0" w:color="auto"/>
            <w:bottom w:val="none" w:sz="0" w:space="0" w:color="auto"/>
            <w:right w:val="none" w:sz="0" w:space="0" w:color="auto"/>
          </w:divBdr>
        </w:div>
        <w:div w:id="1610089207">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049172">
      <w:bodyDiv w:val="1"/>
      <w:marLeft w:val="0"/>
      <w:marRight w:val="0"/>
      <w:marTop w:val="0"/>
      <w:marBottom w:val="0"/>
      <w:divBdr>
        <w:top w:val="none" w:sz="0" w:space="0" w:color="auto"/>
        <w:left w:val="none" w:sz="0" w:space="0" w:color="auto"/>
        <w:bottom w:val="none" w:sz="0" w:space="0" w:color="auto"/>
        <w:right w:val="none" w:sz="0" w:space="0" w:color="auto"/>
      </w:divBdr>
      <w:divsChild>
        <w:div w:id="1624268791">
          <w:marLeft w:val="0"/>
          <w:marRight w:val="0"/>
          <w:marTop w:val="0"/>
          <w:marBottom w:val="0"/>
          <w:divBdr>
            <w:top w:val="none" w:sz="0" w:space="0" w:color="auto"/>
            <w:left w:val="none" w:sz="0" w:space="0" w:color="auto"/>
            <w:bottom w:val="none" w:sz="0" w:space="0" w:color="auto"/>
            <w:right w:val="none" w:sz="0" w:space="0" w:color="auto"/>
          </w:divBdr>
        </w:div>
        <w:div w:id="608974485">
          <w:marLeft w:val="0"/>
          <w:marRight w:val="0"/>
          <w:marTop w:val="0"/>
          <w:marBottom w:val="0"/>
          <w:divBdr>
            <w:top w:val="none" w:sz="0" w:space="0" w:color="auto"/>
            <w:left w:val="none" w:sz="0" w:space="0" w:color="auto"/>
            <w:bottom w:val="none" w:sz="0" w:space="0" w:color="auto"/>
            <w:right w:val="none" w:sz="0" w:space="0" w:color="auto"/>
          </w:divBdr>
        </w:div>
        <w:div w:id="2098745325">
          <w:marLeft w:val="0"/>
          <w:marRight w:val="0"/>
          <w:marTop w:val="0"/>
          <w:marBottom w:val="0"/>
          <w:divBdr>
            <w:top w:val="none" w:sz="0" w:space="0" w:color="auto"/>
            <w:left w:val="none" w:sz="0" w:space="0" w:color="auto"/>
            <w:bottom w:val="none" w:sz="0" w:space="0" w:color="auto"/>
            <w:right w:val="none" w:sz="0" w:space="0" w:color="auto"/>
          </w:divBdr>
        </w:div>
        <w:div w:id="1272011888">
          <w:marLeft w:val="0"/>
          <w:marRight w:val="0"/>
          <w:marTop w:val="0"/>
          <w:marBottom w:val="0"/>
          <w:divBdr>
            <w:top w:val="none" w:sz="0" w:space="0" w:color="auto"/>
            <w:left w:val="none" w:sz="0" w:space="0" w:color="auto"/>
            <w:bottom w:val="none" w:sz="0" w:space="0" w:color="auto"/>
            <w:right w:val="none" w:sz="0" w:space="0" w:color="auto"/>
          </w:divBdr>
        </w:div>
        <w:div w:id="1190341219">
          <w:marLeft w:val="0"/>
          <w:marRight w:val="0"/>
          <w:marTop w:val="0"/>
          <w:marBottom w:val="0"/>
          <w:divBdr>
            <w:top w:val="none" w:sz="0" w:space="0" w:color="auto"/>
            <w:left w:val="none" w:sz="0" w:space="0" w:color="auto"/>
            <w:bottom w:val="none" w:sz="0" w:space="0" w:color="auto"/>
            <w:right w:val="none" w:sz="0" w:space="0" w:color="auto"/>
          </w:divBdr>
        </w:div>
        <w:div w:id="775561417">
          <w:marLeft w:val="0"/>
          <w:marRight w:val="0"/>
          <w:marTop w:val="0"/>
          <w:marBottom w:val="0"/>
          <w:divBdr>
            <w:top w:val="none" w:sz="0" w:space="0" w:color="auto"/>
            <w:left w:val="none" w:sz="0" w:space="0" w:color="auto"/>
            <w:bottom w:val="none" w:sz="0" w:space="0" w:color="auto"/>
            <w:right w:val="none" w:sz="0" w:space="0" w:color="auto"/>
          </w:divBdr>
        </w:div>
        <w:div w:id="1062875022">
          <w:marLeft w:val="0"/>
          <w:marRight w:val="0"/>
          <w:marTop w:val="0"/>
          <w:marBottom w:val="0"/>
          <w:divBdr>
            <w:top w:val="none" w:sz="0" w:space="0" w:color="auto"/>
            <w:left w:val="none" w:sz="0" w:space="0" w:color="auto"/>
            <w:bottom w:val="none" w:sz="0" w:space="0" w:color="auto"/>
            <w:right w:val="none" w:sz="0" w:space="0" w:color="auto"/>
          </w:divBdr>
        </w:div>
        <w:div w:id="1841582351">
          <w:marLeft w:val="0"/>
          <w:marRight w:val="0"/>
          <w:marTop w:val="0"/>
          <w:marBottom w:val="0"/>
          <w:divBdr>
            <w:top w:val="none" w:sz="0" w:space="0" w:color="auto"/>
            <w:left w:val="none" w:sz="0" w:space="0" w:color="auto"/>
            <w:bottom w:val="none" w:sz="0" w:space="0" w:color="auto"/>
            <w:right w:val="none" w:sz="0" w:space="0" w:color="auto"/>
          </w:divBdr>
        </w:div>
        <w:div w:id="1336490823">
          <w:marLeft w:val="0"/>
          <w:marRight w:val="0"/>
          <w:marTop w:val="0"/>
          <w:marBottom w:val="0"/>
          <w:divBdr>
            <w:top w:val="none" w:sz="0" w:space="0" w:color="auto"/>
            <w:left w:val="none" w:sz="0" w:space="0" w:color="auto"/>
            <w:bottom w:val="none" w:sz="0" w:space="0" w:color="auto"/>
            <w:right w:val="none" w:sz="0" w:space="0" w:color="auto"/>
          </w:divBdr>
        </w:div>
        <w:div w:id="670329270">
          <w:marLeft w:val="0"/>
          <w:marRight w:val="0"/>
          <w:marTop w:val="0"/>
          <w:marBottom w:val="0"/>
          <w:divBdr>
            <w:top w:val="none" w:sz="0" w:space="0" w:color="auto"/>
            <w:left w:val="none" w:sz="0" w:space="0" w:color="auto"/>
            <w:bottom w:val="none" w:sz="0" w:space="0" w:color="auto"/>
            <w:right w:val="none" w:sz="0" w:space="0" w:color="auto"/>
          </w:divBdr>
        </w:div>
        <w:div w:id="301736458">
          <w:marLeft w:val="0"/>
          <w:marRight w:val="0"/>
          <w:marTop w:val="0"/>
          <w:marBottom w:val="0"/>
          <w:divBdr>
            <w:top w:val="none" w:sz="0" w:space="0" w:color="auto"/>
            <w:left w:val="none" w:sz="0" w:space="0" w:color="auto"/>
            <w:bottom w:val="none" w:sz="0" w:space="0" w:color="auto"/>
            <w:right w:val="none" w:sz="0" w:space="0" w:color="auto"/>
          </w:divBdr>
        </w:div>
        <w:div w:id="1936589440">
          <w:marLeft w:val="0"/>
          <w:marRight w:val="0"/>
          <w:marTop w:val="0"/>
          <w:marBottom w:val="0"/>
          <w:divBdr>
            <w:top w:val="none" w:sz="0" w:space="0" w:color="auto"/>
            <w:left w:val="none" w:sz="0" w:space="0" w:color="auto"/>
            <w:bottom w:val="none" w:sz="0" w:space="0" w:color="auto"/>
            <w:right w:val="none" w:sz="0" w:space="0" w:color="auto"/>
          </w:divBdr>
        </w:div>
        <w:div w:id="1734501617">
          <w:marLeft w:val="0"/>
          <w:marRight w:val="0"/>
          <w:marTop w:val="0"/>
          <w:marBottom w:val="0"/>
          <w:divBdr>
            <w:top w:val="none" w:sz="0" w:space="0" w:color="auto"/>
            <w:left w:val="none" w:sz="0" w:space="0" w:color="auto"/>
            <w:bottom w:val="none" w:sz="0" w:space="0" w:color="auto"/>
            <w:right w:val="none" w:sz="0" w:space="0" w:color="auto"/>
          </w:divBdr>
        </w:div>
        <w:div w:id="621687227">
          <w:marLeft w:val="0"/>
          <w:marRight w:val="0"/>
          <w:marTop w:val="0"/>
          <w:marBottom w:val="0"/>
          <w:divBdr>
            <w:top w:val="none" w:sz="0" w:space="0" w:color="auto"/>
            <w:left w:val="none" w:sz="0" w:space="0" w:color="auto"/>
            <w:bottom w:val="none" w:sz="0" w:space="0" w:color="auto"/>
            <w:right w:val="none" w:sz="0" w:space="0" w:color="auto"/>
          </w:divBdr>
        </w:div>
        <w:div w:id="1646081383">
          <w:marLeft w:val="0"/>
          <w:marRight w:val="0"/>
          <w:marTop w:val="0"/>
          <w:marBottom w:val="0"/>
          <w:divBdr>
            <w:top w:val="none" w:sz="0" w:space="0" w:color="auto"/>
            <w:left w:val="none" w:sz="0" w:space="0" w:color="auto"/>
            <w:bottom w:val="none" w:sz="0" w:space="0" w:color="auto"/>
            <w:right w:val="none" w:sz="0" w:space="0" w:color="auto"/>
          </w:divBdr>
        </w:div>
        <w:div w:id="1424571945">
          <w:marLeft w:val="0"/>
          <w:marRight w:val="0"/>
          <w:marTop w:val="0"/>
          <w:marBottom w:val="0"/>
          <w:divBdr>
            <w:top w:val="none" w:sz="0" w:space="0" w:color="auto"/>
            <w:left w:val="none" w:sz="0" w:space="0" w:color="auto"/>
            <w:bottom w:val="none" w:sz="0" w:space="0" w:color="auto"/>
            <w:right w:val="none" w:sz="0" w:space="0" w:color="auto"/>
          </w:divBdr>
        </w:div>
        <w:div w:id="1428769427">
          <w:marLeft w:val="0"/>
          <w:marRight w:val="0"/>
          <w:marTop w:val="0"/>
          <w:marBottom w:val="0"/>
          <w:divBdr>
            <w:top w:val="none" w:sz="0" w:space="0" w:color="auto"/>
            <w:left w:val="none" w:sz="0" w:space="0" w:color="auto"/>
            <w:bottom w:val="none" w:sz="0" w:space="0" w:color="auto"/>
            <w:right w:val="none" w:sz="0" w:space="0" w:color="auto"/>
          </w:divBdr>
        </w:div>
        <w:div w:id="1973243192">
          <w:marLeft w:val="0"/>
          <w:marRight w:val="0"/>
          <w:marTop w:val="0"/>
          <w:marBottom w:val="0"/>
          <w:divBdr>
            <w:top w:val="none" w:sz="0" w:space="0" w:color="auto"/>
            <w:left w:val="none" w:sz="0" w:space="0" w:color="auto"/>
            <w:bottom w:val="none" w:sz="0" w:space="0" w:color="auto"/>
            <w:right w:val="none" w:sz="0" w:space="0" w:color="auto"/>
          </w:divBdr>
        </w:div>
        <w:div w:id="2115395025">
          <w:marLeft w:val="0"/>
          <w:marRight w:val="0"/>
          <w:marTop w:val="0"/>
          <w:marBottom w:val="0"/>
          <w:divBdr>
            <w:top w:val="none" w:sz="0" w:space="0" w:color="auto"/>
            <w:left w:val="none" w:sz="0" w:space="0" w:color="auto"/>
            <w:bottom w:val="none" w:sz="0" w:space="0" w:color="auto"/>
            <w:right w:val="none" w:sz="0" w:space="0" w:color="auto"/>
          </w:divBdr>
        </w:div>
        <w:div w:id="1319503149">
          <w:marLeft w:val="0"/>
          <w:marRight w:val="0"/>
          <w:marTop w:val="0"/>
          <w:marBottom w:val="0"/>
          <w:divBdr>
            <w:top w:val="none" w:sz="0" w:space="0" w:color="auto"/>
            <w:left w:val="none" w:sz="0" w:space="0" w:color="auto"/>
            <w:bottom w:val="none" w:sz="0" w:space="0" w:color="auto"/>
            <w:right w:val="none" w:sz="0" w:space="0" w:color="auto"/>
          </w:divBdr>
        </w:div>
        <w:div w:id="322008519">
          <w:marLeft w:val="0"/>
          <w:marRight w:val="0"/>
          <w:marTop w:val="0"/>
          <w:marBottom w:val="0"/>
          <w:divBdr>
            <w:top w:val="none" w:sz="0" w:space="0" w:color="auto"/>
            <w:left w:val="none" w:sz="0" w:space="0" w:color="auto"/>
            <w:bottom w:val="none" w:sz="0" w:space="0" w:color="auto"/>
            <w:right w:val="none" w:sz="0" w:space="0" w:color="auto"/>
          </w:divBdr>
        </w:div>
        <w:div w:id="182911929">
          <w:marLeft w:val="0"/>
          <w:marRight w:val="0"/>
          <w:marTop w:val="0"/>
          <w:marBottom w:val="0"/>
          <w:divBdr>
            <w:top w:val="none" w:sz="0" w:space="0" w:color="auto"/>
            <w:left w:val="none" w:sz="0" w:space="0" w:color="auto"/>
            <w:bottom w:val="none" w:sz="0" w:space="0" w:color="auto"/>
            <w:right w:val="none" w:sz="0" w:space="0" w:color="auto"/>
          </w:divBdr>
        </w:div>
        <w:div w:id="1817338929">
          <w:marLeft w:val="0"/>
          <w:marRight w:val="0"/>
          <w:marTop w:val="0"/>
          <w:marBottom w:val="0"/>
          <w:divBdr>
            <w:top w:val="none" w:sz="0" w:space="0" w:color="auto"/>
            <w:left w:val="none" w:sz="0" w:space="0" w:color="auto"/>
            <w:bottom w:val="none" w:sz="0" w:space="0" w:color="auto"/>
            <w:right w:val="none" w:sz="0" w:space="0" w:color="auto"/>
          </w:divBdr>
        </w:div>
        <w:div w:id="1341154708">
          <w:marLeft w:val="0"/>
          <w:marRight w:val="0"/>
          <w:marTop w:val="0"/>
          <w:marBottom w:val="0"/>
          <w:divBdr>
            <w:top w:val="none" w:sz="0" w:space="0" w:color="auto"/>
            <w:left w:val="none" w:sz="0" w:space="0" w:color="auto"/>
            <w:bottom w:val="none" w:sz="0" w:space="0" w:color="auto"/>
            <w:right w:val="none" w:sz="0" w:space="0" w:color="auto"/>
          </w:divBdr>
        </w:div>
        <w:div w:id="52504089">
          <w:marLeft w:val="0"/>
          <w:marRight w:val="0"/>
          <w:marTop w:val="0"/>
          <w:marBottom w:val="0"/>
          <w:divBdr>
            <w:top w:val="none" w:sz="0" w:space="0" w:color="auto"/>
            <w:left w:val="none" w:sz="0" w:space="0" w:color="auto"/>
            <w:bottom w:val="none" w:sz="0" w:space="0" w:color="auto"/>
            <w:right w:val="none" w:sz="0" w:space="0" w:color="auto"/>
          </w:divBdr>
        </w:div>
        <w:div w:id="832526106">
          <w:marLeft w:val="0"/>
          <w:marRight w:val="0"/>
          <w:marTop w:val="0"/>
          <w:marBottom w:val="0"/>
          <w:divBdr>
            <w:top w:val="none" w:sz="0" w:space="0" w:color="auto"/>
            <w:left w:val="none" w:sz="0" w:space="0" w:color="auto"/>
            <w:bottom w:val="none" w:sz="0" w:space="0" w:color="auto"/>
            <w:right w:val="none" w:sz="0" w:space="0" w:color="auto"/>
          </w:divBdr>
        </w:div>
        <w:div w:id="643004607">
          <w:marLeft w:val="0"/>
          <w:marRight w:val="0"/>
          <w:marTop w:val="0"/>
          <w:marBottom w:val="0"/>
          <w:divBdr>
            <w:top w:val="none" w:sz="0" w:space="0" w:color="auto"/>
            <w:left w:val="none" w:sz="0" w:space="0" w:color="auto"/>
            <w:bottom w:val="none" w:sz="0" w:space="0" w:color="auto"/>
            <w:right w:val="none" w:sz="0" w:space="0" w:color="auto"/>
          </w:divBdr>
        </w:div>
        <w:div w:id="1936278348">
          <w:marLeft w:val="0"/>
          <w:marRight w:val="0"/>
          <w:marTop w:val="0"/>
          <w:marBottom w:val="0"/>
          <w:divBdr>
            <w:top w:val="none" w:sz="0" w:space="0" w:color="auto"/>
            <w:left w:val="none" w:sz="0" w:space="0" w:color="auto"/>
            <w:bottom w:val="none" w:sz="0" w:space="0" w:color="auto"/>
            <w:right w:val="none" w:sz="0" w:space="0" w:color="auto"/>
          </w:divBdr>
        </w:div>
      </w:divsChild>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618220471">
      <w:bodyDiv w:val="1"/>
      <w:marLeft w:val="0"/>
      <w:marRight w:val="0"/>
      <w:marTop w:val="0"/>
      <w:marBottom w:val="0"/>
      <w:divBdr>
        <w:top w:val="none" w:sz="0" w:space="0" w:color="auto"/>
        <w:left w:val="none" w:sz="0" w:space="0" w:color="auto"/>
        <w:bottom w:val="none" w:sz="0" w:space="0" w:color="auto"/>
        <w:right w:val="none" w:sz="0" w:space="0" w:color="auto"/>
      </w:divBdr>
    </w:div>
    <w:div w:id="1634824441">
      <w:bodyDiv w:val="1"/>
      <w:marLeft w:val="0"/>
      <w:marRight w:val="0"/>
      <w:marTop w:val="0"/>
      <w:marBottom w:val="0"/>
      <w:divBdr>
        <w:top w:val="none" w:sz="0" w:space="0" w:color="auto"/>
        <w:left w:val="none" w:sz="0" w:space="0" w:color="auto"/>
        <w:bottom w:val="none" w:sz="0" w:space="0" w:color="auto"/>
        <w:right w:val="none" w:sz="0" w:space="0" w:color="auto"/>
      </w:divBdr>
      <w:divsChild>
        <w:div w:id="1366251450">
          <w:marLeft w:val="0"/>
          <w:marRight w:val="0"/>
          <w:marTop w:val="0"/>
          <w:marBottom w:val="0"/>
          <w:divBdr>
            <w:top w:val="none" w:sz="0" w:space="0" w:color="auto"/>
            <w:left w:val="none" w:sz="0" w:space="0" w:color="auto"/>
            <w:bottom w:val="none" w:sz="0" w:space="0" w:color="auto"/>
            <w:right w:val="none" w:sz="0" w:space="0" w:color="auto"/>
          </w:divBdr>
        </w:div>
        <w:div w:id="258102324">
          <w:marLeft w:val="0"/>
          <w:marRight w:val="0"/>
          <w:marTop w:val="0"/>
          <w:marBottom w:val="0"/>
          <w:divBdr>
            <w:top w:val="none" w:sz="0" w:space="0" w:color="auto"/>
            <w:left w:val="none" w:sz="0" w:space="0" w:color="auto"/>
            <w:bottom w:val="none" w:sz="0" w:space="0" w:color="auto"/>
            <w:right w:val="none" w:sz="0" w:space="0" w:color="auto"/>
          </w:divBdr>
        </w:div>
        <w:div w:id="1866018955">
          <w:marLeft w:val="0"/>
          <w:marRight w:val="0"/>
          <w:marTop w:val="0"/>
          <w:marBottom w:val="0"/>
          <w:divBdr>
            <w:top w:val="none" w:sz="0" w:space="0" w:color="auto"/>
            <w:left w:val="none" w:sz="0" w:space="0" w:color="auto"/>
            <w:bottom w:val="none" w:sz="0" w:space="0" w:color="auto"/>
            <w:right w:val="none" w:sz="0" w:space="0" w:color="auto"/>
          </w:divBdr>
        </w:div>
        <w:div w:id="1237738765">
          <w:marLeft w:val="0"/>
          <w:marRight w:val="0"/>
          <w:marTop w:val="0"/>
          <w:marBottom w:val="0"/>
          <w:divBdr>
            <w:top w:val="none" w:sz="0" w:space="0" w:color="auto"/>
            <w:left w:val="none" w:sz="0" w:space="0" w:color="auto"/>
            <w:bottom w:val="none" w:sz="0" w:space="0" w:color="auto"/>
            <w:right w:val="none" w:sz="0" w:space="0" w:color="auto"/>
          </w:divBdr>
        </w:div>
        <w:div w:id="1492523890">
          <w:marLeft w:val="0"/>
          <w:marRight w:val="0"/>
          <w:marTop w:val="0"/>
          <w:marBottom w:val="0"/>
          <w:divBdr>
            <w:top w:val="none" w:sz="0" w:space="0" w:color="auto"/>
            <w:left w:val="none" w:sz="0" w:space="0" w:color="auto"/>
            <w:bottom w:val="none" w:sz="0" w:space="0" w:color="auto"/>
            <w:right w:val="none" w:sz="0" w:space="0" w:color="auto"/>
          </w:divBdr>
        </w:div>
        <w:div w:id="2044750423">
          <w:marLeft w:val="0"/>
          <w:marRight w:val="0"/>
          <w:marTop w:val="0"/>
          <w:marBottom w:val="0"/>
          <w:divBdr>
            <w:top w:val="none" w:sz="0" w:space="0" w:color="auto"/>
            <w:left w:val="none" w:sz="0" w:space="0" w:color="auto"/>
            <w:bottom w:val="none" w:sz="0" w:space="0" w:color="auto"/>
            <w:right w:val="none" w:sz="0" w:space="0" w:color="auto"/>
          </w:divBdr>
        </w:div>
        <w:div w:id="797643335">
          <w:marLeft w:val="0"/>
          <w:marRight w:val="0"/>
          <w:marTop w:val="0"/>
          <w:marBottom w:val="0"/>
          <w:divBdr>
            <w:top w:val="none" w:sz="0" w:space="0" w:color="auto"/>
            <w:left w:val="none" w:sz="0" w:space="0" w:color="auto"/>
            <w:bottom w:val="none" w:sz="0" w:space="0" w:color="auto"/>
            <w:right w:val="none" w:sz="0" w:space="0" w:color="auto"/>
          </w:divBdr>
        </w:div>
        <w:div w:id="1071385450">
          <w:marLeft w:val="0"/>
          <w:marRight w:val="0"/>
          <w:marTop w:val="0"/>
          <w:marBottom w:val="0"/>
          <w:divBdr>
            <w:top w:val="none" w:sz="0" w:space="0" w:color="auto"/>
            <w:left w:val="none" w:sz="0" w:space="0" w:color="auto"/>
            <w:bottom w:val="none" w:sz="0" w:space="0" w:color="auto"/>
            <w:right w:val="none" w:sz="0" w:space="0" w:color="auto"/>
          </w:divBdr>
        </w:div>
        <w:div w:id="1888562582">
          <w:marLeft w:val="0"/>
          <w:marRight w:val="0"/>
          <w:marTop w:val="0"/>
          <w:marBottom w:val="0"/>
          <w:divBdr>
            <w:top w:val="none" w:sz="0" w:space="0" w:color="auto"/>
            <w:left w:val="none" w:sz="0" w:space="0" w:color="auto"/>
            <w:bottom w:val="none" w:sz="0" w:space="0" w:color="auto"/>
            <w:right w:val="none" w:sz="0" w:space="0" w:color="auto"/>
          </w:divBdr>
        </w:div>
        <w:div w:id="1613391389">
          <w:marLeft w:val="0"/>
          <w:marRight w:val="0"/>
          <w:marTop w:val="0"/>
          <w:marBottom w:val="0"/>
          <w:divBdr>
            <w:top w:val="none" w:sz="0" w:space="0" w:color="auto"/>
            <w:left w:val="none" w:sz="0" w:space="0" w:color="auto"/>
            <w:bottom w:val="none" w:sz="0" w:space="0" w:color="auto"/>
            <w:right w:val="none" w:sz="0" w:space="0" w:color="auto"/>
          </w:divBdr>
        </w:div>
        <w:div w:id="72091704">
          <w:marLeft w:val="0"/>
          <w:marRight w:val="0"/>
          <w:marTop w:val="0"/>
          <w:marBottom w:val="0"/>
          <w:divBdr>
            <w:top w:val="none" w:sz="0" w:space="0" w:color="auto"/>
            <w:left w:val="none" w:sz="0" w:space="0" w:color="auto"/>
            <w:bottom w:val="none" w:sz="0" w:space="0" w:color="auto"/>
            <w:right w:val="none" w:sz="0" w:space="0" w:color="auto"/>
          </w:divBdr>
        </w:div>
        <w:div w:id="1768192741">
          <w:marLeft w:val="0"/>
          <w:marRight w:val="0"/>
          <w:marTop w:val="0"/>
          <w:marBottom w:val="0"/>
          <w:divBdr>
            <w:top w:val="none" w:sz="0" w:space="0" w:color="auto"/>
            <w:left w:val="none" w:sz="0" w:space="0" w:color="auto"/>
            <w:bottom w:val="none" w:sz="0" w:space="0" w:color="auto"/>
            <w:right w:val="none" w:sz="0" w:space="0" w:color="auto"/>
          </w:divBdr>
        </w:div>
        <w:div w:id="1569726134">
          <w:marLeft w:val="0"/>
          <w:marRight w:val="0"/>
          <w:marTop w:val="0"/>
          <w:marBottom w:val="0"/>
          <w:divBdr>
            <w:top w:val="none" w:sz="0" w:space="0" w:color="auto"/>
            <w:left w:val="none" w:sz="0" w:space="0" w:color="auto"/>
            <w:bottom w:val="none" w:sz="0" w:space="0" w:color="auto"/>
            <w:right w:val="none" w:sz="0" w:space="0" w:color="auto"/>
          </w:divBdr>
        </w:div>
        <w:div w:id="941372997">
          <w:marLeft w:val="0"/>
          <w:marRight w:val="0"/>
          <w:marTop w:val="0"/>
          <w:marBottom w:val="0"/>
          <w:divBdr>
            <w:top w:val="none" w:sz="0" w:space="0" w:color="auto"/>
            <w:left w:val="none" w:sz="0" w:space="0" w:color="auto"/>
            <w:bottom w:val="none" w:sz="0" w:space="0" w:color="auto"/>
            <w:right w:val="none" w:sz="0" w:space="0" w:color="auto"/>
          </w:divBdr>
        </w:div>
        <w:div w:id="2052876847">
          <w:marLeft w:val="0"/>
          <w:marRight w:val="0"/>
          <w:marTop w:val="0"/>
          <w:marBottom w:val="0"/>
          <w:divBdr>
            <w:top w:val="none" w:sz="0" w:space="0" w:color="auto"/>
            <w:left w:val="none" w:sz="0" w:space="0" w:color="auto"/>
            <w:bottom w:val="none" w:sz="0" w:space="0" w:color="auto"/>
            <w:right w:val="none" w:sz="0" w:space="0" w:color="auto"/>
          </w:divBdr>
        </w:div>
        <w:div w:id="1126973572">
          <w:marLeft w:val="0"/>
          <w:marRight w:val="0"/>
          <w:marTop w:val="0"/>
          <w:marBottom w:val="0"/>
          <w:divBdr>
            <w:top w:val="none" w:sz="0" w:space="0" w:color="auto"/>
            <w:left w:val="none" w:sz="0" w:space="0" w:color="auto"/>
            <w:bottom w:val="none" w:sz="0" w:space="0" w:color="auto"/>
            <w:right w:val="none" w:sz="0" w:space="0" w:color="auto"/>
          </w:divBdr>
        </w:div>
        <w:div w:id="342825912">
          <w:marLeft w:val="0"/>
          <w:marRight w:val="0"/>
          <w:marTop w:val="0"/>
          <w:marBottom w:val="0"/>
          <w:divBdr>
            <w:top w:val="none" w:sz="0" w:space="0" w:color="auto"/>
            <w:left w:val="none" w:sz="0" w:space="0" w:color="auto"/>
            <w:bottom w:val="none" w:sz="0" w:space="0" w:color="auto"/>
            <w:right w:val="none" w:sz="0" w:space="0" w:color="auto"/>
          </w:divBdr>
        </w:div>
        <w:div w:id="1702897597">
          <w:marLeft w:val="0"/>
          <w:marRight w:val="0"/>
          <w:marTop w:val="0"/>
          <w:marBottom w:val="0"/>
          <w:divBdr>
            <w:top w:val="none" w:sz="0" w:space="0" w:color="auto"/>
            <w:left w:val="none" w:sz="0" w:space="0" w:color="auto"/>
            <w:bottom w:val="none" w:sz="0" w:space="0" w:color="auto"/>
            <w:right w:val="none" w:sz="0" w:space="0" w:color="auto"/>
          </w:divBdr>
        </w:div>
        <w:div w:id="2121684754">
          <w:marLeft w:val="0"/>
          <w:marRight w:val="0"/>
          <w:marTop w:val="0"/>
          <w:marBottom w:val="0"/>
          <w:divBdr>
            <w:top w:val="none" w:sz="0" w:space="0" w:color="auto"/>
            <w:left w:val="none" w:sz="0" w:space="0" w:color="auto"/>
            <w:bottom w:val="none" w:sz="0" w:space="0" w:color="auto"/>
            <w:right w:val="none" w:sz="0" w:space="0" w:color="auto"/>
          </w:divBdr>
        </w:div>
        <w:div w:id="2140879232">
          <w:marLeft w:val="0"/>
          <w:marRight w:val="0"/>
          <w:marTop w:val="0"/>
          <w:marBottom w:val="0"/>
          <w:divBdr>
            <w:top w:val="none" w:sz="0" w:space="0" w:color="auto"/>
            <w:left w:val="none" w:sz="0" w:space="0" w:color="auto"/>
            <w:bottom w:val="none" w:sz="0" w:space="0" w:color="auto"/>
            <w:right w:val="none" w:sz="0" w:space="0" w:color="auto"/>
          </w:divBdr>
        </w:div>
        <w:div w:id="51465003">
          <w:marLeft w:val="0"/>
          <w:marRight w:val="0"/>
          <w:marTop w:val="0"/>
          <w:marBottom w:val="0"/>
          <w:divBdr>
            <w:top w:val="none" w:sz="0" w:space="0" w:color="auto"/>
            <w:left w:val="none" w:sz="0" w:space="0" w:color="auto"/>
            <w:bottom w:val="none" w:sz="0" w:space="0" w:color="auto"/>
            <w:right w:val="none" w:sz="0" w:space="0" w:color="auto"/>
          </w:divBdr>
        </w:div>
        <w:div w:id="1449737418">
          <w:marLeft w:val="0"/>
          <w:marRight w:val="0"/>
          <w:marTop w:val="0"/>
          <w:marBottom w:val="0"/>
          <w:divBdr>
            <w:top w:val="none" w:sz="0" w:space="0" w:color="auto"/>
            <w:left w:val="none" w:sz="0" w:space="0" w:color="auto"/>
            <w:bottom w:val="none" w:sz="0" w:space="0" w:color="auto"/>
            <w:right w:val="none" w:sz="0" w:space="0" w:color="auto"/>
          </w:divBdr>
        </w:div>
        <w:div w:id="1009480743">
          <w:marLeft w:val="0"/>
          <w:marRight w:val="0"/>
          <w:marTop w:val="0"/>
          <w:marBottom w:val="0"/>
          <w:divBdr>
            <w:top w:val="none" w:sz="0" w:space="0" w:color="auto"/>
            <w:left w:val="none" w:sz="0" w:space="0" w:color="auto"/>
            <w:bottom w:val="none" w:sz="0" w:space="0" w:color="auto"/>
            <w:right w:val="none" w:sz="0" w:space="0" w:color="auto"/>
          </w:divBdr>
        </w:div>
        <w:div w:id="513307784">
          <w:marLeft w:val="0"/>
          <w:marRight w:val="0"/>
          <w:marTop w:val="0"/>
          <w:marBottom w:val="0"/>
          <w:divBdr>
            <w:top w:val="none" w:sz="0" w:space="0" w:color="auto"/>
            <w:left w:val="none" w:sz="0" w:space="0" w:color="auto"/>
            <w:bottom w:val="none" w:sz="0" w:space="0" w:color="auto"/>
            <w:right w:val="none" w:sz="0" w:space="0" w:color="auto"/>
          </w:divBdr>
        </w:div>
        <w:div w:id="1070465360">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4406</Words>
  <Characters>25119</Characters>
  <Application>Microsoft Office Word</Application>
  <DocSecurity>0</DocSecurity>
  <Lines>209</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 (TK)</cp:lastModifiedBy>
  <cp:revision>4</cp:revision>
  <cp:lastPrinted>2019-04-25T01:09:00Z</cp:lastPrinted>
  <dcterms:created xsi:type="dcterms:W3CDTF">2025-11-07T01:29:00Z</dcterms:created>
  <dcterms:modified xsi:type="dcterms:W3CDTF">2025-11-07T15:05:00Z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B38244641386E33BF5BCC261852982DE3BD210E024E041A5220934171264D78CEA8D790EF86CFC172688418746B432D8B252B7A43456AAA5C8C75EBCFDF718FE</vt:lpwstr>
  </property>
</Properties>
</file>