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840"/>
          <w:tab w:val="left" w:pos="1260"/>
          <w:tab w:val="left" w:pos="1680"/>
          <w:tab w:val="left" w:pos="2100"/>
          <w:tab w:val="left" w:pos="2520"/>
        </w:tabs>
        <w:jc w:val="both"/>
        <w:rPr>
          <w:rFonts w:hint="default" w:ascii="Arial" w:hAnsi="Arial" w:eastAsia="宋体"/>
          <w:b/>
          <w:color w:val="auto"/>
          <w:sz w:val="24"/>
          <w:lang w:val="en-US" w:eastAsia="zh-CN"/>
        </w:rPr>
      </w:pPr>
      <w:bookmarkStart w:id="0" w:name="Title"/>
      <w:bookmarkEnd w:id="0"/>
      <w:r>
        <w:rPr>
          <w:rFonts w:ascii="Arial" w:hAnsi="Arial" w:eastAsia="宋体"/>
          <w:b/>
          <w:color w:val="auto"/>
          <w:sz w:val="24"/>
          <w:lang w:val="en-GB" w:eastAsia="zh-CN"/>
        </w:rPr>
        <w:t>3GPP TSG-RAN WG4 Meeting #116bis</w:t>
      </w:r>
      <w:r>
        <w:rPr>
          <w:rFonts w:ascii="Arial" w:hAnsi="Arial" w:eastAsia="宋体"/>
          <w:b/>
          <w:color w:val="auto"/>
          <w:sz w:val="24"/>
          <w:lang w:val="en-GB" w:eastAsia="zh-CN"/>
        </w:rPr>
        <w:tab/>
      </w:r>
      <w:r>
        <w:rPr>
          <w:rFonts w:ascii="Arial" w:hAnsi="Arial" w:eastAsia="宋体"/>
          <w:b/>
          <w:color w:val="auto"/>
          <w:sz w:val="24"/>
          <w:lang w:val="en-GB" w:eastAsia="zh-CN"/>
        </w:rPr>
        <w:tab/>
      </w:r>
      <w:r>
        <w:rPr>
          <w:rFonts w:hint="eastAsia" w:ascii="Arial" w:hAnsi="Arial" w:eastAsia="宋体"/>
          <w:b/>
          <w:color w:val="auto"/>
          <w:sz w:val="24"/>
          <w:lang w:val="en-US" w:eastAsia="zh-CN"/>
        </w:rPr>
        <w:t xml:space="preserve">                </w:t>
      </w:r>
      <w:r>
        <w:rPr>
          <w:rFonts w:ascii="Arial" w:hAnsi="Arial" w:eastAsia="宋体"/>
          <w:b/>
          <w:color w:val="auto"/>
          <w:sz w:val="24"/>
          <w:lang w:val="en-GB" w:eastAsia="zh-CN"/>
        </w:rPr>
        <w:tab/>
      </w:r>
      <w:r>
        <w:rPr>
          <w:rFonts w:ascii="Arial" w:hAnsi="Arial" w:eastAsia="宋体"/>
          <w:b/>
          <w:color w:val="auto"/>
          <w:sz w:val="24"/>
          <w:lang w:val="en-GB" w:eastAsia="zh-CN"/>
        </w:rPr>
        <w:tab/>
      </w:r>
      <w:r>
        <w:rPr>
          <w:rFonts w:hint="eastAsia" w:ascii="Arial" w:hAnsi="Arial" w:eastAsia="宋体"/>
          <w:b/>
          <w:color w:val="auto"/>
          <w:sz w:val="24"/>
          <w:lang w:val="en-US" w:eastAsia="zh-CN"/>
        </w:rPr>
        <w:t xml:space="preserve">  </w:t>
      </w:r>
      <w:r>
        <w:rPr>
          <w:rFonts w:hint="eastAsia" w:ascii="Arial" w:hAnsi="Arial"/>
          <w:b/>
          <w:color w:val="auto"/>
          <w:sz w:val="24"/>
          <w:lang w:val="en-US" w:eastAsia="zh-CN"/>
        </w:rPr>
        <w:t xml:space="preserve">    </w:t>
      </w:r>
      <w:r>
        <w:rPr>
          <w:rFonts w:hint="eastAsia" w:ascii="Arial" w:hAnsi="Arial" w:eastAsia="宋体"/>
          <w:b/>
          <w:color w:val="auto"/>
          <w:sz w:val="24"/>
          <w:lang w:val="en-US" w:eastAsia="zh-CN"/>
        </w:rPr>
        <w:t xml:space="preserve"> </w:t>
      </w:r>
      <w:r>
        <w:rPr>
          <w:rFonts w:hint="eastAsia" w:ascii="Arial" w:hAnsi="Arial" w:eastAsia="宋体"/>
          <w:b/>
          <w:color w:val="auto"/>
          <w:sz w:val="24"/>
          <w:lang w:val="en-GB" w:eastAsia="zh-CN"/>
        </w:rPr>
        <w:t>R4-2513</w:t>
      </w:r>
      <w:r>
        <w:rPr>
          <w:rFonts w:hint="eastAsia" w:ascii="Arial" w:hAnsi="Arial"/>
          <w:b/>
          <w:color w:val="auto"/>
          <w:sz w:val="24"/>
          <w:lang w:val="en-US" w:eastAsia="zh-CN"/>
        </w:rPr>
        <w:t>899</w:t>
      </w:r>
      <w:bookmarkStart w:id="7" w:name="_GoBack"/>
      <w:bookmarkEnd w:id="7"/>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r>
        <w:rPr>
          <w:rFonts w:ascii="Arial" w:hAnsi="Arial" w:eastAsia="宋体"/>
          <w:b/>
          <w:color w:val="auto"/>
          <w:sz w:val="24"/>
          <w:lang w:val="en-GB" w:eastAsia="zh-CN"/>
        </w:rPr>
        <w:t>Prague, Czech Republic, Oct. 13-17, 2025</w:t>
      </w:r>
    </w:p>
    <w:p>
      <w:pPr>
        <w:tabs>
          <w:tab w:val="left" w:pos="1985"/>
        </w:tabs>
        <w:spacing w:after="180" w:line="240" w:lineRule="exact"/>
        <w:ind w:left="0" w:firstLine="0"/>
        <w:rPr>
          <w:rFonts w:ascii="Arial" w:hAnsi="Arial" w:eastAsia="MS Mincho" w:cs="Arial"/>
          <w:b/>
          <w:color w:val="auto"/>
          <w:sz w:val="24"/>
          <w:szCs w:val="24"/>
          <w:lang w:eastAsia="en-US"/>
        </w:rPr>
      </w:pP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color w:val="auto"/>
          <w:sz w:val="24"/>
          <w:szCs w:val="24"/>
          <w:lang w:val="en-US" w:eastAsia="zh-CN"/>
        </w:rPr>
        <w:t>4</w:t>
      </w:r>
      <w:r>
        <w:rPr>
          <w:rFonts w:hint="eastAsia" w:ascii="Arial" w:hAnsi="Arial" w:cs="Arial"/>
          <w:b/>
          <w:strike w:val="0"/>
          <w:color w:val="auto"/>
          <w:sz w:val="24"/>
          <w:szCs w:val="24"/>
          <w:lang w:val="en-US" w:eastAsia="zh-CN"/>
        </w:rPr>
        <w:t>.15.1</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the </w:t>
      </w:r>
      <w:r>
        <w:rPr>
          <w:rFonts w:hint="eastAsia" w:ascii="Arial" w:hAnsi="Arial" w:eastAsia="宋体" w:cs="Arial"/>
          <w:b/>
          <w:sz w:val="24"/>
          <w:szCs w:val="24"/>
          <w:lang w:val="en-US" w:eastAsia="zh-CN"/>
        </w:rPr>
        <w:t>f</w:t>
      </w:r>
      <w:r>
        <w:rPr>
          <w:rFonts w:ascii="Arial" w:hAnsi="Arial" w:eastAsia="MS Mincho" w:cs="Arial"/>
          <w:b/>
          <w:sz w:val="24"/>
          <w:szCs w:val="24"/>
          <w:lang w:val="en-US" w:eastAsia="en-US"/>
        </w:rPr>
        <w:t xml:space="preserve">ast SCell activation for UE supporting Rel-18 EMR </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1" w:name="DocumentFor"/>
      <w:bookmarkEnd w:id="1"/>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0"/>
        <w:jc w:val="left"/>
        <w:rPr>
          <w:rFonts w:hint="default" w:eastAsia="等线" w:cs="Times New Roman"/>
          <w:kern w:val="0"/>
          <w:sz w:val="20"/>
          <w:szCs w:val="20"/>
          <w:lang w:val="en-US" w:eastAsia="zh-CN"/>
        </w:rPr>
      </w:pPr>
      <w:bookmarkStart w:id="2" w:name="_Hlk131426020"/>
      <w:r>
        <w:rPr>
          <w:rFonts w:hint="eastAsia" w:eastAsiaTheme="minorEastAsia"/>
          <w:lang w:val="en-US" w:eastAsia="zh-CN"/>
        </w:rPr>
        <w:t>The</w:t>
      </w:r>
      <w:r>
        <w:rPr>
          <w:rFonts w:eastAsiaTheme="minorEastAsia"/>
          <w:lang w:val="en-US" w:eastAsia="zh-CN"/>
        </w:rPr>
        <w:t xml:space="preserve"> </w:t>
      </w:r>
      <w:r>
        <w:rPr>
          <w:rFonts w:hint="eastAsia" w:eastAsiaTheme="minorEastAsia"/>
          <w:lang w:val="en-US" w:eastAsia="zh-CN"/>
        </w:rPr>
        <w:t xml:space="preserve">RRM </w:t>
      </w:r>
      <w:r>
        <w:rPr>
          <w:rFonts w:eastAsiaTheme="minorEastAsia"/>
          <w:lang w:val="en-US" w:eastAsia="zh-CN"/>
        </w:rPr>
        <w:t xml:space="preserve">enhancement on </w:t>
      </w:r>
      <w:r>
        <w:rPr>
          <w:rFonts w:hint="eastAsia" w:eastAsiaTheme="minorEastAsia"/>
          <w:lang w:val="en-US" w:eastAsia="zh-CN"/>
        </w:rPr>
        <w:t>fast</w:t>
      </w:r>
      <w:r>
        <w:rPr>
          <w:rFonts w:eastAsiaTheme="minorEastAsia"/>
          <w:lang w:val="en-US" w:eastAsia="zh-CN"/>
        </w:rPr>
        <w:t xml:space="preserve"> SCell activation for UE supporting </w:t>
      </w:r>
      <w:r>
        <w:rPr>
          <w:rFonts w:ascii="Times New Roman" w:hAnsi="Times New Roman" w:eastAsia="等线" w:cs="Times New Roman"/>
          <w:kern w:val="0"/>
          <w:sz w:val="20"/>
          <w:szCs w:val="20"/>
          <w:highlight w:val="none"/>
          <w:lang w:val="en-GB" w:eastAsia="zh-CN"/>
        </w:rPr>
        <w:t>Rel-18</w:t>
      </w:r>
      <w:r>
        <w:rPr>
          <w:rFonts w:hint="eastAsia" w:eastAsia="等线" w:cs="Times New Roman"/>
          <w:kern w:val="0"/>
          <w:sz w:val="20"/>
          <w:szCs w:val="20"/>
          <w:highlight w:val="none"/>
          <w:lang w:val="en-US" w:eastAsia="zh-CN"/>
        </w:rPr>
        <w:t xml:space="preserve"> </w:t>
      </w:r>
      <w:r>
        <w:rPr>
          <w:rFonts w:eastAsiaTheme="minorEastAsia"/>
          <w:lang w:val="en-US" w:eastAsia="zh-CN"/>
        </w:rPr>
        <w:t>EMR was completed in previous meetings. In last RAN4 meeting, UE capability were discussed with agreements captured in [1]. In this contribution, we further provide our views on the UE capabilit</w:t>
      </w:r>
      <w:r>
        <w:rPr>
          <w:rFonts w:hint="eastAsia" w:eastAsiaTheme="minorEastAsia"/>
          <w:lang w:val="en-US" w:eastAsia="zh-CN"/>
        </w:rPr>
        <w:t>y.</w:t>
      </w:r>
      <w:r>
        <w:rPr>
          <w:rFonts w:eastAsiaTheme="minorEastAsia"/>
          <w:lang w:val="en-US" w:eastAsia="zh-CN"/>
        </w:rPr>
        <w:t xml:space="preserve"> </w:t>
      </w:r>
      <w:bookmarkEnd w:id="2"/>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3" w:name="OLE_LINK13"/>
      <w:bookmarkStart w:id="4" w:name="OLE_LINK10"/>
      <w:bookmarkStart w:id="5" w:name="OLE_LINK20"/>
      <w:bookmarkStart w:id="6" w:name="OLE_LINK14"/>
      <w:r>
        <w:rPr>
          <w:rFonts w:hint="eastAsia" w:eastAsia="Times New Roman"/>
          <w:color w:val="auto"/>
        </w:rPr>
        <w:t xml:space="preserve"> </w:t>
      </w:r>
    </w:p>
    <w:p>
      <w:pPr>
        <w:spacing w:after="157" w:afterLines="50"/>
        <w:rPr>
          <w:rFonts w:hint="eastAsia" w:eastAsia="等线"/>
          <w:szCs w:val="21"/>
          <w:lang w:val="en-US" w:eastAsia="zh-CN"/>
        </w:rPr>
      </w:pPr>
      <w:r>
        <w:rPr>
          <w:rFonts w:hint="eastAsia"/>
          <w:color w:val="auto"/>
          <w:lang w:val="en-US" w:eastAsia="zh-CN"/>
        </w:rPr>
        <w:t>According the work item, valid early measurement report would be considered in the existing known/unknown SCell condition during SCell configuration/activation in Release 19, which could reduce delay requirement for the target SCell activation.</w:t>
      </w:r>
      <w:r>
        <w:rPr>
          <w:rFonts w:hint="eastAsia" w:eastAsia="宋体" w:cs="Times New Roman"/>
          <w:sz w:val="21"/>
          <w:szCs w:val="21"/>
          <w:highlight w:val="none"/>
          <w:lang w:val="en-US" w:eastAsia="zh-CN"/>
        </w:rPr>
        <w:t xml:space="preserve"> </w:t>
      </w:r>
      <w:r>
        <w:rPr>
          <w:rFonts w:hint="eastAsia" w:cs="Times New Roman"/>
          <w:sz w:val="21"/>
          <w:szCs w:val="21"/>
          <w:highlight w:val="none"/>
          <w:lang w:val="en-US" w:eastAsia="zh-CN"/>
        </w:rPr>
        <w:t>It</w:t>
      </w:r>
      <w:r>
        <w:rPr>
          <w:rFonts w:hint="default" w:cs="Times New Roman"/>
          <w:sz w:val="21"/>
          <w:szCs w:val="21"/>
          <w:highlight w:val="none"/>
          <w:lang w:val="en-US" w:eastAsia="zh-CN"/>
        </w:rPr>
        <w:t>’</w:t>
      </w:r>
      <w:r>
        <w:rPr>
          <w:rFonts w:hint="eastAsia" w:cs="Times New Roman"/>
          <w:sz w:val="21"/>
          <w:szCs w:val="21"/>
          <w:highlight w:val="none"/>
          <w:lang w:val="en-US" w:eastAsia="zh-CN"/>
        </w:rPr>
        <w:t>s a common understanding that is</w:t>
      </w:r>
      <w:r>
        <w:rPr>
          <w:rFonts w:hint="eastAsia" w:eastAsia="宋体" w:cs="Times New Roman"/>
          <w:sz w:val="21"/>
          <w:szCs w:val="21"/>
          <w:highlight w:val="none"/>
          <w:lang w:val="en-US" w:eastAsia="zh-CN"/>
        </w:rPr>
        <w:t xml:space="preserve"> feasible and beneficial to consider </w:t>
      </w:r>
      <w:r>
        <w:rPr>
          <w:rFonts w:hint="eastAsia" w:eastAsia="宋体"/>
          <w:szCs w:val="21"/>
          <w:lang w:val="en-US" w:eastAsia="zh-CN"/>
        </w:rPr>
        <w:t>f</w:t>
      </w:r>
      <w:r>
        <w:rPr>
          <w:szCs w:val="21"/>
          <w:lang w:eastAsia="zh-TW"/>
        </w:rPr>
        <w:t xml:space="preserve">ast SCell activation </w:t>
      </w:r>
      <w:r>
        <w:rPr>
          <w:rFonts w:eastAsia="等线"/>
          <w:szCs w:val="21"/>
          <w:lang w:eastAsia="zh-CN"/>
        </w:rPr>
        <w:t>for UE supporting Rel-18 EMR</w:t>
      </w:r>
      <w:r>
        <w:rPr>
          <w:rFonts w:hint="eastAsia" w:eastAsia="等线"/>
          <w:szCs w:val="21"/>
          <w:lang w:val="en-US" w:eastAsia="zh-CN"/>
        </w:rPr>
        <w:t>.</w:t>
      </w:r>
    </w:p>
    <w:p>
      <w:pPr>
        <w:spacing w:after="157" w:afterLines="50"/>
        <w:rPr>
          <w:rFonts w:hint="eastAsia" w:eastAsia="等线"/>
          <w:szCs w:val="21"/>
          <w:lang w:val="en-US" w:eastAsia="zh-CN"/>
        </w:rPr>
      </w:pPr>
      <w:r>
        <w:rPr>
          <w:rFonts w:hint="eastAsia" w:eastAsia="等线"/>
          <w:szCs w:val="21"/>
          <w:lang w:val="en-US" w:eastAsia="zh-CN"/>
        </w:rPr>
        <w:t xml:space="preserve">In previous meetings, we have discussed and reached consensus on how to use R18 EMR on </w:t>
      </w:r>
      <w:r>
        <w:rPr>
          <w:rFonts w:hint="eastAsia"/>
          <w:color w:val="auto"/>
          <w:lang w:val="en-US" w:eastAsia="zh-CN"/>
        </w:rPr>
        <w:t>SCell configuration/activation in Release 19 to reduce delay requirement for the target SCell activation.</w:t>
      </w:r>
      <w:r>
        <w:rPr>
          <w:rFonts w:hint="eastAsia" w:eastAsia="等线"/>
          <w:szCs w:val="21"/>
          <w:lang w:val="en-US" w:eastAsia="zh-CN"/>
        </w:rPr>
        <w:t xml:space="preserve">  And defined the new requirements in the RRM specification. In the last meeting, there is a remaining issue on UE capability should be further discussed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8" w:type="dxa"/>
          </w:tcPr>
          <w:p>
            <w:pPr>
              <w:pStyle w:val="6"/>
              <w:bidi w:val="0"/>
              <w:ind w:left="0" w:firstLine="0"/>
              <w:rPr>
                <w:lang w:val="en-US" w:eastAsia="ko-KR"/>
              </w:rPr>
            </w:pPr>
            <w:r>
              <w:rPr>
                <w:lang w:val="en-US" w:eastAsia="ko-KR"/>
              </w:rPr>
              <w:t>Issue 2-1-1: UE capability for EMR-based fast SCell activation</w:t>
            </w:r>
          </w:p>
          <w:p>
            <w:pPr>
              <w:snapToGrid w:val="0"/>
              <w:spacing w:after="120"/>
              <w:rPr>
                <w:rFonts w:eastAsia="宋体"/>
                <w:sz w:val="21"/>
                <w:szCs w:val="21"/>
                <w:highlight w:val="yellow"/>
              </w:rPr>
            </w:pPr>
            <w:r>
              <w:rPr>
                <w:rFonts w:eastAsia="宋体"/>
                <w:sz w:val="21"/>
                <w:szCs w:val="21"/>
                <w:highlight w:val="yellow"/>
              </w:rPr>
              <w:t>FFS:</w:t>
            </w:r>
          </w:p>
          <w:p>
            <w:pPr>
              <w:pStyle w:val="34"/>
              <w:numPr>
                <w:ilvl w:val="0"/>
                <w:numId w:val="4"/>
              </w:numPr>
              <w:overflowPunct/>
              <w:autoSpaceDE/>
              <w:autoSpaceDN/>
              <w:adjustRightInd/>
              <w:snapToGrid w:val="0"/>
              <w:spacing w:after="120"/>
              <w:ind w:left="360" w:firstLineChars="0"/>
              <w:textAlignment w:val="auto"/>
              <w:rPr>
                <w:rFonts w:eastAsia="宋体"/>
                <w:sz w:val="21"/>
                <w:szCs w:val="21"/>
              </w:rPr>
            </w:pPr>
            <w:r>
              <w:rPr>
                <w:rFonts w:eastAsia="宋体"/>
                <w:sz w:val="21"/>
                <w:szCs w:val="21"/>
              </w:rPr>
              <w:t xml:space="preserve">Option 1: Introduce a UE capability for R19 SCell activation based on EMR </w:t>
            </w:r>
          </w:p>
          <w:p>
            <w:pPr>
              <w:pStyle w:val="34"/>
              <w:numPr>
                <w:ilvl w:val="1"/>
                <w:numId w:val="4"/>
              </w:numPr>
              <w:overflowPunct/>
              <w:autoSpaceDE/>
              <w:autoSpaceDN/>
              <w:adjustRightInd/>
              <w:snapToGrid w:val="0"/>
              <w:spacing w:after="120"/>
              <w:ind w:left="1080" w:firstLineChars="0"/>
              <w:textAlignment w:val="auto"/>
              <w:rPr>
                <w:rFonts w:eastAsia="宋体"/>
                <w:sz w:val="21"/>
                <w:szCs w:val="21"/>
              </w:rPr>
            </w:pPr>
            <w:r>
              <w:rPr>
                <w:bCs/>
                <w:iCs/>
                <w:sz w:val="21"/>
                <w:szCs w:val="21"/>
              </w:rPr>
              <w:t>Prerequisite feature groups</w:t>
            </w:r>
            <w:r>
              <w:rPr>
                <w:rFonts w:eastAsia="Yu Mincho"/>
                <w:bCs/>
                <w:iCs/>
                <w:sz w:val="21"/>
                <w:szCs w:val="21"/>
              </w:rPr>
              <w:t>:</w:t>
            </w:r>
            <w:r>
              <w:rPr>
                <w:bCs/>
                <w:iCs/>
                <w:sz w:val="21"/>
                <w:szCs w:val="21"/>
              </w:rPr>
              <w:t xml:space="preserve"> </w:t>
            </w:r>
            <w:r>
              <w:rPr>
                <w:rFonts w:eastAsia="Yu Mincho"/>
                <w:bCs/>
                <w:iCs/>
                <w:sz w:val="21"/>
                <w:szCs w:val="21"/>
              </w:rPr>
              <w:t>39-8 or 39-9 in R18 RAN4 feature list</w:t>
            </w:r>
          </w:p>
          <w:p>
            <w:pPr>
              <w:pStyle w:val="34"/>
              <w:numPr>
                <w:ilvl w:val="1"/>
                <w:numId w:val="4"/>
              </w:numPr>
              <w:overflowPunct/>
              <w:autoSpaceDE/>
              <w:autoSpaceDN/>
              <w:adjustRightInd/>
              <w:snapToGrid w:val="0"/>
              <w:spacing w:after="120"/>
              <w:ind w:left="1080" w:firstLineChars="0"/>
              <w:textAlignment w:val="auto"/>
              <w:rPr>
                <w:rFonts w:eastAsia="宋体"/>
                <w:sz w:val="21"/>
                <w:szCs w:val="21"/>
              </w:rPr>
            </w:pPr>
            <w:r>
              <w:rPr>
                <w:rFonts w:eastAsia="宋体"/>
                <w:sz w:val="21"/>
                <w:szCs w:val="21"/>
              </w:rPr>
              <w:t>Need for the gNB to know if the feature is supported: No</w:t>
            </w:r>
          </w:p>
          <w:p>
            <w:pPr>
              <w:pStyle w:val="34"/>
              <w:numPr>
                <w:ilvl w:val="1"/>
                <w:numId w:val="4"/>
              </w:numPr>
              <w:overflowPunct/>
              <w:autoSpaceDE/>
              <w:autoSpaceDN/>
              <w:adjustRightInd/>
              <w:snapToGrid w:val="0"/>
              <w:spacing w:after="120"/>
              <w:ind w:left="1080" w:firstLineChars="0"/>
              <w:textAlignment w:val="auto"/>
              <w:rPr>
                <w:rFonts w:eastAsia="宋体"/>
                <w:sz w:val="21"/>
                <w:szCs w:val="21"/>
              </w:rPr>
            </w:pPr>
            <w:r>
              <w:rPr>
                <w:bCs/>
                <w:iCs/>
                <w:sz w:val="21"/>
                <w:szCs w:val="21"/>
              </w:rPr>
              <w:t>Granularity: Per</w:t>
            </w:r>
            <w:r>
              <w:rPr>
                <w:rFonts w:eastAsia="宋体"/>
                <w:sz w:val="21"/>
                <w:szCs w:val="21"/>
              </w:rPr>
              <w:t>-UE</w:t>
            </w:r>
          </w:p>
          <w:p>
            <w:pPr>
              <w:pStyle w:val="34"/>
              <w:numPr>
                <w:ilvl w:val="1"/>
                <w:numId w:val="4"/>
              </w:numPr>
              <w:overflowPunct/>
              <w:autoSpaceDE/>
              <w:autoSpaceDN/>
              <w:adjustRightInd/>
              <w:snapToGrid w:val="0"/>
              <w:spacing w:after="120"/>
              <w:ind w:left="1080" w:firstLineChars="0"/>
              <w:textAlignment w:val="auto"/>
              <w:rPr>
                <w:rFonts w:eastAsia="宋体"/>
                <w:sz w:val="21"/>
                <w:szCs w:val="21"/>
              </w:rPr>
            </w:pPr>
            <w:r>
              <w:rPr>
                <w:rFonts w:eastAsia="宋体"/>
                <w:sz w:val="21"/>
                <w:szCs w:val="21"/>
              </w:rPr>
              <w:t>FDD/TDD differentiation: No</w:t>
            </w:r>
          </w:p>
          <w:p>
            <w:pPr>
              <w:pStyle w:val="34"/>
              <w:numPr>
                <w:ilvl w:val="1"/>
                <w:numId w:val="4"/>
              </w:numPr>
              <w:overflowPunct/>
              <w:autoSpaceDE/>
              <w:autoSpaceDN/>
              <w:adjustRightInd/>
              <w:snapToGrid w:val="0"/>
              <w:spacing w:after="120"/>
              <w:ind w:left="1080" w:firstLineChars="0"/>
              <w:textAlignment w:val="auto"/>
              <w:rPr>
                <w:rFonts w:eastAsia="宋体"/>
                <w:sz w:val="21"/>
                <w:szCs w:val="21"/>
              </w:rPr>
            </w:pPr>
            <w:r>
              <w:rPr>
                <w:rFonts w:eastAsia="宋体"/>
                <w:sz w:val="21"/>
                <w:szCs w:val="21"/>
              </w:rPr>
              <w:t>FR1/FR2 differentiation: Yes</w:t>
            </w:r>
          </w:p>
          <w:p>
            <w:pPr>
              <w:pStyle w:val="34"/>
              <w:numPr>
                <w:ilvl w:val="0"/>
                <w:numId w:val="4"/>
              </w:numPr>
              <w:overflowPunct/>
              <w:autoSpaceDE/>
              <w:autoSpaceDN/>
              <w:adjustRightInd/>
              <w:snapToGrid w:val="0"/>
              <w:spacing w:after="120"/>
              <w:ind w:left="360" w:firstLineChars="0"/>
              <w:textAlignment w:val="auto"/>
              <w:rPr>
                <w:rFonts w:eastAsia="宋体"/>
                <w:sz w:val="21"/>
                <w:szCs w:val="21"/>
              </w:rPr>
            </w:pPr>
            <w:r>
              <w:rPr>
                <w:rFonts w:eastAsia="宋体"/>
                <w:sz w:val="21"/>
                <w:szCs w:val="21"/>
              </w:rPr>
              <w:t xml:space="preserve">Option 2: Not to introduce additional UE capability </w:t>
            </w:r>
          </w:p>
          <w:p>
            <w:pPr>
              <w:pStyle w:val="34"/>
              <w:numPr>
                <w:ilvl w:val="-1"/>
                <w:numId w:val="0"/>
              </w:numPr>
              <w:overflowPunct/>
              <w:autoSpaceDE/>
              <w:autoSpaceDN/>
              <w:adjustRightInd/>
              <w:snapToGrid w:val="0"/>
              <w:spacing w:after="120"/>
              <w:ind w:left="0" w:firstLine="0" w:firstLineChars="0"/>
              <w:textAlignment w:val="auto"/>
              <w:rPr>
                <w:rFonts w:eastAsia="宋体"/>
                <w:sz w:val="21"/>
                <w:szCs w:val="21"/>
              </w:rPr>
            </w:pPr>
          </w:p>
          <w:p>
            <w:pPr>
              <w:pStyle w:val="4"/>
              <w:rPr>
                <w:sz w:val="21"/>
                <w:u w:val="single"/>
                <w:lang w:val="en-US" w:eastAsia="ko-KR"/>
              </w:rPr>
            </w:pPr>
            <w:r>
              <w:rPr>
                <w:sz w:val="21"/>
                <w:u w:val="single"/>
                <w:lang w:val="en-US" w:eastAsia="ko-KR"/>
              </w:rPr>
              <w:t>Issue 2-1-1: UE capability for EMR-based fast SCell activation</w:t>
            </w:r>
          </w:p>
          <w:p>
            <w:pPr>
              <w:rPr>
                <w:rFonts w:hint="eastAsia" w:eastAsiaTheme="minorEastAsia"/>
              </w:rPr>
            </w:pPr>
          </w:p>
          <w:p>
            <w:pPr>
              <w:snapToGrid w:val="0"/>
              <w:spacing w:after="120"/>
              <w:rPr>
                <w:highlight w:val="green"/>
              </w:rPr>
            </w:pPr>
            <w:r>
              <w:rPr>
                <w:rFonts w:hint="eastAsia"/>
                <w:highlight w:val="green"/>
              </w:rPr>
              <w:t>A</w:t>
            </w:r>
            <w:r>
              <w:rPr>
                <w:highlight w:val="green"/>
              </w:rPr>
              <w:t>greement</w:t>
            </w:r>
            <w:r>
              <w:rPr>
                <w:rFonts w:hint="eastAsia" w:eastAsiaTheme="minorEastAsia"/>
                <w:highlight w:val="green"/>
              </w:rPr>
              <w:t xml:space="preserve"> in Friday online</w:t>
            </w:r>
            <w:r>
              <w:rPr>
                <w:highlight w:val="green"/>
              </w:rPr>
              <w:t>:</w:t>
            </w:r>
          </w:p>
          <w:p>
            <w:pPr>
              <w:pStyle w:val="34"/>
              <w:widowControl w:val="0"/>
              <w:numPr>
                <w:ilvl w:val="0"/>
                <w:numId w:val="5"/>
              </w:numPr>
              <w:overflowPunct/>
              <w:autoSpaceDE/>
              <w:autoSpaceDN/>
              <w:adjustRightInd/>
              <w:spacing w:after="120" w:afterLines="50"/>
              <w:ind w:left="441" w:hanging="441" w:hangingChars="210"/>
              <w:jc w:val="both"/>
              <w:textAlignment w:val="auto"/>
              <w:rPr>
                <w:rFonts w:eastAsia="宋体"/>
                <w:sz w:val="21"/>
                <w:szCs w:val="21"/>
              </w:rPr>
            </w:pPr>
            <w:r>
              <w:rPr>
                <w:rFonts w:eastAsia="宋体"/>
                <w:sz w:val="21"/>
                <w:szCs w:val="21"/>
              </w:rPr>
              <w:t>Introduce one single UE capability for R19 SCell activation based on EMR, further discuss the detail</w:t>
            </w:r>
            <w:r>
              <w:rPr>
                <w:rFonts w:hint="eastAsia" w:eastAsia="宋体"/>
                <w:sz w:val="21"/>
                <w:szCs w:val="21"/>
              </w:rPr>
              <w:t xml:space="preserve">. </w:t>
            </w:r>
          </w:p>
          <w:p>
            <w:pPr>
              <w:pStyle w:val="4"/>
              <w:spacing w:before="0" w:beforeLines="0" w:after="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default" w:eastAsia="宋体"/>
          <w:szCs w:val="21"/>
          <w:lang w:val="en-US" w:eastAsia="zh-CN"/>
        </w:rPr>
      </w:pPr>
      <w:r>
        <w:rPr>
          <w:rFonts w:hint="eastAsia" w:eastAsia="宋体"/>
          <w:szCs w:val="24"/>
          <w:lang w:val="en-US" w:eastAsia="zh-CN"/>
        </w:rPr>
        <w:t xml:space="preserve">In R18 </w:t>
      </w:r>
      <w:r>
        <w:rPr>
          <w:rFonts w:hint="eastAsia"/>
          <w:szCs w:val="24"/>
          <w:lang w:val="en-US" w:eastAsia="zh-CN"/>
        </w:rPr>
        <w:t>e</w:t>
      </w:r>
      <w:r>
        <w:rPr>
          <w:rFonts w:hint="eastAsia" w:eastAsia="宋体"/>
          <w:szCs w:val="24"/>
          <w:lang w:val="en-US" w:eastAsia="zh-CN"/>
        </w:rPr>
        <w:t>EMR, we discussed</w:t>
      </w:r>
      <w:r>
        <w:rPr>
          <w:rFonts w:hint="eastAsia"/>
          <w:szCs w:val="24"/>
          <w:lang w:val="en-US" w:eastAsia="zh-CN"/>
        </w:rPr>
        <w:t xml:space="preserve"> </w:t>
      </w:r>
      <w:r>
        <w:rPr>
          <w:rFonts w:ascii="Times New Roman" w:hAnsi="Times New Roman" w:eastAsia="PMingLiU" w:cs="Times New Roman"/>
          <w:sz w:val="21"/>
          <w:szCs w:val="21"/>
          <w:highlight w:val="none"/>
          <w:lang w:val="en-GB" w:eastAsia="en-GB"/>
        </w:rPr>
        <w:t>how to reuse the IDLE/INACTIVE mode measurement results which to be reported during RRC connection setup/resume in order to improve SCell/SCG setup delay</w:t>
      </w:r>
      <w:r>
        <w:rPr>
          <w:rFonts w:hint="eastAsia" w:eastAsia="宋体" w:cs="Times New Roman"/>
          <w:sz w:val="21"/>
          <w:szCs w:val="21"/>
          <w:highlight w:val="none"/>
          <w:lang w:val="en-US" w:eastAsia="zh-CN"/>
        </w:rPr>
        <w:t>.</w:t>
      </w:r>
      <w:r>
        <w:rPr>
          <w:rFonts w:hint="eastAsia" w:eastAsia="宋体"/>
          <w:szCs w:val="21"/>
          <w:lang w:val="en-US" w:eastAsia="zh-CN"/>
        </w:rPr>
        <w:t xml:space="preserve"> </w:t>
      </w:r>
      <w:r>
        <w:rPr>
          <w:rFonts w:hint="eastAsia"/>
          <w:szCs w:val="21"/>
          <w:lang w:val="en-US" w:eastAsia="zh-CN"/>
        </w:rPr>
        <w:t xml:space="preserve">As the result, EMR and cell reselection measurement are considered, and two UE capabilities </w:t>
      </w:r>
      <w:r>
        <w:rPr>
          <w:rFonts w:hint="eastAsia"/>
          <w:i/>
          <w:iCs/>
          <w:szCs w:val="21"/>
          <w:lang w:val="en-US" w:eastAsia="zh-CN"/>
        </w:rPr>
        <w:t>measValidationReportEMR-r18</w:t>
      </w:r>
      <w:r>
        <w:rPr>
          <w:rFonts w:hint="eastAsia"/>
          <w:szCs w:val="21"/>
          <w:lang w:val="en-US" w:eastAsia="zh-CN"/>
        </w:rPr>
        <w:t xml:space="preserve"> and </w:t>
      </w:r>
      <w:r>
        <w:rPr>
          <w:rFonts w:hint="eastAsia"/>
          <w:i/>
          <w:iCs/>
          <w:szCs w:val="21"/>
          <w:lang w:val="en-US" w:eastAsia="zh-CN"/>
        </w:rPr>
        <w:t>measValidationReportReselectionMeasurements-r18</w:t>
      </w:r>
      <w:r>
        <w:rPr>
          <w:rFonts w:hint="eastAsia"/>
          <w:szCs w:val="21"/>
          <w:lang w:val="en-US" w:eastAsia="zh-CN"/>
        </w:rPr>
        <w:t xml:space="preserve"> are introduced. Besides, R16 EMR is supported by </w:t>
      </w:r>
      <w:r>
        <w:rPr>
          <w:rFonts w:hint="eastAsia" w:ascii="Times New Roman" w:hAnsi="Times New Roman"/>
          <w:sz w:val="21"/>
          <w:szCs w:val="21"/>
          <w:lang w:val="en-US" w:eastAsia="zh-CN"/>
        </w:rPr>
        <w:t>UE capability</w:t>
      </w:r>
      <w:r>
        <w:rPr>
          <w:rFonts w:hint="default" w:ascii="Times New Roman" w:hAnsi="Times New Roman" w:cs="Times New Roman"/>
          <w:sz w:val="21"/>
          <w:szCs w:val="21"/>
          <w:lang w:val="en-US" w:eastAsia="zh-CN"/>
        </w:rPr>
        <w:t xml:space="preserve"> </w:t>
      </w:r>
      <w:r>
        <w:rPr>
          <w:rFonts w:hint="default" w:ascii="Times New Roman" w:hAnsi="Times New Roman" w:cs="Times New Roman"/>
          <w:bCs/>
          <w:i/>
          <w:sz w:val="21"/>
          <w:szCs w:val="21"/>
        </w:rPr>
        <w:t>idleInactiveNR-MeasReport-r16</w:t>
      </w:r>
      <w:r>
        <w:rPr>
          <w:rFonts w:hint="default" w:ascii="Times New Roman" w:hAnsi="Times New Roman" w:cs="Times New Roman"/>
          <w:bCs/>
          <w:iCs/>
          <w:sz w:val="21"/>
          <w:szCs w:val="21"/>
        </w:rPr>
        <w:t xml:space="preserve"> or </w:t>
      </w:r>
      <w:r>
        <w:rPr>
          <w:rFonts w:hint="default" w:ascii="Times New Roman" w:hAnsi="Times New Roman" w:cs="Times New Roman"/>
          <w:bCs/>
          <w:i/>
          <w:sz w:val="21"/>
          <w:szCs w:val="21"/>
        </w:rPr>
        <w:t>idleInactiveEUTRA-MeasReport-r16</w:t>
      </w:r>
      <w:r>
        <w:rPr>
          <w:rFonts w:hint="eastAsia" w:cs="Times New Roman"/>
          <w:bCs/>
          <w:i/>
          <w:sz w:val="21"/>
          <w:szCs w:val="21"/>
          <w:lang w:val="en-US" w:eastAsia="zh-CN"/>
        </w:rPr>
        <w:t>.</w:t>
      </w:r>
    </w:p>
    <w:p>
      <w:pPr>
        <w:tabs>
          <w:tab w:val="left" w:pos="1134"/>
        </w:tabs>
        <w:spacing w:after="180" w:line="240" w:lineRule="exact"/>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According to the discussion about applicability, fast SCell activation delay requirements apply to following cases:</w:t>
      </w:r>
    </w:p>
    <w:p>
      <w:pPr>
        <w:pStyle w:val="97"/>
      </w:pPr>
      <w:r>
        <w:t>-</w:t>
      </w:r>
      <w:r>
        <w:tab/>
      </w:r>
      <w:r>
        <w:t xml:space="preserve">UE supports </w:t>
      </w:r>
      <w:r>
        <w:rPr>
          <w:i/>
          <w:iCs/>
        </w:rPr>
        <w:t>measValidationReportEMR</w:t>
      </w:r>
      <w:r>
        <w:t xml:space="preserve"> and </w:t>
      </w:r>
      <w:r>
        <w:rPr>
          <w:i/>
          <w:iCs/>
        </w:rPr>
        <w:t>measIdleValidityDuration</w:t>
      </w:r>
      <w:r>
        <w:t>-</w:t>
      </w:r>
      <w:r>
        <w:rPr>
          <w:i/>
          <w:iCs/>
        </w:rPr>
        <w:t>r18</w:t>
      </w:r>
      <w:r>
        <w:t xml:space="preserve"> is configured or,  </w:t>
      </w:r>
    </w:p>
    <w:p>
      <w:pPr>
        <w:pStyle w:val="97"/>
      </w:pPr>
      <w:r>
        <w:t>-</w:t>
      </w:r>
      <w:r>
        <w:tab/>
      </w:r>
      <w:r>
        <w:t xml:space="preserve">UE supports </w:t>
      </w:r>
      <w:r>
        <w:rPr>
          <w:i/>
          <w:iCs/>
        </w:rPr>
        <w:t>measValidationReportReselectionMeasurements</w:t>
      </w:r>
      <w:r>
        <w:t xml:space="preserve"> and </w:t>
      </w:r>
      <w:r>
        <w:rPr>
          <w:i/>
          <w:iCs/>
        </w:rPr>
        <w:t>measReselectionValidityDuration</w:t>
      </w:r>
      <w:r>
        <w:t>-</w:t>
      </w:r>
      <w:r>
        <w:rPr>
          <w:i/>
          <w:iCs/>
        </w:rPr>
        <w:t>r18</w:t>
      </w:r>
      <w:r>
        <w:t xml:space="preserve"> is configured or, </w:t>
      </w:r>
    </w:p>
    <w:p>
      <w:pPr>
        <w:spacing w:after="157" w:afterLines="50"/>
      </w:pPr>
      <w:r>
        <w:t>-</w:t>
      </w:r>
      <w:r>
        <w:tab/>
      </w:r>
      <w:r>
        <w:t>UE supports idleInactiveNR-</w:t>
      </w:r>
      <w:r>
        <w:rPr>
          <w:i/>
          <w:iCs/>
        </w:rPr>
        <w:t>MeasReport</w:t>
      </w:r>
      <w:r>
        <w:t>-</w:t>
      </w:r>
      <w:r>
        <w:rPr>
          <w:i/>
          <w:iCs/>
        </w:rPr>
        <w:t>r16</w:t>
      </w:r>
      <w:r>
        <w:t xml:space="preserve">, and neither </w:t>
      </w:r>
      <w:r>
        <w:rPr>
          <w:i/>
          <w:iCs/>
        </w:rPr>
        <w:t>measIdleValidityDuration</w:t>
      </w:r>
      <w:r>
        <w:t>-</w:t>
      </w:r>
      <w:r>
        <w:rPr>
          <w:i/>
          <w:iCs/>
        </w:rPr>
        <w:t>r18</w:t>
      </w:r>
      <w:r>
        <w:t xml:space="preserve"> nor </w:t>
      </w:r>
      <w:r>
        <w:rPr>
          <w:i/>
          <w:iCs/>
        </w:rPr>
        <w:t>measReselectionValidityDuration</w:t>
      </w:r>
      <w:r>
        <w:t xml:space="preserve">-r18 is configured and </w:t>
      </w:r>
      <w:r>
        <w:rPr>
          <w:i/>
          <w:iCs/>
        </w:rPr>
        <w:t>measIdleDuration</w:t>
      </w:r>
      <w:r>
        <w:t>-r16 hasn’t expired at the moment of initiation of RRC state transition to Connected mode</w:t>
      </w:r>
    </w:p>
    <w:p>
      <w:pPr>
        <w:numPr>
          <w:ilvl w:val="-1"/>
          <w:numId w:val="0"/>
        </w:numPr>
        <w:spacing w:after="157" w:afterLines="50"/>
        <w:ind w:left="0" w:firstLine="0"/>
        <w:jc w:val="left"/>
        <w:rPr>
          <w:rFonts w:hint="eastAsia" w:cs="Times New Roman"/>
          <w:kern w:val="2"/>
          <w:sz w:val="21"/>
          <w:szCs w:val="24"/>
          <w:lang w:val="en-US" w:eastAsia="zh-CN" w:bidi="ar-SA"/>
        </w:rPr>
      </w:pPr>
      <w:r>
        <w:rPr>
          <w:rFonts w:hint="eastAsia" w:cs="Times New Roman"/>
          <w:kern w:val="2"/>
          <w:sz w:val="21"/>
          <w:szCs w:val="24"/>
          <w:lang w:val="en-US" w:eastAsia="zh-CN" w:bidi="ar-SA"/>
        </w:rPr>
        <w:t xml:space="preserve">Comparing the UE capability introduced in Release 18 with the capabilities required by Release 19, we find that the existing UE features (including R16 and R18) can meet all the requirements defined in Release 19 for fast SCell activation for UE supporting Rel-18 EMR. In our understanding, there is no need to discuss UE capability for fast SCell activation with Rel-18 eEMR report because existing UE capabilities are enough. However, if the UE capability of R19 is not introduced, the UE may not be able to distinguish between the requirements of R18 and R19, and there may be situations where the R18 UE cannot complete the R19 requirements or the R19 UE only completes the R18 requirements. </w:t>
      </w:r>
    </w:p>
    <w:p>
      <w:pPr>
        <w:numPr>
          <w:ilvl w:val="-1"/>
          <w:numId w:val="0"/>
        </w:numPr>
        <w:spacing w:after="157" w:afterLines="50"/>
        <w:ind w:left="0" w:firstLine="0"/>
        <w:jc w:val="left"/>
        <w:rPr>
          <w:rFonts w:hint="default" w:ascii="Times New Roman" w:hAnsi="Times New Roman"/>
          <w:b w:val="0"/>
          <w:bCs w:val="0"/>
          <w:i w:val="0"/>
          <w:iCs w:val="0"/>
          <w:sz w:val="20"/>
          <w:szCs w:val="20"/>
          <w:lang w:val="en-US" w:eastAsia="zh-CN"/>
        </w:rPr>
      </w:pPr>
      <w:r>
        <w:rPr>
          <w:rFonts w:hint="eastAsia" w:cs="Times New Roman"/>
          <w:kern w:val="2"/>
          <w:sz w:val="21"/>
          <w:szCs w:val="24"/>
          <w:lang w:val="en-US" w:eastAsia="zh-CN" w:bidi="ar-SA"/>
        </w:rPr>
        <w:t xml:space="preserve">Based on this, UE capability can be introduced and it is only to indicate that the UE is an R18 or R19 UE to avoid mismatches. As we mentioned above, three configurations have been discussed in core requirements, and all of them should be considered as the pre-requisite of R19 UE capability, including </w:t>
      </w:r>
      <w:r>
        <w:rPr>
          <w:rFonts w:hint="eastAsia" w:cs="Times New Roman"/>
          <w:i/>
          <w:iCs/>
          <w:kern w:val="2"/>
          <w:sz w:val="21"/>
          <w:szCs w:val="24"/>
          <w:lang w:val="en-US" w:eastAsia="zh-CN" w:bidi="ar-SA"/>
        </w:rPr>
        <w:t>measValidationReportEMR, measValidationReportReselectionMeasurements</w:t>
      </w:r>
      <w:r>
        <w:rPr>
          <w:rFonts w:hint="eastAsia" w:cs="Times New Roman"/>
          <w:kern w:val="2"/>
          <w:sz w:val="21"/>
          <w:szCs w:val="24"/>
          <w:lang w:val="en-US" w:eastAsia="zh-CN" w:bidi="ar-SA"/>
        </w:rPr>
        <w:t xml:space="preserve"> and </w:t>
      </w:r>
      <w:r>
        <w:rPr>
          <w:rFonts w:hint="eastAsia" w:cs="Times New Roman"/>
          <w:i/>
          <w:iCs/>
          <w:kern w:val="2"/>
          <w:sz w:val="21"/>
          <w:szCs w:val="24"/>
          <w:lang w:val="en-US" w:eastAsia="zh-CN" w:bidi="ar-SA"/>
        </w:rPr>
        <w:t>idleInactiveNR-MeasReport-r16.</w:t>
      </w:r>
    </w:p>
    <w:p>
      <w:pPr>
        <w:tabs>
          <w:tab w:val="left" w:pos="1134"/>
        </w:tabs>
        <w:spacing w:after="180" w:afterLines="-2147483648" w:line="240" w:lineRule="exact"/>
        <w:rPr>
          <w:rFonts w:hint="default" w:ascii="Times New Roman" w:hAnsi="Times New Roman"/>
          <w:b/>
          <w:bCs/>
          <w:i w:val="0"/>
          <w:iCs w:val="0"/>
          <w:sz w:val="20"/>
          <w:szCs w:val="20"/>
          <w:lang w:val="en-US" w:eastAsia="zh-CN"/>
        </w:rPr>
      </w:pPr>
      <w:r>
        <w:rPr>
          <w:rFonts w:hint="eastAsia" w:ascii="Times New Roman" w:hAnsi="Times New Roman"/>
          <w:b/>
          <w:bCs/>
          <w:i w:val="0"/>
          <w:iCs w:val="0"/>
          <w:sz w:val="20"/>
          <w:szCs w:val="20"/>
          <w:lang w:val="en-US" w:eastAsia="zh-CN"/>
        </w:rPr>
        <w:t xml:space="preserve">Proposal 1: </w:t>
      </w:r>
      <w:r>
        <w:rPr>
          <w:rFonts w:hint="eastAsia"/>
          <w:b/>
          <w:bCs/>
          <w:i w:val="0"/>
          <w:iCs w:val="0"/>
          <w:sz w:val="20"/>
          <w:szCs w:val="20"/>
          <w:lang w:val="en-US" w:eastAsia="zh-CN"/>
        </w:rPr>
        <w:t>I</w:t>
      </w:r>
      <w:r>
        <w:rPr>
          <w:rFonts w:hint="eastAsia" w:ascii="Times New Roman" w:hAnsi="Times New Roman"/>
          <w:b/>
          <w:bCs/>
          <w:i w:val="0"/>
          <w:iCs w:val="0"/>
          <w:sz w:val="20"/>
          <w:szCs w:val="20"/>
          <w:lang w:val="en-US" w:eastAsia="zh-CN"/>
        </w:rPr>
        <w:t>ntroduce additional UE capability for fast SCell activation with Rel-18 eEMR report</w:t>
      </w:r>
      <w:r>
        <w:rPr>
          <w:rFonts w:hint="eastAsia"/>
          <w:b/>
          <w:bCs/>
          <w:i w:val="0"/>
          <w:iCs w:val="0"/>
          <w:sz w:val="20"/>
          <w:szCs w:val="20"/>
          <w:lang w:val="en-US" w:eastAsia="zh-CN"/>
        </w:rPr>
        <w:t xml:space="preserve">, </w:t>
      </w:r>
      <w:r>
        <w:rPr>
          <w:rFonts w:hint="eastAsia"/>
          <w:b/>
          <w:bCs/>
          <w:lang w:val="en-US" w:eastAsia="zh-CN"/>
        </w:rPr>
        <w:t>and</w:t>
      </w:r>
      <w:r>
        <w:rPr>
          <w:b/>
          <w:bCs/>
          <w:lang w:val="en-US"/>
        </w:rPr>
        <w:t xml:space="preserve"> existing capabilities from </w:t>
      </w:r>
      <w:r>
        <w:rPr>
          <w:rFonts w:hint="eastAsia"/>
          <w:b/>
          <w:bCs/>
          <w:lang w:val="en-US" w:eastAsia="zh-CN"/>
        </w:rPr>
        <w:t>R</w:t>
      </w:r>
      <w:r>
        <w:rPr>
          <w:b/>
          <w:bCs/>
          <w:lang w:val="en-US"/>
        </w:rPr>
        <w:t>el-1</w:t>
      </w:r>
      <w:r>
        <w:rPr>
          <w:rFonts w:hint="eastAsia"/>
          <w:b/>
          <w:bCs/>
          <w:lang w:val="en-US" w:eastAsia="zh-CN"/>
        </w:rPr>
        <w:t>6/R</w:t>
      </w:r>
      <w:r>
        <w:rPr>
          <w:b/>
          <w:bCs/>
          <w:lang w:val="en-US"/>
        </w:rPr>
        <w:t>el-18</w:t>
      </w:r>
      <w:r>
        <w:rPr>
          <w:rFonts w:hint="eastAsia"/>
          <w:b/>
          <w:bCs/>
          <w:lang w:val="en-US" w:eastAsia="zh-CN"/>
        </w:rPr>
        <w:t xml:space="preserve"> should be considered</w:t>
      </w:r>
      <w:r>
        <w:rPr>
          <w:b/>
          <w:bCs/>
          <w:lang w:val="en-US"/>
        </w:rPr>
        <w:t xml:space="preserve"> as pre-requisite. </w:t>
      </w:r>
    </w:p>
    <w:p>
      <w:pPr>
        <w:numPr>
          <w:ilvl w:val="-1"/>
          <w:numId w:val="0"/>
        </w:numPr>
        <w:tabs>
          <w:tab w:val="left" w:pos="1134"/>
        </w:tabs>
        <w:spacing w:after="180" w:afterLines="-2147483648" w:line="240" w:lineRule="exact"/>
        <w:ind w:left="0" w:firstLine="0"/>
        <w:jc w:val="left"/>
        <w:rPr>
          <w:rFonts w:hint="default" w:cs="Times New Roman"/>
          <w:kern w:val="2"/>
          <w:sz w:val="21"/>
          <w:szCs w:val="24"/>
          <w:lang w:val="en-US" w:eastAsia="zh-CN" w:bidi="ar-SA"/>
        </w:rPr>
      </w:pPr>
    </w:p>
    <w:bookmarkEnd w:id="3"/>
    <w:bookmarkEnd w:id="4"/>
    <w:bookmarkEnd w:id="5"/>
    <w:bookmarkEnd w:id="6"/>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f</w:t>
      </w:r>
      <w:r>
        <w:rPr>
          <w:rFonts w:hint="eastAsia"/>
          <w:color w:val="auto"/>
          <w:lang w:val="en-GB" w:eastAsia="zh-TW"/>
        </w:rPr>
        <w:t xml:space="preserve">ast SCell activation </w:t>
      </w:r>
      <w:r>
        <w:rPr>
          <w:rFonts w:hint="eastAsia"/>
          <w:color w:val="auto"/>
          <w:lang w:val="en-GB" w:eastAsia="zh-CN"/>
        </w:rPr>
        <w:t>for UE supporting Rel-18 EMR</w:t>
      </w:r>
      <w:r>
        <w:rPr>
          <w:rFonts w:hint="eastAsia"/>
          <w:color w:val="auto"/>
          <w:lang w:val="en-US" w:eastAsia="zh-CN"/>
        </w:rPr>
        <w:t>. And</w:t>
      </w:r>
      <w:r>
        <w:rPr>
          <w:color w:val="auto"/>
        </w:rPr>
        <w:t xml:space="preserve"> </w:t>
      </w:r>
      <w:r>
        <w:rPr>
          <w:rFonts w:hint="eastAsia"/>
          <w:color w:val="auto"/>
          <w:lang w:val="en-US" w:eastAsia="zh-CN"/>
        </w:rPr>
        <w:t>w</w:t>
      </w:r>
      <w:r>
        <w:rPr>
          <w:color w:val="auto"/>
        </w:rPr>
        <w:t>e have the following proposal:</w:t>
      </w:r>
    </w:p>
    <w:p>
      <w:pPr>
        <w:tabs>
          <w:tab w:val="left" w:pos="1134"/>
        </w:tabs>
        <w:spacing w:after="180" w:afterLines="-2147483648" w:line="240" w:lineRule="exact"/>
        <w:rPr>
          <w:rFonts w:hint="default" w:ascii="Times New Roman" w:hAnsi="Times New Roman"/>
          <w:b/>
          <w:bCs/>
          <w:i w:val="0"/>
          <w:iCs w:val="0"/>
          <w:sz w:val="20"/>
          <w:szCs w:val="20"/>
          <w:lang w:val="en-US" w:eastAsia="zh-CN"/>
        </w:rPr>
      </w:pPr>
      <w:r>
        <w:rPr>
          <w:rFonts w:hint="eastAsia" w:ascii="Times New Roman" w:hAnsi="Times New Roman"/>
          <w:b/>
          <w:bCs/>
          <w:i w:val="0"/>
          <w:iCs w:val="0"/>
          <w:sz w:val="20"/>
          <w:szCs w:val="20"/>
          <w:lang w:val="en-US" w:eastAsia="zh-CN"/>
        </w:rPr>
        <w:t xml:space="preserve">Proposal 1: </w:t>
      </w:r>
      <w:r>
        <w:rPr>
          <w:rFonts w:hint="eastAsia"/>
          <w:b/>
          <w:bCs/>
          <w:i w:val="0"/>
          <w:iCs w:val="0"/>
          <w:sz w:val="20"/>
          <w:szCs w:val="20"/>
          <w:lang w:val="en-US" w:eastAsia="zh-CN"/>
        </w:rPr>
        <w:t>I</w:t>
      </w:r>
      <w:r>
        <w:rPr>
          <w:rFonts w:hint="eastAsia" w:ascii="Times New Roman" w:hAnsi="Times New Roman"/>
          <w:b/>
          <w:bCs/>
          <w:i w:val="0"/>
          <w:iCs w:val="0"/>
          <w:sz w:val="20"/>
          <w:szCs w:val="20"/>
          <w:lang w:val="en-US" w:eastAsia="zh-CN"/>
        </w:rPr>
        <w:t>ntroduce additional UE capability for fast SCell activation with Rel-18 eEMR report</w:t>
      </w:r>
      <w:r>
        <w:rPr>
          <w:rFonts w:hint="eastAsia"/>
          <w:b/>
          <w:bCs/>
          <w:i w:val="0"/>
          <w:iCs w:val="0"/>
          <w:sz w:val="20"/>
          <w:szCs w:val="20"/>
          <w:lang w:val="en-US" w:eastAsia="zh-CN"/>
        </w:rPr>
        <w:t xml:space="preserve">, </w:t>
      </w:r>
      <w:r>
        <w:rPr>
          <w:rFonts w:hint="eastAsia"/>
          <w:b/>
          <w:bCs/>
          <w:lang w:val="en-US" w:eastAsia="zh-CN"/>
        </w:rPr>
        <w:t>and</w:t>
      </w:r>
      <w:r>
        <w:rPr>
          <w:b/>
          <w:bCs/>
          <w:lang w:val="en-US"/>
        </w:rPr>
        <w:t xml:space="preserve"> existing capabilities from </w:t>
      </w:r>
      <w:r>
        <w:rPr>
          <w:rFonts w:hint="eastAsia"/>
          <w:b/>
          <w:bCs/>
          <w:lang w:val="en-US" w:eastAsia="zh-CN"/>
        </w:rPr>
        <w:t>R</w:t>
      </w:r>
      <w:r>
        <w:rPr>
          <w:b/>
          <w:bCs/>
          <w:lang w:val="en-US"/>
        </w:rPr>
        <w:t>el-1</w:t>
      </w:r>
      <w:r>
        <w:rPr>
          <w:rFonts w:hint="eastAsia"/>
          <w:b/>
          <w:bCs/>
          <w:lang w:val="en-US" w:eastAsia="zh-CN"/>
        </w:rPr>
        <w:t>6/R</w:t>
      </w:r>
      <w:r>
        <w:rPr>
          <w:b/>
          <w:bCs/>
          <w:lang w:val="en-US"/>
        </w:rPr>
        <w:t>el-18</w:t>
      </w:r>
      <w:r>
        <w:rPr>
          <w:rFonts w:hint="eastAsia"/>
          <w:b/>
          <w:bCs/>
          <w:lang w:val="en-US" w:eastAsia="zh-CN"/>
        </w:rPr>
        <w:t xml:space="preserve"> should be considered</w:t>
      </w:r>
      <w:r>
        <w:rPr>
          <w:b/>
          <w:bCs/>
          <w:lang w:val="en-US"/>
        </w:rPr>
        <w:t xml:space="preserve"> as pre-requisite. </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6"/>
        </w:numPr>
        <w:spacing w:before="157" w:beforeLines="50"/>
        <w:ind w:leftChars="0"/>
        <w:rPr>
          <w:rFonts w:hint="eastAsia"/>
          <w:lang w:val="en-US" w:eastAsia="zh-CN"/>
        </w:rPr>
      </w:pPr>
      <w:r>
        <w:rPr>
          <w:rFonts w:hint="eastAsia"/>
          <w:lang w:val="en-US" w:eastAsia="zh-CN"/>
        </w:rPr>
        <w:t>R4-2512125, WF on RRM requirements for NR_RRM_Ph5_Part2, CATT</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576" w:hanging="360"/>
      </w:pPr>
      <w:rPr>
        <w:rFonts w:hint="default" w:ascii="Symbol" w:hAnsi="Symbol"/>
      </w:rPr>
    </w:lvl>
    <w:lvl w:ilvl="1" w:tentative="0">
      <w:start w:val="1"/>
      <w:numFmt w:val="bullet"/>
      <w:lvlText w:val="o"/>
      <w:lvlJc w:val="left"/>
      <w:pPr>
        <w:ind w:left="1296" w:hanging="360"/>
      </w:pPr>
      <w:rPr>
        <w:rFonts w:hint="default" w:ascii="Courier New" w:hAnsi="Courier New" w:cs="Courier New"/>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45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5EEA041F"/>
    <w:multiLevelType w:val="multilevel"/>
    <w:tmpl w:val="5EEA041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909F7"/>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2FE6962"/>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EF7C67"/>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72632"/>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57DFB"/>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0E57F5"/>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6C7C7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424DF"/>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8B2083"/>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095A"/>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EF15F2"/>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E45E75"/>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A0EE4"/>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00592"/>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24A73"/>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60A83"/>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75F36"/>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C6C08"/>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0B7773"/>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7F1C14"/>
    <w:rsid w:val="5A8F76C1"/>
    <w:rsid w:val="5A9A0A66"/>
    <w:rsid w:val="5AA541CF"/>
    <w:rsid w:val="5AAF48E4"/>
    <w:rsid w:val="5AB96041"/>
    <w:rsid w:val="5ABC4831"/>
    <w:rsid w:val="5ABC6BFA"/>
    <w:rsid w:val="5ABE26ED"/>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B7363"/>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920D3"/>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048FF"/>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B7D53"/>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CA5B51"/>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72579"/>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62E20"/>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01157"/>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9B3CC7"/>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44DCC"/>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YAN WU</cp:lastModifiedBy>
  <dcterms:modified xsi:type="dcterms:W3CDTF">2025-10-03T02:26:26Z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4C320B788462470A9D43A615D6A91D6A</vt:lpwstr>
  </property>
</Properties>
</file>