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5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39480"/>
      <w:bookmarkEnd w:id="1"/>
      <w:bookmarkStart w:id="2" w:name="_Hlt450066085"/>
      <w:bookmarkEnd w:id="2"/>
      <w:bookmarkStart w:id="3" w:name="_Hlt449016246"/>
      <w:bookmarkEnd w:id="3"/>
      <w:bookmarkStart w:id="4" w:name="_Hlt450051172"/>
      <w:bookmarkEnd w:id="4"/>
      <w:bookmarkStart w:id="5" w:name="_Hlt450066087"/>
      <w:bookmarkEnd w:id="5"/>
      <w:bookmarkStart w:id="6" w:name="OLE_LINK27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R4-250638</w:t>
      </w:r>
      <w:r>
        <w:rPr>
          <w:rFonts w:hint="eastAsia" w:eastAsia="宋体"/>
          <w:b/>
          <w:sz w:val="24"/>
          <w:lang w:val="en-US" w:eastAsia="zh-CN"/>
        </w:rPr>
        <w:t>2</w:t>
      </w:r>
      <w:bookmarkStart w:id="11" w:name="_GoBack"/>
      <w:bookmarkEnd w:id="11"/>
    </w:p>
    <w:p>
      <w:pPr>
        <w:pStyle w:val="75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Malta, May.19th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23th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>
      <w:pPr>
        <w:pStyle w:val="19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View on low-low band CA via switching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2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Style w:val="62"/>
          <w:rFonts w:hint="eastAsia"/>
          <w:b/>
          <w:highlight w:val="none"/>
        </w:rPr>
        <w:t>ZTE</w:t>
      </w:r>
      <w:r>
        <w:rPr>
          <w:rStyle w:val="62"/>
          <w:rFonts w:hint="eastAsia"/>
          <w:b/>
          <w:highlight w:val="none"/>
          <w:lang w:val="en-US" w:eastAsia="zh-CN"/>
        </w:rPr>
        <w:t xml:space="preserve"> Corporation, Sanechips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2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>Agenda item: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7.7.3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Style w:val="62"/>
          <w:b/>
          <w:highlight w:val="none"/>
          <w:lang w:val="pt-BR"/>
        </w:rPr>
      </w:pPr>
      <w:r>
        <w:rPr>
          <w:rFonts w:ascii="Arial" w:hAnsi="Arial"/>
          <w:b/>
          <w:sz w:val="24"/>
          <w:highlight w:val="none"/>
          <w:lang w:val="pt-BR"/>
        </w:rPr>
        <w:t>Document for: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</w:rPr>
        <w:t>Approval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eastAsia="宋体" w:cs="Times New Roman"/>
          <w:sz w:val="20"/>
          <w:szCs w:val="20"/>
          <w:lang w:val="en-US" w:eastAsia="zh-CN"/>
        </w:rPr>
        <w:t xml:space="preserve">In </w:t>
      </w:r>
      <w:r>
        <w:rPr>
          <w:rFonts w:hint="eastAsia" w:cs="Times New Roman"/>
          <w:sz w:val="20"/>
          <w:szCs w:val="20"/>
          <w:lang w:val="en-US" w:eastAsia="zh-CN"/>
        </w:rPr>
        <w:t>the approved WF [2], some agreements were included: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en-GB" w:eastAsia="en-US"/>
              </w:rPr>
            </w:pPr>
            <w:bookmarkStart w:id="7" w:name="_Hlk174440006"/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en-GB" w:eastAsia="en-US"/>
              </w:rPr>
              <w:t>Issue 1: Switching period capability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The switching period capability can be defined per band pair per band combination.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en-GB" w:eastAsia="en-US"/>
              </w:rPr>
              <w:t>Issue 2: Switching period location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US" w:eastAsia="zh-CN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US" w:eastAsia="zh-CN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US" w:eastAsia="zh-CN" w:bidi="ar-SA"/>
              </w:rPr>
              <w:t>Await outcome of RAN1 design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en-GB" w:eastAsia="en-US"/>
              </w:rPr>
              <w:t>Issue 3: Time mask for switching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Define the Tx on-off time mask requirements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FFS on how to define the Rx switching requirements to reflect where the switching period occurs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RAN4 has understanding that RAN1 will take switching period and timing advance into account for RAN1 scheduling pattern for low band CA via switching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en-GB" w:eastAsia="en-US"/>
              </w:rPr>
              <w:t>Issue 4: Considerations related to the Tx on-off time mask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Option 1: Specify transmit on/off time mask for FDD UL carrier/Pcell for switching between LB(FDD)-LB(SDL)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Option 2: Specify on-&gt;off time mask for switching from FDD to SDL carrier and specify off-&gt;on time mask for switching from SDL to FDD carrier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宋体" w:cs="Times New Roman"/>
                <w:lang w:val="en-GB" w:eastAsia="en-US" w:bidi="ar-SA"/>
              </w:rPr>
            </w:pP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en-US" w:bidi="ar-SA"/>
              </w:rPr>
              <w:t>Other options are not precluded</w:t>
            </w:r>
          </w:p>
          <w:bookmarkEnd w:id="7"/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en-GB" w:eastAsia="en-US"/>
              </w:rPr>
              <w:t>Issue 5: Test methodology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60" w:lineRule="auto"/>
              <w:jc w:val="both"/>
              <w:textAlignment w:val="auto"/>
              <w:outlineLvl w:val="9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lang w:val="en-US" w:eastAsia="zh-CN" w:bidi="ar-SA"/>
              </w:rPr>
              <w:t>-Companies are encouraged to contribute proposals related to the testability of the requirement on the time mask for switching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eastAsia" w:eastAsia="宋体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this contribution, </w:t>
      </w:r>
      <w:bookmarkStart w:id="8" w:name="OLE_LINK18"/>
      <w:r>
        <w:rPr>
          <w:rFonts w:hint="eastAsia" w:eastAsia="宋体" w:cs="Times New Roman"/>
          <w:sz w:val="20"/>
          <w:szCs w:val="20"/>
          <w:lang w:val="en-US" w:eastAsia="zh-CN"/>
        </w:rPr>
        <w:t xml:space="preserve">we </w:t>
      </w:r>
      <w:r>
        <w:rPr>
          <w:rFonts w:hint="eastAsia" w:cs="Times New Roman"/>
          <w:sz w:val="20"/>
          <w:szCs w:val="20"/>
          <w:lang w:val="en-US" w:eastAsia="zh-CN"/>
        </w:rPr>
        <w:t xml:space="preserve">gives some further </w:t>
      </w:r>
      <w:r>
        <w:rPr>
          <w:rFonts w:hint="eastAsia" w:eastAsia="宋体" w:cs="Times New Roman"/>
          <w:sz w:val="20"/>
          <w:szCs w:val="20"/>
          <w:lang w:val="en-US" w:eastAsia="zh-CN"/>
        </w:rPr>
        <w:t>discussion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on</w:t>
      </w:r>
      <w:r>
        <w:rPr>
          <w:rFonts w:hint="eastAsia" w:cs="Times New Roman"/>
          <w:sz w:val="20"/>
          <w:szCs w:val="20"/>
          <w:lang w:val="en-US" w:eastAsia="zh-CN"/>
        </w:rPr>
        <w:t xml:space="preserve"> low-low band CA via switching (i.e. downlink carrier switching) </w:t>
      </w:r>
      <w:r>
        <w:rPr>
          <w:rFonts w:hint="eastAsia" w:eastAsia="宋体" w:cs="Times New Roman"/>
          <w:sz w:val="20"/>
          <w:szCs w:val="20"/>
          <w:lang w:val="en-US" w:eastAsia="zh-CN"/>
        </w:rPr>
        <w:t>.</w:t>
      </w:r>
      <w:bookmarkEnd w:id="8"/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等线" w:cs="Times New Roman"/>
          <w:sz w:val="20"/>
          <w:szCs w:val="20"/>
          <w:lang w:val="en-US" w:eastAsia="zh-CN" w:bidi="ar-SA"/>
        </w:rPr>
      </w:pPr>
      <w:bookmarkStart w:id="9" w:name="OLE_LINK66"/>
      <w:bookmarkStart w:id="10" w:name="OLE_LINK23"/>
      <w:r>
        <w:rPr>
          <w:rFonts w:hint="eastAsia" w:eastAsia="等线" w:cs="Times New Roman"/>
          <w:sz w:val="20"/>
          <w:szCs w:val="20"/>
          <w:lang w:val="en-US" w:eastAsia="zh-CN" w:bidi="ar-SA"/>
        </w:rPr>
        <w:t xml:space="preserve">In our understanding, the purpose of this WID is to generate the carrier switching method in the case of the shared antenna for the switched-from and switched-to carriers. In other words, there is no need to consider the downlink carrier switching for separated antennas implementations since the Rx chain/antennas are totally separated for the two bands low-low CA, or the carrier switching period for separated antennas implementations is nearly 0us.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等线" w:cs="Times New Roman"/>
          <w:b/>
          <w:bCs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b/>
          <w:bCs/>
          <w:sz w:val="20"/>
          <w:szCs w:val="20"/>
          <w:lang w:val="en-US" w:eastAsia="zh-CN" w:bidi="ar-SA"/>
        </w:rPr>
        <w:t>Observation 1.There is no need to consider the downlink carrier switching for separated antennas implementations for low-low CA band combination.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等线" w:cs="Times New Roman"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sz w:val="20"/>
          <w:szCs w:val="20"/>
          <w:lang w:val="en-US" w:eastAsia="zh-CN" w:bidi="ar-SA"/>
        </w:rPr>
        <w:t>As we discussed in [2], for downlink carrier switching, similarly we cannot restrict the implementation for UE supporting low-low CA band combination, but UE needs to report the downlink carrier switching capability to NW. This is also mentioned in the WF.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等线" w:cs="Times New Roman"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sz w:val="20"/>
          <w:szCs w:val="20"/>
          <w:lang w:val="en-US" w:eastAsia="zh-CN" w:bidi="ar-SA"/>
        </w:rPr>
        <w:t xml:space="preserve">As </w:t>
      </w:r>
      <w:r>
        <w:rPr>
          <w:rFonts w:ascii="Times New Roman" w:hAnsi="Times New Roman" w:eastAsia="等线" w:cs="Times New Roman"/>
          <w:sz w:val="20"/>
          <w:szCs w:val="20"/>
          <w:lang w:val="en-GB" w:eastAsia="en-GB" w:bidi="ar-SA"/>
        </w:rPr>
        <w:t>there is no simultaneous Tx/Rx between the PCell and the SCell</w:t>
      </w:r>
      <w:r>
        <w:rPr>
          <w:rFonts w:hint="eastAsia" w:eastAsia="等线" w:cs="Times New Roman"/>
          <w:sz w:val="20"/>
          <w:szCs w:val="20"/>
          <w:lang w:val="en-US" w:eastAsia="zh-CN" w:bidi="ar-SA"/>
        </w:rPr>
        <w:t xml:space="preserve">. Rx is only happened in either switch-from carrier or switch-to carrier. In other words, only switchedDL option (similar to switchedUL for Tx switching) can be considered for low-low CA downlink carrier switching in this WID. For the </w:t>
      </w:r>
      <w:r>
        <w:rPr>
          <w:rFonts w:hint="default" w:eastAsia="等线" w:cs="Times New Roman"/>
          <w:sz w:val="20"/>
          <w:szCs w:val="20"/>
          <w:lang w:val="en-US" w:eastAsia="zh-CN" w:bidi="ar-SA"/>
        </w:rPr>
        <w:t>‘</w:t>
      </w:r>
      <w:r>
        <w:rPr>
          <w:rFonts w:hint="eastAsia" w:eastAsia="等线" w:cs="Times New Roman"/>
          <w:sz w:val="20"/>
          <w:szCs w:val="20"/>
          <w:lang w:val="en-US" w:eastAsia="zh-CN" w:bidi="ar-SA"/>
        </w:rPr>
        <w:t>dualDL</w:t>
      </w:r>
      <w:r>
        <w:rPr>
          <w:rFonts w:hint="default" w:eastAsia="等线" w:cs="Times New Roman"/>
          <w:sz w:val="20"/>
          <w:szCs w:val="20"/>
          <w:lang w:val="en-US" w:eastAsia="zh-CN" w:bidi="ar-SA"/>
        </w:rPr>
        <w:t>’</w:t>
      </w:r>
      <w:r>
        <w:rPr>
          <w:rFonts w:hint="eastAsia" w:eastAsia="等线" w:cs="Times New Roman"/>
          <w:sz w:val="20"/>
          <w:szCs w:val="20"/>
          <w:lang w:val="en-US" w:eastAsia="zh-CN" w:bidi="ar-SA"/>
        </w:rPr>
        <w:t xml:space="preserve"> option, it could be considered in later release associated with the new band combination such as FDD-FDD low-low band CA via switching.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等线" w:cs="Times New Roman"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b/>
          <w:bCs/>
          <w:sz w:val="20"/>
          <w:szCs w:val="20"/>
          <w:lang w:val="en-US" w:eastAsia="zh-CN" w:bidi="ar-SA"/>
        </w:rPr>
        <w:t>Proposal 1. Only switchedDL option can be considered for low-low CA downlink carrier switching in this WID.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等线" w:cs="Times New Roman"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sz w:val="20"/>
          <w:szCs w:val="20"/>
          <w:lang w:val="en-US" w:eastAsia="zh-CN" w:bidi="ar-SA"/>
        </w:rPr>
        <w:t>In last meeting, it was agreed to define Tx on-off time mask requirement for Rx switching , and how to define it is FFS.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Issue 4: Considerations related to the Tx on-off time mask</w:t>
            </w:r>
          </w:p>
          <w:p>
            <w:pPr>
              <w:pStyle w:val="4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Option 1: Specify transmit on/off time mask for FDD UL carrier/Pcell for switching between LB(FDD)-LB(SDL)</w:t>
            </w:r>
          </w:p>
          <w:p>
            <w:pPr>
              <w:pStyle w:val="4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Option 2: Specify on-&gt;off time mask for switching from FDD to SDL carrier and specify off-&gt;on time mask for switching from SDL to FDD carrier</w:t>
            </w:r>
          </w:p>
          <w:p>
            <w:pPr>
              <w:pStyle w:val="4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Other options are not precluded</w:t>
            </w:r>
          </w:p>
        </w:tc>
      </w:tr>
    </w:tbl>
    <w:p>
      <w:pPr>
        <w:overflowPunct/>
        <w:autoSpaceDE/>
        <w:autoSpaceDN/>
        <w:adjustRightInd/>
        <w:spacing w:before="120" w:beforeLines="0" w:after="120" w:afterLines="0" w:line="240" w:lineRule="auto"/>
        <w:jc w:val="left"/>
        <w:textAlignment w:val="auto"/>
        <w:rPr>
          <w:rFonts w:hint="eastAsia" w:eastAsia="等线" w:cs="Times New Roman"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sz w:val="20"/>
          <w:szCs w:val="20"/>
          <w:lang w:val="en-US" w:eastAsia="zh-CN" w:bidi="ar-SA"/>
        </w:rPr>
        <w:t>We think the Tx on-off time mask for Rx switching depends on the switching period location which is related to the switching pattern in RAN1</w:t>
      </w:r>
      <w:r>
        <w:rPr>
          <w:rFonts w:hint="default" w:eastAsia="等线" w:cs="Times New Roman"/>
          <w:sz w:val="20"/>
          <w:szCs w:val="20"/>
          <w:lang w:val="en-US" w:eastAsia="zh-CN" w:bidi="ar-SA"/>
        </w:rPr>
        <w:t>’</w:t>
      </w:r>
      <w:r>
        <w:rPr>
          <w:rFonts w:hint="eastAsia" w:eastAsia="等线" w:cs="Times New Roman"/>
          <w:sz w:val="20"/>
          <w:szCs w:val="20"/>
          <w:lang w:val="en-US" w:eastAsia="zh-CN" w:bidi="ar-SA"/>
        </w:rPr>
        <w:t>s discussion. The latest agreements in RAN1 are shown below: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contextualSpacing/>
              <w:textAlignment w:val="baseline"/>
              <w:rPr>
                <w:color w:val="auto"/>
                <w:sz w:val="20"/>
                <w:szCs w:val="20"/>
              </w:rPr>
            </w:pPr>
            <w:r>
              <w:rPr>
                <w:rFonts w:hint="eastAsia" w:ascii="Times New Roman" w:eastAsia="宋体"/>
                <w:color w:val="auto"/>
                <w:sz w:val="20"/>
                <w:szCs w:val="20"/>
                <w:lang w:val="en-US" w:eastAsia="zh-CN"/>
              </w:rPr>
              <w:t xml:space="preserve">1. </w:t>
            </w:r>
            <w:r>
              <w:rPr>
                <w:color w:val="auto"/>
                <w:sz w:val="20"/>
                <w:szCs w:val="20"/>
              </w:rPr>
              <w:t xml:space="preserve">For RRC configuration of semi-static switching pattern in Rel-19 low NR band carrier aggregation via switching, regarding the location of the switching gap, </w:t>
            </w:r>
          </w:p>
          <w:p>
            <w:pPr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720" w:hanging="360"/>
              <w:contextualSpacing/>
              <w:jc w:val="both"/>
              <w:textAlignment w:val="baseline"/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highlight w:val="yellow"/>
                <w:lang w:val="en-US" w:eastAsia="zh-CN" w:bidi="ar-SA"/>
              </w:rPr>
              <w:t>For switching from SDL carrier to FDD carrier, the switching gap is always assumed at the “switch from” carrier, i.e., SDL carrier.</w:t>
            </w:r>
          </w:p>
          <w:p>
            <w:pPr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720" w:hanging="360"/>
              <w:contextualSpacing/>
              <w:jc w:val="both"/>
              <w:textAlignment w:val="baseline"/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 xml:space="preserve">For switching from FDD carrier to SDL carrier, downselect one of the following solutions </w:t>
            </w:r>
          </w:p>
          <w:p>
            <w:pPr>
              <w:widowControl w:val="0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440" w:hanging="360"/>
              <w:contextualSpacing/>
              <w:jc w:val="both"/>
              <w:textAlignment w:val="baseline"/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>Alt 1: Switching gap is always assumed at the “switch from” carrier, i.e., FDD carrier</w:t>
            </w:r>
          </w:p>
          <w:p>
            <w:pPr>
              <w:widowControl w:val="0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440" w:hanging="360"/>
              <w:contextualSpacing/>
              <w:jc w:val="both"/>
              <w:textAlignment w:val="baseline"/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>Alt 2: NW configures whether the switching gap is at the FDD carrier or SDL carrier</w:t>
            </w:r>
          </w:p>
          <w:p>
            <w:pPr>
              <w:widowControl w:val="0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440" w:hanging="360"/>
              <w:contextualSpacing/>
              <w:jc w:val="both"/>
              <w:textAlignment w:val="baseline"/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>Alt 3: Switching gap is always assumed at the SDL carrier</w:t>
            </w:r>
          </w:p>
          <w:p>
            <w:pPr>
              <w:widowControl w:val="0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left="1080" w:leftChars="0"/>
              <w:contextualSpacing/>
              <w:jc w:val="both"/>
              <w:textAlignment w:val="baseline"/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contextualSpacing/>
              <w:textAlignment w:val="baseline"/>
              <w:rPr>
                <w:rFonts w:hint="eastAsia" w:eastAsia="等线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sz w:val="20"/>
                <w:szCs w:val="20"/>
                <w:lang w:val="en-US" w:eastAsia="zh-CN"/>
              </w:rPr>
              <w:t xml:space="preserve">2. </w:t>
            </w:r>
            <w:r>
              <w:rPr>
                <w:color w:val="auto"/>
                <w:sz w:val="20"/>
                <w:szCs w:val="20"/>
              </w:rPr>
              <w:t>For RRC configuration of semi-static switching pattern in Rel-19 low NR band carrier aggregation via switching, the duration of the switching gap is RRC configured by the NW</w:t>
            </w:r>
            <w:r>
              <w:rPr>
                <w:rFonts w:hint="eastAsia" w:eastAsia="等线"/>
                <w:color w:val="auto"/>
                <w:sz w:val="20"/>
                <w:szCs w:val="20"/>
                <w:lang w:eastAsia="zh-CN"/>
              </w:rPr>
              <w:t>,</w:t>
            </w:r>
          </w:p>
          <w:p>
            <w:pPr>
              <w:widowControl w:val="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left="720" w:leftChars="0" w:firstLine="400" w:firstLineChars="200"/>
              <w:contextualSpacing/>
              <w:jc w:val="both"/>
              <w:textAlignment w:val="baseline"/>
              <w:rPr>
                <w:rFonts w:ascii="Times New Roman" w:hAnsi="Times New Roman" w:eastAsia="ＭＳ 明朝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ascii="Times New Roman" w:hAnsi="Times New Roman" w:eastAsia="ＭＳ 明朝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>witching gap duration can be different for FDD to SDL switch, and SDL to FDD switch.</w:t>
            </w:r>
          </w:p>
          <w:p>
            <w:pPr>
              <w:widowControl w:val="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left="720" w:leftChars="0" w:firstLine="400" w:firstLineChars="200"/>
              <w:contextualSpacing/>
              <w:jc w:val="both"/>
              <w:textAlignment w:val="baseline"/>
              <w:rPr>
                <w:rFonts w:ascii="Times New Roman" w:hAnsi="Times New Roman" w:eastAsia="ＭＳ 明朝" w:cs="Times New Roman"/>
                <w:strike/>
                <w:color w:val="auto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ascii="Times New Roman" w:hAnsi="Times New Roman" w:eastAsia="ＭＳ 明朝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 xml:space="preserve">Note: </w:t>
            </w:r>
            <w:r>
              <w:rPr>
                <w:rFonts w:ascii="Times New Roman" w:hAnsi="Times New Roman" w:eastAsia="ＭＳ 明朝" w:cs="Times New Roman"/>
                <w:color w:val="auto"/>
                <w:kern w:val="2"/>
                <w:sz w:val="20"/>
                <w:szCs w:val="20"/>
                <w:highlight w:val="yellow"/>
                <w:lang w:val="en-US" w:eastAsia="zh-CN" w:bidi="ar-SA"/>
              </w:rPr>
              <w:t xml:space="preserve">NW ensures that the switching gap is enough to cover at least the switching period as in RAN4 LS (R1-2501702) </w:t>
            </w:r>
            <w:r>
              <w:rPr>
                <w:rFonts w:hint="eastAsia" w:ascii="Times New Roman" w:hAnsi="Times New Roman" w:eastAsia="等线" w:cs="Times New Roman"/>
                <w:color w:val="auto"/>
                <w:kern w:val="2"/>
                <w:sz w:val="20"/>
                <w:szCs w:val="20"/>
                <w:highlight w:val="yellow"/>
                <w:lang w:val="en-US" w:eastAsia="zh-CN" w:bidi="ar-SA"/>
              </w:rPr>
              <w:t>and UL TA (if needed)</w:t>
            </w:r>
          </w:p>
          <w:p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left="1440" w:hanging="360"/>
              <w:contextualSpacing/>
              <w:jc w:val="both"/>
              <w:textAlignment w:val="baseline"/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 xml:space="preserve">For the UL TA, </w:t>
            </w:r>
          </w:p>
          <w:p>
            <w:pPr>
              <w:widowControl w:val="0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left="2160" w:hanging="360"/>
              <w:contextualSpacing/>
              <w:jc w:val="both"/>
              <w:textAlignment w:val="baseline"/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>witching gap for SDL to FDD switch</w:t>
            </w:r>
            <w:r>
              <w:rPr>
                <w:rFonts w:hint="eastAsia"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 xml:space="preserve"> ends at the end of slot on SDL</w:t>
            </w:r>
          </w:p>
          <w:p>
            <w:pPr>
              <w:widowControl w:val="0"/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left="2880" w:hanging="360"/>
              <w:contextualSpacing/>
              <w:jc w:val="both"/>
              <w:textAlignment w:val="baseline"/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>Note: RAN1 assumes that s</w:t>
            </w:r>
            <w:r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>witching gap for SDL to FDD switch includes UL TA</w:t>
            </w:r>
          </w:p>
          <w:p>
            <w:pPr>
              <w:widowControl w:val="0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left="2160" w:hanging="360"/>
              <w:contextualSpacing/>
              <w:jc w:val="both"/>
              <w:textAlignment w:val="baseline"/>
              <w:rPr>
                <w:rFonts w:hint="eastAsia" w:eastAsia="等线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  <w:t>FFS: whether it has specification impact</w:t>
            </w:r>
          </w:p>
        </w:tc>
      </w:tr>
    </w:tbl>
    <w:p>
      <w:pPr>
        <w:pStyle w:val="2"/>
        <w:rPr>
          <w:rFonts w:hint="eastAsia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 w:bidi="ar-SA"/>
        </w:rPr>
        <w:t>It can be seen that for switching from SDL carrier to FDD carrier, RAN1 has already reached a consensus</w:t>
      </w:r>
      <w:r>
        <w:rPr>
          <w:rFonts w:hint="default" w:cs="Times New Roman"/>
          <w:sz w:val="20"/>
          <w:szCs w:val="20"/>
          <w:lang w:val="en-US" w:eastAsia="zh-CN" w:bidi="ar-SA"/>
        </w:rPr>
        <w:t> </w:t>
      </w:r>
      <w:r>
        <w:rPr>
          <w:rFonts w:hint="eastAsia" w:cs="Times New Roman"/>
          <w:sz w:val="20"/>
          <w:szCs w:val="20"/>
          <w:lang w:val="en-US" w:eastAsia="zh-CN" w:bidi="ar-SA"/>
        </w:rPr>
        <w:t xml:space="preserve">that the switching </w:t>
      </w:r>
      <w:r>
        <w:rPr>
          <w:rFonts w:hint="eastAsia" w:ascii="Times New Roman" w:hAnsi="Times New Roman" w:eastAsia="等线" w:cs="Times New Roman"/>
          <w:kern w:val="2"/>
          <w:sz w:val="20"/>
          <w:szCs w:val="20"/>
          <w:lang w:val="en-US" w:eastAsia="zh-CN" w:bidi="ar-SA"/>
        </w:rPr>
        <w:t>gap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 (noted that the switching gap includes switching period as well as UL TA(if needed))</w:t>
      </w:r>
      <w:r>
        <w:rPr>
          <w:rFonts w:hint="eastAsia" w:ascii="Times New Roman" w:hAnsi="Times New Roman" w:eastAsia="等线" w:cs="Times New Roman"/>
          <w:kern w:val="2"/>
          <w:sz w:val="20"/>
          <w:szCs w:val="20"/>
          <w:lang w:val="en-US" w:eastAsia="zh-CN" w:bidi="ar-SA"/>
        </w:rPr>
        <w:t xml:space="preserve"> is always assumed at the “switch from” carrier, i.e., SDL carrier.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 When considering the </w:t>
      </w:r>
      <w:r>
        <w:rPr>
          <w:rFonts w:hint="eastAsia" w:eastAsia="等线" w:cs="Times New Roman"/>
          <w:sz w:val="20"/>
          <w:szCs w:val="20"/>
          <w:lang w:val="en-US" w:eastAsia="zh-CN" w:bidi="ar-SA"/>
        </w:rPr>
        <w:t>Tx on-off time mask</w:t>
      </w:r>
      <w:r>
        <w:rPr>
          <w:rFonts w:hint="eastAsia" w:cs="Times New Roman"/>
          <w:sz w:val="20"/>
          <w:szCs w:val="20"/>
          <w:lang w:val="en-US" w:eastAsia="zh-CN" w:bidi="ar-SA"/>
        </w:rPr>
        <w:t xml:space="preserve"> associated with the switching period location, </w:t>
      </w:r>
      <w:r>
        <w:rPr>
          <w:sz w:val="20"/>
          <w:szCs w:val="20"/>
        </w:rPr>
        <w:t xml:space="preserve">off-&gt;on time mask for switching </w:t>
      </w:r>
      <w:r>
        <w:rPr>
          <w:rFonts w:hint="eastAsia"/>
          <w:sz w:val="20"/>
          <w:szCs w:val="20"/>
          <w:lang w:val="en-US" w:eastAsia="zh-CN"/>
        </w:rPr>
        <w:t xml:space="preserve">should be specified </w:t>
      </w:r>
      <w:r>
        <w:rPr>
          <w:sz w:val="20"/>
          <w:szCs w:val="20"/>
        </w:rPr>
        <w:t>from SDL to FDD carrier</w:t>
      </w:r>
      <w:r>
        <w:rPr>
          <w:rFonts w:hint="eastAsia"/>
          <w:sz w:val="20"/>
          <w:szCs w:val="20"/>
          <w:lang w:val="en-US" w:eastAsia="zh-CN"/>
        </w:rPr>
        <w:t>.</w:t>
      </w:r>
    </w:p>
    <w:p>
      <w:pPr>
        <w:pStyle w:val="2"/>
        <w:rPr>
          <w:rFonts w:hint="eastAsia" w:cs="Times New Roman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/>
          <w:sz w:val="20"/>
          <w:szCs w:val="20"/>
          <w:lang w:val="en-US" w:eastAsia="zh-CN"/>
        </w:rPr>
        <w:t xml:space="preserve">For switching from FDD carrier to SDL carrier, the PA for FDD carrier should be from ON-&gt;OFF 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when considering the </w:t>
      </w:r>
      <w:r>
        <w:rPr>
          <w:rFonts w:hint="eastAsia" w:eastAsia="等线" w:cs="Times New Roman"/>
          <w:sz w:val="20"/>
          <w:szCs w:val="20"/>
          <w:lang w:val="en-US" w:eastAsia="zh-CN" w:bidi="ar-SA"/>
        </w:rPr>
        <w:t>Tx on-off time mask</w:t>
      </w:r>
      <w:r>
        <w:rPr>
          <w:rFonts w:hint="eastAsia" w:cs="Times New Roman"/>
          <w:sz w:val="20"/>
          <w:szCs w:val="20"/>
          <w:lang w:val="en-US" w:eastAsia="zh-CN" w:bidi="ar-SA"/>
        </w:rPr>
        <w:t xml:space="preserve">. </w:t>
      </w:r>
      <w:r>
        <w:rPr>
          <w:rFonts w:hint="eastAsia"/>
          <w:sz w:val="20"/>
          <w:szCs w:val="20"/>
          <w:lang w:val="en-US" w:eastAsia="zh-CN"/>
        </w:rPr>
        <w:t xml:space="preserve">However, </w:t>
      </w:r>
      <w:r>
        <w:rPr>
          <w:rFonts w:hint="eastAsia" w:cs="Times New Roman"/>
          <w:color w:val="auto"/>
          <w:kern w:val="2"/>
          <w:sz w:val="20"/>
          <w:szCs w:val="20"/>
          <w:lang w:val="en-US" w:eastAsia="zh-CN" w:bidi="ar-SA"/>
        </w:rPr>
        <w:t xml:space="preserve">the switching period/gap location </w:t>
      </w:r>
      <w:r>
        <w:rPr>
          <w:rFonts w:hint="eastAsia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eastAsia="等线" w:cs="Times New Roman"/>
          <w:color w:val="auto"/>
          <w:kern w:val="2"/>
          <w:sz w:val="20"/>
          <w:szCs w:val="20"/>
          <w:lang w:val="en-US" w:eastAsia="zh-CN" w:bidi="ar-SA"/>
        </w:rPr>
        <w:t>switching from FDD carrier to SDL carrier</w:t>
      </w:r>
      <w:r>
        <w:rPr>
          <w:rFonts w:hint="eastAsia" w:cs="Times New Roman"/>
          <w:color w:val="auto"/>
          <w:kern w:val="2"/>
          <w:sz w:val="20"/>
          <w:szCs w:val="20"/>
          <w:lang w:val="en-US" w:eastAsia="zh-CN" w:bidi="ar-SA"/>
        </w:rPr>
        <w:t xml:space="preserve"> is still under discussion in RAN1, and there are three alternatives in RAN1</w:t>
      </w:r>
      <w:r>
        <w:rPr>
          <w:rFonts w:hint="default" w:cs="Times New Roman"/>
          <w:color w:val="auto"/>
          <w:kern w:val="2"/>
          <w:sz w:val="20"/>
          <w:szCs w:val="20"/>
          <w:lang w:val="en-US" w:eastAsia="zh-CN" w:bidi="ar-SA"/>
        </w:rPr>
        <w:t>’</w:t>
      </w:r>
      <w:r>
        <w:rPr>
          <w:rFonts w:hint="eastAsia" w:cs="Times New Roman"/>
          <w:color w:val="auto"/>
          <w:kern w:val="2"/>
          <w:sz w:val="20"/>
          <w:szCs w:val="20"/>
          <w:lang w:val="en-US" w:eastAsia="zh-CN" w:bidi="ar-SA"/>
        </w:rPr>
        <w:t xml:space="preserve">s agreements. In terms of these three alternatives, it seems the switching gap can be located at only FDD carrier, or only SDL carrier, or either FDD carrier or SDL carrier. </w:t>
      </w:r>
    </w:p>
    <w:p>
      <w:pPr>
        <w:pStyle w:val="2"/>
        <w:rPr>
          <w:rFonts w:hint="default" w:cs="Times New Roman"/>
          <w:color w:val="auto"/>
          <w:kern w:val="2"/>
          <w:sz w:val="20"/>
          <w:szCs w:val="20"/>
          <w:lang w:val="en-US" w:eastAsia="zh-CN" w:bidi="ar-SA"/>
        </w:rPr>
      </w:pPr>
    </w:p>
    <w:p>
      <w:pPr>
        <w:pStyle w:val="2"/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等线" w:cs="Times New Roman"/>
          <w:b/>
          <w:bCs/>
          <w:kern w:val="2"/>
          <w:sz w:val="20"/>
          <w:szCs w:val="20"/>
          <w:lang w:val="en-US" w:eastAsia="zh-CN" w:bidi="ar-SA"/>
        </w:rPr>
        <w:t>Proposal 2. Specify on-&gt;off time mask for switching from FDD to SDL carrier and specify off-&gt;on time mask for switching from SDL to FDD carrier</w:t>
      </w:r>
    </w:p>
    <w:p>
      <w:pPr>
        <w:pStyle w:val="2"/>
        <w:rPr>
          <w:rFonts w:hint="eastAsia" w:cs="Times New Roman"/>
          <w:sz w:val="20"/>
          <w:szCs w:val="20"/>
          <w:lang w:val="en-US" w:eastAsia="zh-CN" w:bidi="ar-SA"/>
        </w:rPr>
      </w:pPr>
      <w:r>
        <w:rPr>
          <w:rFonts w:hint="eastAsia" w:cs="Times New Roman"/>
          <w:sz w:val="20"/>
          <w:szCs w:val="20"/>
          <w:lang w:val="en-US" w:eastAsia="zh-CN" w:bidi="ar-SA"/>
        </w:rPr>
        <w:t>The time mask for switching from SDL carrier to FDD carrier could be found in the Fig 1.</w:t>
      </w:r>
    </w:p>
    <w:p>
      <w:pPr>
        <w:pStyle w:val="2"/>
        <w:rPr>
          <w:rFonts w:hint="default" w:cs="Times New Roman"/>
          <w:sz w:val="20"/>
          <w:szCs w:val="20"/>
          <w:u w:val="single"/>
          <w:lang w:val="en-US" w:eastAsia="zh-CN" w:bidi="ar-SA"/>
        </w:rPr>
      </w:pPr>
      <w:r>
        <w:rPr>
          <w:rFonts w:hint="eastAsia" w:cs="Times New Roman"/>
          <w:sz w:val="20"/>
          <w:szCs w:val="20"/>
          <w:u w:val="single"/>
          <w:lang w:val="en-US" w:eastAsia="zh-CN" w:bidi="ar-SA"/>
        </w:rPr>
        <w:t>Switching from SDL carrier -&gt;FDD carrier:</w:t>
      </w:r>
    </w:p>
    <w:p>
      <w:pPr>
        <w:pStyle w:val="2"/>
        <w:jc w:val="center"/>
        <w:rPr>
          <w:rFonts w:hint="default" w:cs="Times New Roman"/>
          <w:sz w:val="20"/>
          <w:szCs w:val="20"/>
          <w:lang w:val="en-US" w:eastAsia="zh-CN" w:bidi="ar-SA"/>
        </w:rPr>
      </w:pPr>
      <w:r>
        <w:rPr>
          <w:sz w:val="20"/>
          <w:szCs w:val="20"/>
        </w:rPr>
        <w:drawing>
          <wp:inline distT="0" distB="0" distL="114300" distR="114300">
            <wp:extent cx="5212080" cy="8839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eastAsia="等线" w:cs="Times New Roman"/>
          <w:sz w:val="18"/>
          <w:szCs w:val="18"/>
          <w:lang w:val="en-US" w:eastAsia="zh-CN" w:bidi="ar-SA"/>
        </w:rPr>
      </w:pPr>
      <w:r>
        <w:rPr>
          <w:rFonts w:hint="eastAsia" w:cs="Times New Roman"/>
          <w:sz w:val="20"/>
          <w:szCs w:val="20"/>
          <w:lang w:val="en-US" w:eastAsia="zh-CN" w:bidi="ar-SA"/>
        </w:rPr>
        <w:t xml:space="preserve">Fig 1. </w:t>
      </w:r>
      <w:r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</w:rPr>
        <w:t xml:space="preserve">ime mask for </w:t>
      </w:r>
      <w:r>
        <w:rPr>
          <w:rFonts w:hint="eastAsia"/>
          <w:sz w:val="20"/>
          <w:szCs w:val="20"/>
          <w:lang w:eastAsia="zh-CN"/>
        </w:rPr>
        <w:t>s</w:t>
      </w:r>
      <w:r>
        <w:rPr>
          <w:sz w:val="20"/>
          <w:szCs w:val="20"/>
        </w:rPr>
        <w:t>witching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sz w:val="20"/>
          <w:szCs w:val="20"/>
          <w:lang w:val="en-US" w:eastAsia="zh-CN" w:bidi="ar-SA"/>
        </w:rPr>
        <w:t>from SDL carrier 2 to FDD DL carrier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 xml:space="preserve">1 </w:t>
      </w:r>
      <w:r>
        <w:rPr>
          <w:rFonts w:hint="eastAsia"/>
          <w:sz w:val="20"/>
          <w:szCs w:val="20"/>
          <w:lang w:eastAsia="zh-CN"/>
        </w:rPr>
        <w:t xml:space="preserve">where the switching period is located in </w:t>
      </w:r>
      <w:r>
        <w:rPr>
          <w:rFonts w:hint="eastAsia"/>
          <w:sz w:val="20"/>
          <w:szCs w:val="20"/>
          <w:lang w:val="en-US" w:eastAsia="zh-CN"/>
        </w:rPr>
        <w:t xml:space="preserve">SDL </w:t>
      </w:r>
      <w:r>
        <w:rPr>
          <w:rFonts w:hint="eastAsia"/>
          <w:sz w:val="20"/>
          <w:szCs w:val="20"/>
          <w:lang w:eastAsia="zh-CN"/>
        </w:rPr>
        <w:t xml:space="preserve">carrier </w:t>
      </w:r>
      <w:r>
        <w:rPr>
          <w:rFonts w:hint="eastAsia"/>
          <w:sz w:val="20"/>
          <w:szCs w:val="20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sz w:val="20"/>
          <w:szCs w:val="20"/>
          <w:lang w:val="en-US" w:eastAsia="zh-CN" w:bidi="ar-SA"/>
        </w:rPr>
        <w:t>For t</w:t>
      </w:r>
      <w:r>
        <w:rPr>
          <w:rFonts w:hint="eastAsia" w:cs="Times New Roman"/>
          <w:sz w:val="20"/>
          <w:szCs w:val="20"/>
          <w:lang w:val="en-US" w:eastAsia="zh-CN" w:bidi="ar-SA"/>
        </w:rPr>
        <w:t>he time mask for switching from FDD carrier to SDL carrier, there are two options which could be found in the Fig 2.</w:t>
      </w:r>
    </w:p>
    <w:p>
      <w:pPr>
        <w:pStyle w:val="2"/>
        <w:jc w:val="center"/>
        <w:rPr>
          <w:rFonts w:hint="eastAsia" w:eastAsia="等线" w:cs="Times New Roman"/>
          <w:sz w:val="20"/>
          <w:szCs w:val="20"/>
          <w:lang w:val="en-US" w:eastAsia="zh-CN" w:bidi="ar-SA"/>
        </w:rPr>
      </w:pPr>
      <w:r>
        <w:drawing>
          <wp:inline distT="0" distB="0" distL="114300" distR="114300">
            <wp:extent cx="5212080" cy="87630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eastAsia="等线" w:cs="Times New Roman"/>
          <w:sz w:val="20"/>
          <w:szCs w:val="20"/>
          <w:lang w:val="en-US" w:eastAsia="zh-CN" w:bidi="ar-SA"/>
        </w:rPr>
      </w:pPr>
      <w:r>
        <w:rPr>
          <w:rFonts w:hint="eastAsia" w:cs="Times New Roman"/>
          <w:sz w:val="20"/>
          <w:szCs w:val="20"/>
          <w:lang w:val="en-US" w:eastAsia="zh-CN" w:bidi="ar-SA"/>
        </w:rPr>
        <w:t>(a)</w:t>
      </w:r>
    </w:p>
    <w:p>
      <w:pPr>
        <w:pStyle w:val="2"/>
        <w:jc w:val="center"/>
        <w:rPr>
          <w:rFonts w:hint="eastAsia" w:eastAsia="等线" w:cs="Times New Roman"/>
          <w:sz w:val="20"/>
          <w:szCs w:val="20"/>
          <w:lang w:val="en-US" w:eastAsia="zh-CN" w:bidi="ar-SA"/>
        </w:rPr>
      </w:pPr>
      <w:r>
        <w:drawing>
          <wp:inline distT="0" distB="0" distL="114300" distR="114300">
            <wp:extent cx="5212080" cy="87630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eastAsia="等线" w:cs="Times New Roman"/>
          <w:sz w:val="20"/>
          <w:szCs w:val="20"/>
          <w:lang w:val="en-US" w:eastAsia="zh-CN" w:bidi="ar-SA"/>
        </w:rPr>
      </w:pPr>
      <w:r>
        <w:rPr>
          <w:rFonts w:hint="eastAsia" w:cs="Times New Roman"/>
          <w:sz w:val="20"/>
          <w:szCs w:val="20"/>
          <w:lang w:val="en-US" w:eastAsia="zh-CN" w:bidi="ar-SA"/>
        </w:rPr>
        <w:t>(b)</w:t>
      </w:r>
    </w:p>
    <w:p>
      <w:pPr>
        <w:pStyle w:val="2"/>
        <w:rPr>
          <w:rFonts w:hint="eastAsia" w:cs="Times New Roman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sz w:val="20"/>
          <w:szCs w:val="20"/>
          <w:lang w:val="en-US" w:eastAsia="zh-CN" w:bidi="ar-SA"/>
        </w:rPr>
        <w:t>We think it is premature to define which options should be adopted in RAN4 since it relies on the RAN1</w:t>
      </w:r>
      <w:r>
        <w:rPr>
          <w:rFonts w:hint="default" w:cs="Times New Roman"/>
          <w:sz w:val="20"/>
          <w:szCs w:val="20"/>
          <w:lang w:val="en-US" w:eastAsia="zh-CN" w:bidi="ar-SA"/>
        </w:rPr>
        <w:t>’</w:t>
      </w:r>
      <w:r>
        <w:rPr>
          <w:rFonts w:hint="eastAsia" w:cs="Times New Roman"/>
          <w:sz w:val="20"/>
          <w:szCs w:val="20"/>
          <w:lang w:val="en-US" w:eastAsia="zh-CN" w:bidi="ar-SA"/>
        </w:rPr>
        <w:t xml:space="preserve">s consensus on the </w:t>
      </w:r>
      <w:r>
        <w:rPr>
          <w:rFonts w:hint="eastAsia" w:cs="Times New Roman"/>
          <w:color w:val="auto"/>
          <w:kern w:val="2"/>
          <w:sz w:val="20"/>
          <w:szCs w:val="20"/>
          <w:lang w:val="en-US" w:eastAsia="zh-CN" w:bidi="ar-SA"/>
        </w:rPr>
        <w:t xml:space="preserve">switching period/gap location </w:t>
      </w:r>
      <w:r>
        <w:rPr>
          <w:rFonts w:hint="eastAsia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eastAsia="等线" w:cs="Times New Roman"/>
          <w:color w:val="auto"/>
          <w:kern w:val="2"/>
          <w:sz w:val="20"/>
          <w:szCs w:val="20"/>
          <w:lang w:val="en-US" w:eastAsia="zh-CN" w:bidi="ar-SA"/>
        </w:rPr>
        <w:t>switching from FDD carrier to SDL carrier</w:t>
      </w:r>
      <w:r>
        <w:rPr>
          <w:rFonts w:hint="eastAsia" w:cs="Times New Roman"/>
          <w:color w:val="auto"/>
          <w:kern w:val="2"/>
          <w:sz w:val="20"/>
          <w:szCs w:val="20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等线" w:cs="Times New Roman"/>
          <w:b/>
          <w:bCs/>
          <w:sz w:val="20"/>
          <w:szCs w:val="20"/>
          <w:lang w:val="en-US" w:eastAsia="zh-CN" w:bidi="ar-SA"/>
        </w:rPr>
      </w:pP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Proposal 3. The </w:t>
      </w:r>
      <w:r>
        <w:rPr>
          <w:rFonts w:eastAsiaTheme="minorEastAsia"/>
          <w:b/>
          <w:bCs/>
          <w:sz w:val="20"/>
          <w:szCs w:val="20"/>
          <w:lang w:eastAsia="zh-CN"/>
        </w:rPr>
        <w:t xml:space="preserve">time mask 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for switching from FDD carrier to SDL carrier </w:t>
      </w:r>
      <w:r>
        <w:rPr>
          <w:rFonts w:hint="eastAsia" w:eastAsia="等线"/>
          <w:b/>
          <w:bCs/>
          <w:sz w:val="20"/>
          <w:szCs w:val="20"/>
          <w:lang w:val="en-US" w:eastAsia="zh-CN"/>
        </w:rPr>
        <w:t>should wait</w:t>
      </w:r>
      <w:r>
        <w:rPr>
          <w:rFonts w:hint="eastAsia" w:eastAsia="等线" w:cs="Times New Roman"/>
          <w:b/>
          <w:bCs/>
          <w:sz w:val="20"/>
          <w:szCs w:val="20"/>
          <w:lang w:val="en-US" w:eastAsia="zh-CN" w:bidi="ar-SA"/>
        </w:rPr>
        <w:t xml:space="preserve"> for RAN1 consensus of switching pattern design.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宋体" w:cs="Arial"/>
          <w:sz w:val="20"/>
          <w:szCs w:val="20"/>
          <w:lang w:val="en-US" w:eastAsia="zh-CN"/>
        </w:rPr>
      </w:pPr>
      <w:r>
        <w:rPr>
          <w:rFonts w:hint="eastAsia" w:eastAsia="宋体" w:cs="Arial"/>
          <w:sz w:val="20"/>
          <w:szCs w:val="20"/>
          <w:lang w:val="en-US" w:eastAsia="zh-CN"/>
        </w:rPr>
        <w:t>In the WID, there is only one example band combination</w:t>
      </w:r>
      <w:r>
        <w:rPr>
          <w:rFonts w:hint="eastAsia" w:cs="Arial"/>
          <w:sz w:val="20"/>
          <w:szCs w:val="20"/>
          <w:lang w:val="en-US" w:eastAsia="zh-CN"/>
        </w:rPr>
        <w:t xml:space="preserve"> (i.e. </w:t>
      </w:r>
      <w:r>
        <w:rPr>
          <w:rFonts w:ascii="Times New Roman" w:hAnsi="Times New Roman" w:eastAsia="等线" w:cs="Times New Roman"/>
          <w:lang w:val="en-GB" w:eastAsia="en-GB" w:bidi="ar-SA"/>
        </w:rPr>
        <w:t>CA_n5A-n29A</w:t>
      </w:r>
      <w:r>
        <w:rPr>
          <w:rFonts w:hint="eastAsia" w:cs="Arial"/>
          <w:sz w:val="20"/>
          <w:szCs w:val="20"/>
          <w:lang w:val="en-US" w:eastAsia="zh-CN"/>
        </w:rPr>
        <w:t>)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, the other band combination to be handled via the basket work item approach. Although it is not clear how to pursue it </w:t>
      </w:r>
      <w:r>
        <w:rPr>
          <w:rFonts w:hint="eastAsia" w:cs="Arial"/>
          <w:sz w:val="20"/>
          <w:szCs w:val="20"/>
          <w:lang w:val="en-US" w:eastAsia="zh-CN"/>
        </w:rPr>
        <w:t xml:space="preserve">or what to be discussed </w:t>
      </w:r>
      <w:r>
        <w:rPr>
          <w:rFonts w:hint="eastAsia" w:eastAsia="宋体" w:cs="Arial"/>
          <w:sz w:val="20"/>
          <w:szCs w:val="20"/>
          <w:lang w:val="en-US" w:eastAsia="zh-CN"/>
        </w:rPr>
        <w:t>in basket WID approach at this stage, it seems RAN4 will introduce tables to specify which band combination can use downlink carrier switching method</w:t>
      </w:r>
      <w:r>
        <w:rPr>
          <w:rFonts w:hint="eastAsia" w:cs="Arial"/>
          <w:sz w:val="20"/>
          <w:szCs w:val="20"/>
          <w:lang w:val="en-US" w:eastAsia="zh-CN"/>
        </w:rPr>
        <w:t xml:space="preserve"> via basket WID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. If so, it will cause specification cumbersome if the downlink carrier switching method is defined as band combination manner.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宋体" w:cs="Arial"/>
          <w:sz w:val="20"/>
          <w:szCs w:val="20"/>
          <w:lang w:val="en-US" w:eastAsia="zh-CN"/>
        </w:rPr>
      </w:pPr>
      <w:r>
        <w:rPr>
          <w:rFonts w:hint="eastAsia" w:eastAsia="宋体" w:cs="Arial"/>
          <w:sz w:val="20"/>
          <w:szCs w:val="20"/>
          <w:lang w:val="en-US" w:eastAsia="zh-CN"/>
        </w:rPr>
        <w:t xml:space="preserve">Actually </w:t>
      </w:r>
      <w:r>
        <w:rPr>
          <w:rFonts w:hint="eastAsia" w:cs="Arial"/>
          <w:sz w:val="20"/>
          <w:szCs w:val="20"/>
          <w:lang w:val="en-US" w:eastAsia="zh-CN"/>
        </w:rPr>
        <w:t xml:space="preserve">whether to use </w:t>
      </w:r>
      <w:r>
        <w:rPr>
          <w:rFonts w:hint="eastAsia" w:eastAsia="宋体" w:cs="Arial"/>
          <w:sz w:val="20"/>
          <w:szCs w:val="20"/>
          <w:lang w:val="en-US" w:eastAsia="zh-CN"/>
        </w:rPr>
        <w:t>basket WID approach</w:t>
      </w:r>
      <w:r>
        <w:rPr>
          <w:rFonts w:hint="eastAsia" w:cs="Arial"/>
          <w:sz w:val="20"/>
          <w:szCs w:val="20"/>
          <w:lang w:val="en-US" w:eastAsia="zh-CN"/>
        </w:rPr>
        <w:t xml:space="preserve"> to introduce additional band combination was also discussed in Rel-18 3/4 bands T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x switching discussion. But in the end, no basket WID approach is introduced for 3/4 bands Tx switching since it will be subjected to basket WID procedure/guidance, which needs at least 3 months delay when operator request it, and also it will increase RAN4 workload. Instead it depends on whether the switching capability is present for a certain band </w:t>
      </w:r>
      <w:r>
        <w:rPr>
          <w:rFonts w:hint="eastAsia" w:cs="Arial"/>
          <w:sz w:val="20"/>
          <w:szCs w:val="20"/>
          <w:lang w:val="en-US" w:eastAsia="zh-CN"/>
        </w:rPr>
        <w:t>configuration</w:t>
      </w:r>
      <w:r>
        <w:rPr>
          <w:rFonts w:hint="eastAsia" w:eastAsia="宋体" w:cs="Arial"/>
          <w:sz w:val="20"/>
          <w:szCs w:val="20"/>
          <w:lang w:val="en-US" w:eastAsia="zh-CN"/>
        </w:rPr>
        <w:t>.</w:t>
      </w:r>
      <w:r>
        <w:rPr>
          <w:rFonts w:hint="eastAsia" w:cs="Arial"/>
          <w:sz w:val="20"/>
          <w:szCs w:val="20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Arial"/>
          <w:sz w:val="20"/>
          <w:szCs w:val="20"/>
          <w:lang w:val="en-US" w:eastAsia="zh-CN"/>
        </w:rPr>
      </w:pPr>
      <w:r>
        <w:rPr>
          <w:rFonts w:hint="eastAsia" w:cs="Arial"/>
          <w:sz w:val="20"/>
          <w:szCs w:val="20"/>
          <w:lang w:val="en-US" w:eastAsia="zh-CN"/>
        </w:rPr>
        <w:t xml:space="preserve">For </w:t>
      </w:r>
      <w:r>
        <w:rPr>
          <w:rFonts w:hint="eastAsia" w:eastAsia="宋体" w:cs="Arial"/>
          <w:sz w:val="20"/>
          <w:szCs w:val="20"/>
          <w:lang w:val="en-US" w:eastAsia="zh-CN"/>
        </w:rPr>
        <w:t>downlink carrier switching</w:t>
      </w:r>
      <w:r>
        <w:rPr>
          <w:rFonts w:hint="eastAsia" w:cs="Arial"/>
          <w:sz w:val="20"/>
          <w:szCs w:val="20"/>
          <w:lang w:val="en-US" w:eastAsia="zh-CN"/>
        </w:rPr>
        <w:t xml:space="preserve">, we think the same approach should be adopted, which is the band configuration which can be enabled </w:t>
      </w:r>
      <w:r>
        <w:rPr>
          <w:color w:val="auto"/>
          <w:sz w:val="20"/>
          <w:szCs w:val="20"/>
        </w:rPr>
        <w:t>low NR band carrier aggregation via switching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capability </w:t>
      </w:r>
      <w:r>
        <w:rPr>
          <w:rFonts w:hint="eastAsia" w:cs="Arial"/>
          <w:sz w:val="20"/>
          <w:szCs w:val="20"/>
          <w:lang w:val="en-US" w:eastAsia="zh-CN"/>
        </w:rPr>
        <w:t>is the subset of the existing band configurations which are introduced by normal PC3/HPUE/SUL band basket WIDs. Otherwise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, it seems the work for basket WID approach for </w:t>
      </w:r>
      <w:r>
        <w:rPr>
          <w:color w:val="auto"/>
          <w:sz w:val="20"/>
          <w:szCs w:val="20"/>
        </w:rPr>
        <w:t>low NR band carrier aggregation via switching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</w:t>
      </w:r>
      <w:r>
        <w:rPr>
          <w:rFonts w:hint="eastAsia" w:cs="Arial"/>
          <w:sz w:val="20"/>
          <w:szCs w:val="20"/>
          <w:lang w:val="en-US" w:eastAsia="zh-CN"/>
        </w:rPr>
        <w:t xml:space="preserve">would overlap/conflict with the normal PC3/HPUE basket WID since the MSD work may be needed if a brand new band configuration is introduced (means this configuration is not introduced via normal basket WID) via </w:t>
      </w:r>
      <w:r>
        <w:rPr>
          <w:rFonts w:hint="eastAsia" w:eastAsia="宋体" w:cs="Arial"/>
          <w:sz w:val="20"/>
          <w:szCs w:val="20"/>
          <w:lang w:val="en-US" w:eastAsia="zh-CN"/>
        </w:rPr>
        <w:t>carrier switching</w:t>
      </w:r>
      <w:r>
        <w:rPr>
          <w:rFonts w:hint="eastAsia" w:cs="Arial"/>
          <w:sz w:val="20"/>
          <w:szCs w:val="20"/>
          <w:lang w:val="en-US" w:eastAsia="zh-CN"/>
        </w:rPr>
        <w:t xml:space="preserve"> </w:t>
      </w:r>
      <w:r>
        <w:rPr>
          <w:rFonts w:hint="eastAsia" w:eastAsia="宋体" w:cs="Arial"/>
          <w:sz w:val="20"/>
          <w:szCs w:val="20"/>
          <w:lang w:val="en-US" w:eastAsia="zh-CN"/>
        </w:rPr>
        <w:t>basket WID</w:t>
      </w:r>
      <w:r>
        <w:rPr>
          <w:rFonts w:hint="eastAsia" w:cs="Arial"/>
          <w:sz w:val="20"/>
          <w:szCs w:val="20"/>
          <w:lang w:val="en-US" w:eastAsia="zh-CN"/>
        </w:rPr>
        <w:t>. In general, such MSD work is discussed in the normal PC3/HPUE basket WID.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宋体" w:cs="Arial"/>
          <w:sz w:val="20"/>
          <w:szCs w:val="20"/>
          <w:lang w:val="en-US" w:eastAsia="zh-CN"/>
        </w:rPr>
      </w:pPr>
      <w:r>
        <w:rPr>
          <w:rFonts w:hint="eastAsia" w:cs="Arial"/>
          <w:sz w:val="20"/>
          <w:szCs w:val="20"/>
          <w:lang w:val="en-US" w:eastAsia="zh-CN"/>
        </w:rPr>
        <w:t xml:space="preserve">Moreover, when downlink carrier switching happens, whether the UL </w:t>
      </w:r>
      <w:r>
        <w:rPr>
          <w:sz w:val="20"/>
          <w:szCs w:val="20"/>
        </w:rPr>
        <w:t>interruption</w:t>
      </w:r>
      <w:r>
        <w:rPr>
          <w:rFonts w:hint="eastAsia"/>
          <w:sz w:val="20"/>
          <w:szCs w:val="20"/>
          <w:lang w:val="en-US" w:eastAsia="zh-CN"/>
        </w:rPr>
        <w:t xml:space="preserve"> is allowed should be defined per band combination.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Arial"/>
          <w:sz w:val="20"/>
          <w:szCs w:val="20"/>
          <w:lang w:val="en-US" w:eastAsia="zh-CN"/>
        </w:rPr>
      </w:pPr>
      <w:r>
        <w:rPr>
          <w:rFonts w:hint="eastAsia" w:cs="Arial"/>
          <w:sz w:val="20"/>
          <w:szCs w:val="20"/>
          <w:lang w:val="en-US" w:eastAsia="zh-CN"/>
        </w:rPr>
        <w:t xml:space="preserve">Therefore, we think RAN4 should try to define generic </w:t>
      </w:r>
      <w:r>
        <w:rPr>
          <w:color w:val="auto"/>
          <w:sz w:val="20"/>
          <w:szCs w:val="20"/>
        </w:rPr>
        <w:t>low NR band carrier aggregation via switching</w:t>
      </w:r>
      <w:r>
        <w:rPr>
          <w:rFonts w:hint="eastAsia" w:cs="Arial"/>
          <w:sz w:val="20"/>
          <w:szCs w:val="20"/>
          <w:lang w:val="en-US" w:eastAsia="zh-CN"/>
        </w:rPr>
        <w:t xml:space="preserve"> requirements for all the band combinations, rather than defining band combination specified requirements.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等线" w:cs="Times New Roman"/>
          <w:b/>
          <w:bCs/>
          <w:sz w:val="20"/>
          <w:szCs w:val="20"/>
          <w:lang w:val="en-US" w:eastAsia="zh-CN"/>
        </w:rPr>
      </w:pPr>
      <w:r>
        <w:rPr>
          <w:rFonts w:hint="eastAsia" w:eastAsia="等线" w:cs="Times New Roman"/>
          <w:b/>
          <w:bCs/>
          <w:sz w:val="20"/>
          <w:szCs w:val="20"/>
          <w:lang w:val="en-US" w:eastAsia="zh-CN"/>
        </w:rPr>
        <w:t xml:space="preserve">Observation 2. No band combination tables for Tx switching are included in the spec, instead it depends on whether the switching capability is present for a certain band combination.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b/>
          <w:bCs/>
          <w:sz w:val="20"/>
          <w:szCs w:val="20"/>
          <w:lang w:val="en-US" w:eastAsia="zh-CN" w:bidi="ar-SA"/>
        </w:rPr>
        <w:t xml:space="preserve">Proposal 4: RAN4 should try to define generic low NR band carrier aggregation via switching requirements, rather than band combination specified requirements. </w:t>
      </w:r>
    </w:p>
    <w:bookmarkEnd w:id="9"/>
    <w:bookmarkEnd w:id="10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Cs/>
          <w:kern w:val="0"/>
          <w:sz w:val="20"/>
          <w:szCs w:val="20"/>
          <w:highlight w:val="none"/>
          <w:lang w:val="en-US" w:eastAsia="zh-CN"/>
        </w:rPr>
      </w:pPr>
      <w:r>
        <w:rPr>
          <w:kern w:val="0"/>
          <w:sz w:val="20"/>
          <w:szCs w:val="20"/>
          <w:highlight w:val="none"/>
        </w:rPr>
        <w:t xml:space="preserve">In this contribution,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we give some further discussion on the downlink carrier switching to enable low-low band CA band combination.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The observations, proposals and conclusions are: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等线" w:cs="Times New Roman"/>
          <w:b/>
          <w:bCs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b/>
          <w:bCs/>
          <w:sz w:val="20"/>
          <w:szCs w:val="20"/>
          <w:lang w:val="en-US" w:eastAsia="zh-CN" w:bidi="ar-SA"/>
        </w:rPr>
        <w:t>Observation 1.There is no need to consider the downlink carrier switching for separated antennas implementations for low-low CA band combination.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等线" w:cs="Times New Roman"/>
          <w:b/>
          <w:bCs/>
          <w:sz w:val="20"/>
          <w:szCs w:val="20"/>
          <w:lang w:val="en-US" w:eastAsia="zh-CN"/>
        </w:rPr>
      </w:pPr>
      <w:r>
        <w:rPr>
          <w:rFonts w:hint="eastAsia" w:eastAsia="等线" w:cs="Times New Roman"/>
          <w:b/>
          <w:bCs/>
          <w:sz w:val="20"/>
          <w:szCs w:val="20"/>
          <w:lang w:val="en-US" w:eastAsia="zh-CN"/>
        </w:rPr>
        <w:t xml:space="preserve">Observation 2. No band combination tables for Tx switching are included in the spec, instead it depends on whether the switching capability is present for a certain band combination.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等线" w:cs="Times New Roman"/>
          <w:b/>
          <w:bCs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b/>
          <w:bCs/>
          <w:sz w:val="20"/>
          <w:szCs w:val="20"/>
          <w:lang w:val="en-US" w:eastAsia="zh-CN" w:bidi="ar-SA"/>
        </w:rPr>
        <w:t>Proposal 1. Only switchedDL option can be considered for low-low CA downlink carrier switching in this WID.</w:t>
      </w:r>
    </w:p>
    <w:p>
      <w:pPr>
        <w:pStyle w:val="2"/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等线" w:cs="Times New Roman"/>
          <w:b/>
          <w:bCs/>
          <w:kern w:val="2"/>
          <w:sz w:val="20"/>
          <w:szCs w:val="20"/>
          <w:lang w:val="en-US" w:eastAsia="zh-CN" w:bidi="ar-SA"/>
        </w:rPr>
        <w:t>Proposal 2. Specify on-&gt;off time mask for switching from FDD to SDL carrier and specify off-&gt;on time mask for switching from SDL to FDD carrier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等线" w:cs="Times New Roman"/>
          <w:b/>
          <w:bCs/>
          <w:sz w:val="20"/>
          <w:szCs w:val="20"/>
          <w:lang w:val="en-US" w:eastAsia="zh-CN" w:bidi="ar-SA"/>
        </w:rPr>
      </w:pP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Proposal 3. The </w:t>
      </w:r>
      <w:r>
        <w:rPr>
          <w:rFonts w:eastAsiaTheme="minorEastAsia"/>
          <w:b/>
          <w:bCs/>
          <w:sz w:val="20"/>
          <w:szCs w:val="20"/>
          <w:lang w:eastAsia="zh-CN"/>
        </w:rPr>
        <w:t xml:space="preserve">time mask 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for switching from FDD carrier to SDL carrier </w:t>
      </w:r>
      <w:r>
        <w:rPr>
          <w:rFonts w:hint="eastAsia" w:eastAsia="等线"/>
          <w:b/>
          <w:bCs/>
          <w:sz w:val="20"/>
          <w:szCs w:val="20"/>
          <w:lang w:val="en-US" w:eastAsia="zh-CN"/>
        </w:rPr>
        <w:t>should wait</w:t>
      </w:r>
      <w:r>
        <w:rPr>
          <w:rFonts w:hint="eastAsia" w:eastAsia="等线" w:cs="Times New Roman"/>
          <w:b/>
          <w:bCs/>
          <w:sz w:val="20"/>
          <w:szCs w:val="20"/>
          <w:lang w:val="en-US" w:eastAsia="zh-CN" w:bidi="ar-SA"/>
        </w:rPr>
        <w:t xml:space="preserve"> for RAN1 consensus of switching pattern design.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eastAsia="等线" w:cs="Times New Roman"/>
          <w:b/>
          <w:bCs/>
          <w:sz w:val="20"/>
          <w:szCs w:val="20"/>
          <w:lang w:val="en-US" w:eastAsia="zh-CN" w:bidi="ar-SA"/>
        </w:rPr>
        <w:t>Proposal 4: RAN4 should try to define generic low NR band carrier aggregation via switching requirements, rather than band combination specified requirements.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[1] </w:t>
      </w:r>
      <w:r>
        <w:rPr>
          <w:rFonts w:hint="default"/>
          <w:color w:val="auto"/>
          <w:sz w:val="20"/>
          <w:szCs w:val="20"/>
          <w:u w:val="none"/>
          <w:lang w:val="en-US" w:eastAsia="en-GB"/>
        </w:rPr>
        <w:t>R4-2505223</w:t>
      </w:r>
      <w:r>
        <w:rPr>
          <w:rFonts w:hint="eastAsia"/>
          <w:color w:val="auto"/>
          <w:sz w:val="20"/>
          <w:szCs w:val="20"/>
          <w:u w:val="none"/>
          <w:lang w:val="en-US" w:eastAsia="zh-CN"/>
        </w:rPr>
        <w:t xml:space="preserve">, </w:t>
      </w:r>
      <w:r>
        <w:rPr>
          <w:rFonts w:hint="default"/>
          <w:sz w:val="20"/>
          <w:szCs w:val="20"/>
          <w:lang w:val="en-US" w:eastAsia="en-GB"/>
        </w:rPr>
        <w:t>WF on UE RF requirements for LB CA via switching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[2] </w:t>
      </w:r>
      <w:r>
        <w:rPr>
          <w:rFonts w:hint="default"/>
          <w:sz w:val="20"/>
          <w:szCs w:val="20"/>
          <w:lang w:val="en-US" w:eastAsia="en-GB"/>
        </w:rPr>
        <w:t>R4-25039</w:t>
      </w:r>
      <w:r>
        <w:rPr>
          <w:rFonts w:hint="default"/>
          <w:sz w:val="20"/>
          <w:szCs w:val="20"/>
          <w:lang w:val="en-US" w:eastAsia="zh-CN"/>
        </w:rPr>
        <w:t>6</w:t>
      </w:r>
      <w:r>
        <w:rPr>
          <w:rFonts w:hint="eastAsia"/>
          <w:sz w:val="20"/>
          <w:szCs w:val="20"/>
          <w:lang w:val="en-US" w:eastAsia="zh-CN"/>
        </w:rPr>
        <w:t>2, View on low-low band CA via switching, ZTE Corporation, Sanechips,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default"/>
          <w:sz w:val="20"/>
          <w:szCs w:val="20"/>
          <w:lang w:val="en-US" w:eastAsia="zh-TW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8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8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8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7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3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4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5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0A13025"/>
    <w:multiLevelType w:val="multilevel"/>
    <w:tmpl w:val="10A1302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B146025"/>
    <w:multiLevelType w:val="multilevel"/>
    <w:tmpl w:val="2B14602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4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3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6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7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62B"/>
    <w:rsid w:val="00026F05"/>
    <w:rsid w:val="0002708F"/>
    <w:rsid w:val="00055E90"/>
    <w:rsid w:val="0006398D"/>
    <w:rsid w:val="00066A99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331A"/>
    <w:rsid w:val="000F4E67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37A6E"/>
    <w:rsid w:val="00237CA9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0CB6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58AB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0F6B"/>
    <w:rsid w:val="004D7D6B"/>
    <w:rsid w:val="004E2C18"/>
    <w:rsid w:val="004E6E8D"/>
    <w:rsid w:val="004E7D56"/>
    <w:rsid w:val="004F40F6"/>
    <w:rsid w:val="004F5309"/>
    <w:rsid w:val="005060AB"/>
    <w:rsid w:val="0050630E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055BA"/>
    <w:rsid w:val="00610622"/>
    <w:rsid w:val="00610E84"/>
    <w:rsid w:val="00613622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06AF9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D346C"/>
    <w:rsid w:val="008E23F2"/>
    <w:rsid w:val="0090159D"/>
    <w:rsid w:val="00902259"/>
    <w:rsid w:val="009211BF"/>
    <w:rsid w:val="00923381"/>
    <w:rsid w:val="0092386E"/>
    <w:rsid w:val="0092667C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C779F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C560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768BC"/>
    <w:rsid w:val="00B92BB4"/>
    <w:rsid w:val="00BB0A84"/>
    <w:rsid w:val="00BB7052"/>
    <w:rsid w:val="00BC2AB7"/>
    <w:rsid w:val="00BE107C"/>
    <w:rsid w:val="00BE1368"/>
    <w:rsid w:val="00BF009E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67499"/>
    <w:rsid w:val="00C75C5D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DF68AA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1646D7"/>
    <w:rsid w:val="011A0B49"/>
    <w:rsid w:val="01412F9D"/>
    <w:rsid w:val="01414174"/>
    <w:rsid w:val="0145564B"/>
    <w:rsid w:val="014A0623"/>
    <w:rsid w:val="014C67F3"/>
    <w:rsid w:val="01536583"/>
    <w:rsid w:val="01572FC3"/>
    <w:rsid w:val="015D5596"/>
    <w:rsid w:val="016C6BB5"/>
    <w:rsid w:val="017244FC"/>
    <w:rsid w:val="01764F01"/>
    <w:rsid w:val="01773BF8"/>
    <w:rsid w:val="01797025"/>
    <w:rsid w:val="017D1AFD"/>
    <w:rsid w:val="018107C9"/>
    <w:rsid w:val="01854FE9"/>
    <w:rsid w:val="018E0802"/>
    <w:rsid w:val="018E207B"/>
    <w:rsid w:val="0190283E"/>
    <w:rsid w:val="019833BF"/>
    <w:rsid w:val="019D155B"/>
    <w:rsid w:val="01A428BB"/>
    <w:rsid w:val="01AA53CD"/>
    <w:rsid w:val="01AE307F"/>
    <w:rsid w:val="01B35169"/>
    <w:rsid w:val="01BA1962"/>
    <w:rsid w:val="01C00B7B"/>
    <w:rsid w:val="01C43576"/>
    <w:rsid w:val="01C940D5"/>
    <w:rsid w:val="01CA5EE6"/>
    <w:rsid w:val="01D441F8"/>
    <w:rsid w:val="01D46B8D"/>
    <w:rsid w:val="01D866D8"/>
    <w:rsid w:val="01EE2663"/>
    <w:rsid w:val="01FB366B"/>
    <w:rsid w:val="01FD3930"/>
    <w:rsid w:val="01FE3350"/>
    <w:rsid w:val="02036722"/>
    <w:rsid w:val="02102371"/>
    <w:rsid w:val="021B7C87"/>
    <w:rsid w:val="021E522C"/>
    <w:rsid w:val="022D4A6E"/>
    <w:rsid w:val="023B0A39"/>
    <w:rsid w:val="023C78A7"/>
    <w:rsid w:val="02444B7E"/>
    <w:rsid w:val="024929E9"/>
    <w:rsid w:val="024B023C"/>
    <w:rsid w:val="024D6B6A"/>
    <w:rsid w:val="02510B5E"/>
    <w:rsid w:val="02566C17"/>
    <w:rsid w:val="025F524E"/>
    <w:rsid w:val="02610521"/>
    <w:rsid w:val="02650658"/>
    <w:rsid w:val="027275A1"/>
    <w:rsid w:val="027371D9"/>
    <w:rsid w:val="0276366F"/>
    <w:rsid w:val="027F646E"/>
    <w:rsid w:val="028A7312"/>
    <w:rsid w:val="028F64C2"/>
    <w:rsid w:val="028F6D4C"/>
    <w:rsid w:val="0291553A"/>
    <w:rsid w:val="029A69A7"/>
    <w:rsid w:val="029B04E7"/>
    <w:rsid w:val="02A525E0"/>
    <w:rsid w:val="02A64DF3"/>
    <w:rsid w:val="02A95EE2"/>
    <w:rsid w:val="02BB5A8C"/>
    <w:rsid w:val="02C2332C"/>
    <w:rsid w:val="02CD2724"/>
    <w:rsid w:val="02DC3F9C"/>
    <w:rsid w:val="02DC73AA"/>
    <w:rsid w:val="02E015BB"/>
    <w:rsid w:val="02EC257A"/>
    <w:rsid w:val="02F12CE4"/>
    <w:rsid w:val="02F87E96"/>
    <w:rsid w:val="03073BDC"/>
    <w:rsid w:val="030B0647"/>
    <w:rsid w:val="030C40C1"/>
    <w:rsid w:val="031C15A9"/>
    <w:rsid w:val="03206AD1"/>
    <w:rsid w:val="03362153"/>
    <w:rsid w:val="03445E8F"/>
    <w:rsid w:val="035154D3"/>
    <w:rsid w:val="03527C38"/>
    <w:rsid w:val="035402E6"/>
    <w:rsid w:val="0356746F"/>
    <w:rsid w:val="03692538"/>
    <w:rsid w:val="03746F87"/>
    <w:rsid w:val="037C4E46"/>
    <w:rsid w:val="03814F5B"/>
    <w:rsid w:val="038B3141"/>
    <w:rsid w:val="03966EAF"/>
    <w:rsid w:val="039A3139"/>
    <w:rsid w:val="03A73C79"/>
    <w:rsid w:val="03A77DFA"/>
    <w:rsid w:val="03AB0B27"/>
    <w:rsid w:val="03B339B1"/>
    <w:rsid w:val="03C05350"/>
    <w:rsid w:val="03C1287B"/>
    <w:rsid w:val="03C36B0E"/>
    <w:rsid w:val="03CF67FA"/>
    <w:rsid w:val="03D047A4"/>
    <w:rsid w:val="03DF17D9"/>
    <w:rsid w:val="03E358F3"/>
    <w:rsid w:val="03E84DE8"/>
    <w:rsid w:val="03F4380B"/>
    <w:rsid w:val="04030035"/>
    <w:rsid w:val="040A1194"/>
    <w:rsid w:val="04251A4C"/>
    <w:rsid w:val="042B423D"/>
    <w:rsid w:val="042D2E97"/>
    <w:rsid w:val="04305EA0"/>
    <w:rsid w:val="043865BF"/>
    <w:rsid w:val="044657E5"/>
    <w:rsid w:val="044C78D8"/>
    <w:rsid w:val="04537B11"/>
    <w:rsid w:val="0457028C"/>
    <w:rsid w:val="04684A28"/>
    <w:rsid w:val="04730C2E"/>
    <w:rsid w:val="04782230"/>
    <w:rsid w:val="0479507E"/>
    <w:rsid w:val="047F22CE"/>
    <w:rsid w:val="04820023"/>
    <w:rsid w:val="04894975"/>
    <w:rsid w:val="048D0C34"/>
    <w:rsid w:val="04B14B03"/>
    <w:rsid w:val="04C21954"/>
    <w:rsid w:val="04DA1A87"/>
    <w:rsid w:val="04DE2DA3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C5454"/>
    <w:rsid w:val="05705DB7"/>
    <w:rsid w:val="05742B1B"/>
    <w:rsid w:val="05770104"/>
    <w:rsid w:val="05791DBB"/>
    <w:rsid w:val="057D1D66"/>
    <w:rsid w:val="059A6453"/>
    <w:rsid w:val="059D265F"/>
    <w:rsid w:val="05B16FE4"/>
    <w:rsid w:val="05B2756C"/>
    <w:rsid w:val="05B421E3"/>
    <w:rsid w:val="05B92EC1"/>
    <w:rsid w:val="05D03328"/>
    <w:rsid w:val="05E078B3"/>
    <w:rsid w:val="05E84F40"/>
    <w:rsid w:val="0601277E"/>
    <w:rsid w:val="060C5AED"/>
    <w:rsid w:val="06103146"/>
    <w:rsid w:val="06107BD8"/>
    <w:rsid w:val="06172561"/>
    <w:rsid w:val="06190837"/>
    <w:rsid w:val="061E54DA"/>
    <w:rsid w:val="061E5E22"/>
    <w:rsid w:val="06212672"/>
    <w:rsid w:val="06254DA5"/>
    <w:rsid w:val="06415503"/>
    <w:rsid w:val="06460B91"/>
    <w:rsid w:val="0654187C"/>
    <w:rsid w:val="065475DE"/>
    <w:rsid w:val="065D586C"/>
    <w:rsid w:val="06725291"/>
    <w:rsid w:val="06760DBE"/>
    <w:rsid w:val="067C28D6"/>
    <w:rsid w:val="068E06BC"/>
    <w:rsid w:val="069201CB"/>
    <w:rsid w:val="06A03E91"/>
    <w:rsid w:val="06A27E98"/>
    <w:rsid w:val="06AB7C30"/>
    <w:rsid w:val="06B741D9"/>
    <w:rsid w:val="06C457B6"/>
    <w:rsid w:val="06C55827"/>
    <w:rsid w:val="06CD4A70"/>
    <w:rsid w:val="06DF4C13"/>
    <w:rsid w:val="06E22BD9"/>
    <w:rsid w:val="06E7678C"/>
    <w:rsid w:val="06EC4A95"/>
    <w:rsid w:val="06F42A88"/>
    <w:rsid w:val="06F801C0"/>
    <w:rsid w:val="06F90600"/>
    <w:rsid w:val="06FB38AA"/>
    <w:rsid w:val="070F28B2"/>
    <w:rsid w:val="071C13A8"/>
    <w:rsid w:val="073D143C"/>
    <w:rsid w:val="07406D6C"/>
    <w:rsid w:val="07472F26"/>
    <w:rsid w:val="074855FD"/>
    <w:rsid w:val="074A1304"/>
    <w:rsid w:val="07627CA0"/>
    <w:rsid w:val="076319C4"/>
    <w:rsid w:val="076568B7"/>
    <w:rsid w:val="07691233"/>
    <w:rsid w:val="076C2757"/>
    <w:rsid w:val="077241E3"/>
    <w:rsid w:val="078C5933"/>
    <w:rsid w:val="078D336C"/>
    <w:rsid w:val="078D6829"/>
    <w:rsid w:val="07971B3F"/>
    <w:rsid w:val="07983294"/>
    <w:rsid w:val="07A5677E"/>
    <w:rsid w:val="07B51934"/>
    <w:rsid w:val="07B9290D"/>
    <w:rsid w:val="07BB64F5"/>
    <w:rsid w:val="07BE52B9"/>
    <w:rsid w:val="07D36E39"/>
    <w:rsid w:val="07D57946"/>
    <w:rsid w:val="07ED524D"/>
    <w:rsid w:val="080124E3"/>
    <w:rsid w:val="080C7FA0"/>
    <w:rsid w:val="081E4B5F"/>
    <w:rsid w:val="08341060"/>
    <w:rsid w:val="0850455A"/>
    <w:rsid w:val="08572CF7"/>
    <w:rsid w:val="085C7468"/>
    <w:rsid w:val="08610ACC"/>
    <w:rsid w:val="086F6B40"/>
    <w:rsid w:val="08787FF0"/>
    <w:rsid w:val="08870923"/>
    <w:rsid w:val="0889002B"/>
    <w:rsid w:val="088E1335"/>
    <w:rsid w:val="08A44DA6"/>
    <w:rsid w:val="08A65D3D"/>
    <w:rsid w:val="08AA245A"/>
    <w:rsid w:val="08B96F5C"/>
    <w:rsid w:val="08BA6E24"/>
    <w:rsid w:val="08C447C3"/>
    <w:rsid w:val="08C562FD"/>
    <w:rsid w:val="08CA27B1"/>
    <w:rsid w:val="08CF6F01"/>
    <w:rsid w:val="08D5688C"/>
    <w:rsid w:val="08E916DF"/>
    <w:rsid w:val="08EA2FAE"/>
    <w:rsid w:val="08FC0AA5"/>
    <w:rsid w:val="090165D1"/>
    <w:rsid w:val="09066782"/>
    <w:rsid w:val="090E7D25"/>
    <w:rsid w:val="09127E2C"/>
    <w:rsid w:val="091C6B81"/>
    <w:rsid w:val="09306537"/>
    <w:rsid w:val="09355076"/>
    <w:rsid w:val="09392119"/>
    <w:rsid w:val="09445E95"/>
    <w:rsid w:val="09543B3B"/>
    <w:rsid w:val="09600FBD"/>
    <w:rsid w:val="096D5B06"/>
    <w:rsid w:val="096F346B"/>
    <w:rsid w:val="098143BC"/>
    <w:rsid w:val="099937EB"/>
    <w:rsid w:val="09B236ED"/>
    <w:rsid w:val="09B3627A"/>
    <w:rsid w:val="09BD407A"/>
    <w:rsid w:val="09CE25B1"/>
    <w:rsid w:val="09DA0E26"/>
    <w:rsid w:val="09E55691"/>
    <w:rsid w:val="09F50235"/>
    <w:rsid w:val="09F67CD5"/>
    <w:rsid w:val="0A0835C8"/>
    <w:rsid w:val="0A117603"/>
    <w:rsid w:val="0A145721"/>
    <w:rsid w:val="0A1F5AD1"/>
    <w:rsid w:val="0A3708FF"/>
    <w:rsid w:val="0A376B34"/>
    <w:rsid w:val="0A3A5FEA"/>
    <w:rsid w:val="0A3B01F9"/>
    <w:rsid w:val="0A3F0488"/>
    <w:rsid w:val="0A3F2600"/>
    <w:rsid w:val="0A402A36"/>
    <w:rsid w:val="0A4E6531"/>
    <w:rsid w:val="0A646846"/>
    <w:rsid w:val="0A721B30"/>
    <w:rsid w:val="0A733643"/>
    <w:rsid w:val="0A7871E0"/>
    <w:rsid w:val="0A927E67"/>
    <w:rsid w:val="0A9B1B16"/>
    <w:rsid w:val="0A9D2D7E"/>
    <w:rsid w:val="0A9E3D3D"/>
    <w:rsid w:val="0AA077E0"/>
    <w:rsid w:val="0AC0212C"/>
    <w:rsid w:val="0ACB2C6F"/>
    <w:rsid w:val="0ACE7EE0"/>
    <w:rsid w:val="0AD24293"/>
    <w:rsid w:val="0AD542C1"/>
    <w:rsid w:val="0AD862F0"/>
    <w:rsid w:val="0ADD5A20"/>
    <w:rsid w:val="0ADD764B"/>
    <w:rsid w:val="0AE10FD9"/>
    <w:rsid w:val="0AF13898"/>
    <w:rsid w:val="0AFB3228"/>
    <w:rsid w:val="0AFC6C07"/>
    <w:rsid w:val="0B062019"/>
    <w:rsid w:val="0B0F025C"/>
    <w:rsid w:val="0B0F0DA6"/>
    <w:rsid w:val="0B13439A"/>
    <w:rsid w:val="0B1A6333"/>
    <w:rsid w:val="0B20514C"/>
    <w:rsid w:val="0B2713F4"/>
    <w:rsid w:val="0B3D701F"/>
    <w:rsid w:val="0B3E7DD7"/>
    <w:rsid w:val="0B514A22"/>
    <w:rsid w:val="0B561995"/>
    <w:rsid w:val="0B5C2C2A"/>
    <w:rsid w:val="0B665E0A"/>
    <w:rsid w:val="0B8436DD"/>
    <w:rsid w:val="0B847B39"/>
    <w:rsid w:val="0B9E71DF"/>
    <w:rsid w:val="0BB318ED"/>
    <w:rsid w:val="0BB524B8"/>
    <w:rsid w:val="0BC22C8E"/>
    <w:rsid w:val="0BC63DB2"/>
    <w:rsid w:val="0BCC4043"/>
    <w:rsid w:val="0BCC4B6A"/>
    <w:rsid w:val="0BEB51A2"/>
    <w:rsid w:val="0BFF2578"/>
    <w:rsid w:val="0C0F29E1"/>
    <w:rsid w:val="0C1428F7"/>
    <w:rsid w:val="0C1D11D3"/>
    <w:rsid w:val="0C1E494F"/>
    <w:rsid w:val="0C3427D0"/>
    <w:rsid w:val="0C355A20"/>
    <w:rsid w:val="0C4303AB"/>
    <w:rsid w:val="0C43327D"/>
    <w:rsid w:val="0C441A2C"/>
    <w:rsid w:val="0C4426AF"/>
    <w:rsid w:val="0C4577EC"/>
    <w:rsid w:val="0C4F1BEB"/>
    <w:rsid w:val="0C526355"/>
    <w:rsid w:val="0C572706"/>
    <w:rsid w:val="0C5C6396"/>
    <w:rsid w:val="0C6322E0"/>
    <w:rsid w:val="0C650A20"/>
    <w:rsid w:val="0C6E11B8"/>
    <w:rsid w:val="0C723CD1"/>
    <w:rsid w:val="0C9A0AA5"/>
    <w:rsid w:val="0CA46DE6"/>
    <w:rsid w:val="0CA5404F"/>
    <w:rsid w:val="0CA6624D"/>
    <w:rsid w:val="0CAD5BD8"/>
    <w:rsid w:val="0CB66F5F"/>
    <w:rsid w:val="0CB752EB"/>
    <w:rsid w:val="0CB94808"/>
    <w:rsid w:val="0CBD16F5"/>
    <w:rsid w:val="0CC37BC2"/>
    <w:rsid w:val="0CD87ABE"/>
    <w:rsid w:val="0CE26C42"/>
    <w:rsid w:val="0CE76B48"/>
    <w:rsid w:val="0CF62FDB"/>
    <w:rsid w:val="0CFB523A"/>
    <w:rsid w:val="0CFE37EB"/>
    <w:rsid w:val="0D013BBD"/>
    <w:rsid w:val="0D226E9B"/>
    <w:rsid w:val="0D277AA0"/>
    <w:rsid w:val="0D3F09CA"/>
    <w:rsid w:val="0D4B44A1"/>
    <w:rsid w:val="0D5A3E80"/>
    <w:rsid w:val="0D6851E9"/>
    <w:rsid w:val="0D6E2620"/>
    <w:rsid w:val="0D704E21"/>
    <w:rsid w:val="0D7F48FE"/>
    <w:rsid w:val="0D811433"/>
    <w:rsid w:val="0D883C88"/>
    <w:rsid w:val="0D92310D"/>
    <w:rsid w:val="0D960D3E"/>
    <w:rsid w:val="0D966BF7"/>
    <w:rsid w:val="0D9E3501"/>
    <w:rsid w:val="0DBC1618"/>
    <w:rsid w:val="0DC37A73"/>
    <w:rsid w:val="0DCC3AE8"/>
    <w:rsid w:val="0DD87842"/>
    <w:rsid w:val="0DF202E1"/>
    <w:rsid w:val="0DF53CE3"/>
    <w:rsid w:val="0E0961C5"/>
    <w:rsid w:val="0E131C69"/>
    <w:rsid w:val="0E147898"/>
    <w:rsid w:val="0E1F0038"/>
    <w:rsid w:val="0E234053"/>
    <w:rsid w:val="0E273C25"/>
    <w:rsid w:val="0E2F216B"/>
    <w:rsid w:val="0E3352C6"/>
    <w:rsid w:val="0E5369F5"/>
    <w:rsid w:val="0E6271DF"/>
    <w:rsid w:val="0E6B26B6"/>
    <w:rsid w:val="0E6E6955"/>
    <w:rsid w:val="0E81568A"/>
    <w:rsid w:val="0E8813E4"/>
    <w:rsid w:val="0E942250"/>
    <w:rsid w:val="0E963344"/>
    <w:rsid w:val="0E9E6E00"/>
    <w:rsid w:val="0EA40C1C"/>
    <w:rsid w:val="0EB12800"/>
    <w:rsid w:val="0EC1579C"/>
    <w:rsid w:val="0ECB4993"/>
    <w:rsid w:val="0ECD6CC6"/>
    <w:rsid w:val="0ED50DDE"/>
    <w:rsid w:val="0EDC0FE7"/>
    <w:rsid w:val="0EDD1744"/>
    <w:rsid w:val="0EDD5107"/>
    <w:rsid w:val="0EE525BE"/>
    <w:rsid w:val="0EEC6F1D"/>
    <w:rsid w:val="0F103291"/>
    <w:rsid w:val="0F18065D"/>
    <w:rsid w:val="0F1D498B"/>
    <w:rsid w:val="0F2365E1"/>
    <w:rsid w:val="0F337178"/>
    <w:rsid w:val="0F3A1695"/>
    <w:rsid w:val="0F41022A"/>
    <w:rsid w:val="0F4C5227"/>
    <w:rsid w:val="0F565B36"/>
    <w:rsid w:val="0F5F4247"/>
    <w:rsid w:val="0F60682C"/>
    <w:rsid w:val="0F6763D9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21C9C"/>
    <w:rsid w:val="0FD70565"/>
    <w:rsid w:val="0FE54AC9"/>
    <w:rsid w:val="0FEC680C"/>
    <w:rsid w:val="0FFC347A"/>
    <w:rsid w:val="0FFD5040"/>
    <w:rsid w:val="10007AD6"/>
    <w:rsid w:val="10014CF7"/>
    <w:rsid w:val="100E19D0"/>
    <w:rsid w:val="101C4A03"/>
    <w:rsid w:val="101D0C86"/>
    <w:rsid w:val="10240BF3"/>
    <w:rsid w:val="104A023B"/>
    <w:rsid w:val="10505F3B"/>
    <w:rsid w:val="105523FF"/>
    <w:rsid w:val="106D2686"/>
    <w:rsid w:val="106F0E5F"/>
    <w:rsid w:val="107C3E2C"/>
    <w:rsid w:val="107D41AE"/>
    <w:rsid w:val="108C2479"/>
    <w:rsid w:val="109A6911"/>
    <w:rsid w:val="10A81377"/>
    <w:rsid w:val="10B80E65"/>
    <w:rsid w:val="10C02B10"/>
    <w:rsid w:val="10C715C5"/>
    <w:rsid w:val="10D335EF"/>
    <w:rsid w:val="10E746EA"/>
    <w:rsid w:val="10E83FE0"/>
    <w:rsid w:val="10EC3168"/>
    <w:rsid w:val="10F52718"/>
    <w:rsid w:val="11161B98"/>
    <w:rsid w:val="1116627D"/>
    <w:rsid w:val="112F02E7"/>
    <w:rsid w:val="11352B49"/>
    <w:rsid w:val="113C466D"/>
    <w:rsid w:val="114028DC"/>
    <w:rsid w:val="116F1EB0"/>
    <w:rsid w:val="11765ED8"/>
    <w:rsid w:val="117B1D6A"/>
    <w:rsid w:val="117C2D9D"/>
    <w:rsid w:val="117F159E"/>
    <w:rsid w:val="11821DC9"/>
    <w:rsid w:val="118273C5"/>
    <w:rsid w:val="11921373"/>
    <w:rsid w:val="119C45DF"/>
    <w:rsid w:val="119D7849"/>
    <w:rsid w:val="11A61449"/>
    <w:rsid w:val="11C67B8F"/>
    <w:rsid w:val="11D6498E"/>
    <w:rsid w:val="11E57D4F"/>
    <w:rsid w:val="11F92DAB"/>
    <w:rsid w:val="11FC38D5"/>
    <w:rsid w:val="12035CB0"/>
    <w:rsid w:val="120F62A8"/>
    <w:rsid w:val="1210682D"/>
    <w:rsid w:val="121563D9"/>
    <w:rsid w:val="1219391F"/>
    <w:rsid w:val="12240253"/>
    <w:rsid w:val="122449D0"/>
    <w:rsid w:val="12266391"/>
    <w:rsid w:val="122C5C28"/>
    <w:rsid w:val="123800F8"/>
    <w:rsid w:val="123A05DB"/>
    <w:rsid w:val="123F687E"/>
    <w:rsid w:val="124240B9"/>
    <w:rsid w:val="125A117D"/>
    <w:rsid w:val="12680E73"/>
    <w:rsid w:val="12703D53"/>
    <w:rsid w:val="127701EE"/>
    <w:rsid w:val="127E5AA6"/>
    <w:rsid w:val="128071C7"/>
    <w:rsid w:val="12817DA8"/>
    <w:rsid w:val="12853E7C"/>
    <w:rsid w:val="12893E38"/>
    <w:rsid w:val="128B2749"/>
    <w:rsid w:val="12906DAC"/>
    <w:rsid w:val="12976F0D"/>
    <w:rsid w:val="129811DB"/>
    <w:rsid w:val="12AB7A32"/>
    <w:rsid w:val="12BB6535"/>
    <w:rsid w:val="12C54464"/>
    <w:rsid w:val="12C7312B"/>
    <w:rsid w:val="12D048FD"/>
    <w:rsid w:val="12D14417"/>
    <w:rsid w:val="12D22971"/>
    <w:rsid w:val="12D85654"/>
    <w:rsid w:val="12EE5106"/>
    <w:rsid w:val="12FE7BB6"/>
    <w:rsid w:val="13024DF8"/>
    <w:rsid w:val="1307341C"/>
    <w:rsid w:val="130E3629"/>
    <w:rsid w:val="13136909"/>
    <w:rsid w:val="131B39DD"/>
    <w:rsid w:val="13246C2D"/>
    <w:rsid w:val="13283BA4"/>
    <w:rsid w:val="132F5962"/>
    <w:rsid w:val="13332F77"/>
    <w:rsid w:val="13334E1C"/>
    <w:rsid w:val="13346EE4"/>
    <w:rsid w:val="13384952"/>
    <w:rsid w:val="133C549C"/>
    <w:rsid w:val="134C6B75"/>
    <w:rsid w:val="1355107F"/>
    <w:rsid w:val="135D4D2E"/>
    <w:rsid w:val="1361635E"/>
    <w:rsid w:val="1366638D"/>
    <w:rsid w:val="136B6B82"/>
    <w:rsid w:val="136D76E8"/>
    <w:rsid w:val="137266E0"/>
    <w:rsid w:val="1381490C"/>
    <w:rsid w:val="13836796"/>
    <w:rsid w:val="138A301D"/>
    <w:rsid w:val="13995836"/>
    <w:rsid w:val="13AA5FA1"/>
    <w:rsid w:val="13C20262"/>
    <w:rsid w:val="13D011ED"/>
    <w:rsid w:val="13D024B3"/>
    <w:rsid w:val="13D115EF"/>
    <w:rsid w:val="13D86A45"/>
    <w:rsid w:val="13D92D9C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6716C"/>
    <w:rsid w:val="144039D1"/>
    <w:rsid w:val="144E4536"/>
    <w:rsid w:val="1459355A"/>
    <w:rsid w:val="145A74B0"/>
    <w:rsid w:val="145F07C7"/>
    <w:rsid w:val="14691748"/>
    <w:rsid w:val="146C5189"/>
    <w:rsid w:val="147F7C89"/>
    <w:rsid w:val="14816B50"/>
    <w:rsid w:val="148313F4"/>
    <w:rsid w:val="14934F1A"/>
    <w:rsid w:val="149559C4"/>
    <w:rsid w:val="14A759A3"/>
    <w:rsid w:val="14AC0C32"/>
    <w:rsid w:val="14C45576"/>
    <w:rsid w:val="14C76D6C"/>
    <w:rsid w:val="14DA3DA1"/>
    <w:rsid w:val="14E60B42"/>
    <w:rsid w:val="14EA1C4D"/>
    <w:rsid w:val="14F447EE"/>
    <w:rsid w:val="1515004B"/>
    <w:rsid w:val="15166027"/>
    <w:rsid w:val="15207BBA"/>
    <w:rsid w:val="152F4E1B"/>
    <w:rsid w:val="154767F6"/>
    <w:rsid w:val="154D342A"/>
    <w:rsid w:val="1559587F"/>
    <w:rsid w:val="156B4DCD"/>
    <w:rsid w:val="1574662E"/>
    <w:rsid w:val="15751882"/>
    <w:rsid w:val="1575191B"/>
    <w:rsid w:val="157818C6"/>
    <w:rsid w:val="159C0D14"/>
    <w:rsid w:val="159F21A2"/>
    <w:rsid w:val="159F73BB"/>
    <w:rsid w:val="15B03F28"/>
    <w:rsid w:val="15BA015D"/>
    <w:rsid w:val="15BD1EAC"/>
    <w:rsid w:val="15CE57D6"/>
    <w:rsid w:val="15D92CB3"/>
    <w:rsid w:val="15DE29CF"/>
    <w:rsid w:val="15E30A80"/>
    <w:rsid w:val="15EF3E10"/>
    <w:rsid w:val="15F77CD3"/>
    <w:rsid w:val="16053765"/>
    <w:rsid w:val="1608480E"/>
    <w:rsid w:val="161C1C58"/>
    <w:rsid w:val="162C4E62"/>
    <w:rsid w:val="162F7556"/>
    <w:rsid w:val="16382242"/>
    <w:rsid w:val="16413A3A"/>
    <w:rsid w:val="1644500C"/>
    <w:rsid w:val="16461A95"/>
    <w:rsid w:val="16594F06"/>
    <w:rsid w:val="165D4607"/>
    <w:rsid w:val="1663404B"/>
    <w:rsid w:val="166F5E80"/>
    <w:rsid w:val="16766A92"/>
    <w:rsid w:val="167A52A9"/>
    <w:rsid w:val="16866882"/>
    <w:rsid w:val="168805E9"/>
    <w:rsid w:val="168C392F"/>
    <w:rsid w:val="168F69F2"/>
    <w:rsid w:val="16916CB7"/>
    <w:rsid w:val="169C7FDE"/>
    <w:rsid w:val="16A4319F"/>
    <w:rsid w:val="16AC4DDB"/>
    <w:rsid w:val="16AE2FE3"/>
    <w:rsid w:val="16B4400E"/>
    <w:rsid w:val="16BA58CD"/>
    <w:rsid w:val="16BB694C"/>
    <w:rsid w:val="16C739DF"/>
    <w:rsid w:val="16D614D6"/>
    <w:rsid w:val="16DD3B26"/>
    <w:rsid w:val="16EB6E00"/>
    <w:rsid w:val="16F9473B"/>
    <w:rsid w:val="16FD2447"/>
    <w:rsid w:val="1707609C"/>
    <w:rsid w:val="1712339A"/>
    <w:rsid w:val="171B5478"/>
    <w:rsid w:val="171E63FC"/>
    <w:rsid w:val="1722504D"/>
    <w:rsid w:val="17276DF4"/>
    <w:rsid w:val="1738730F"/>
    <w:rsid w:val="173B2DD6"/>
    <w:rsid w:val="17416499"/>
    <w:rsid w:val="17481B81"/>
    <w:rsid w:val="174E2891"/>
    <w:rsid w:val="175007ED"/>
    <w:rsid w:val="17536547"/>
    <w:rsid w:val="17592D5E"/>
    <w:rsid w:val="175A036D"/>
    <w:rsid w:val="176B45C6"/>
    <w:rsid w:val="176C24BA"/>
    <w:rsid w:val="176C447F"/>
    <w:rsid w:val="17761009"/>
    <w:rsid w:val="17875303"/>
    <w:rsid w:val="1793626E"/>
    <w:rsid w:val="17A875F5"/>
    <w:rsid w:val="17B92501"/>
    <w:rsid w:val="17E66DD8"/>
    <w:rsid w:val="17E677E9"/>
    <w:rsid w:val="17E84839"/>
    <w:rsid w:val="17EE1403"/>
    <w:rsid w:val="17F25234"/>
    <w:rsid w:val="17FD061B"/>
    <w:rsid w:val="17FF6314"/>
    <w:rsid w:val="18005F41"/>
    <w:rsid w:val="18025414"/>
    <w:rsid w:val="18171305"/>
    <w:rsid w:val="18334194"/>
    <w:rsid w:val="183E1D37"/>
    <w:rsid w:val="184D0787"/>
    <w:rsid w:val="185D1883"/>
    <w:rsid w:val="18615557"/>
    <w:rsid w:val="18633210"/>
    <w:rsid w:val="18702224"/>
    <w:rsid w:val="18812331"/>
    <w:rsid w:val="18816F1C"/>
    <w:rsid w:val="18853F3E"/>
    <w:rsid w:val="18956393"/>
    <w:rsid w:val="18A8582C"/>
    <w:rsid w:val="18B50543"/>
    <w:rsid w:val="18CD7A02"/>
    <w:rsid w:val="18DB5458"/>
    <w:rsid w:val="18DC65B5"/>
    <w:rsid w:val="18F621ED"/>
    <w:rsid w:val="18FD2F03"/>
    <w:rsid w:val="19001FFC"/>
    <w:rsid w:val="190E2B4A"/>
    <w:rsid w:val="19256D7A"/>
    <w:rsid w:val="19283A3D"/>
    <w:rsid w:val="19290ECC"/>
    <w:rsid w:val="193275C2"/>
    <w:rsid w:val="19394FD2"/>
    <w:rsid w:val="193E37E1"/>
    <w:rsid w:val="195B59A7"/>
    <w:rsid w:val="195F3A6C"/>
    <w:rsid w:val="19663168"/>
    <w:rsid w:val="19767855"/>
    <w:rsid w:val="19786B0A"/>
    <w:rsid w:val="199A2059"/>
    <w:rsid w:val="19B46E10"/>
    <w:rsid w:val="19C31ED3"/>
    <w:rsid w:val="19C456C1"/>
    <w:rsid w:val="19C64218"/>
    <w:rsid w:val="19E5590B"/>
    <w:rsid w:val="19F061A1"/>
    <w:rsid w:val="1A020598"/>
    <w:rsid w:val="1A0208F8"/>
    <w:rsid w:val="1A054259"/>
    <w:rsid w:val="1A081816"/>
    <w:rsid w:val="1A165171"/>
    <w:rsid w:val="1A1F47EB"/>
    <w:rsid w:val="1A2729ED"/>
    <w:rsid w:val="1A286A54"/>
    <w:rsid w:val="1A304E0A"/>
    <w:rsid w:val="1A4858FF"/>
    <w:rsid w:val="1A4C698A"/>
    <w:rsid w:val="1A4F0751"/>
    <w:rsid w:val="1A5E4B5A"/>
    <w:rsid w:val="1A672B1C"/>
    <w:rsid w:val="1A7A3787"/>
    <w:rsid w:val="1A8301C0"/>
    <w:rsid w:val="1A8525FC"/>
    <w:rsid w:val="1A872248"/>
    <w:rsid w:val="1A944052"/>
    <w:rsid w:val="1A9B2279"/>
    <w:rsid w:val="1A9B7FF4"/>
    <w:rsid w:val="1A9E2B36"/>
    <w:rsid w:val="1A9E6232"/>
    <w:rsid w:val="1AA74D3D"/>
    <w:rsid w:val="1AAC1E50"/>
    <w:rsid w:val="1AB34DB4"/>
    <w:rsid w:val="1AB613FD"/>
    <w:rsid w:val="1ACF5EB8"/>
    <w:rsid w:val="1AD26086"/>
    <w:rsid w:val="1AD94C79"/>
    <w:rsid w:val="1AE013F8"/>
    <w:rsid w:val="1AE8570C"/>
    <w:rsid w:val="1AEE033B"/>
    <w:rsid w:val="1AF45AC8"/>
    <w:rsid w:val="1AFB06A3"/>
    <w:rsid w:val="1B0F19AE"/>
    <w:rsid w:val="1B0F40F3"/>
    <w:rsid w:val="1B2160BB"/>
    <w:rsid w:val="1B3637AD"/>
    <w:rsid w:val="1B3E0DB5"/>
    <w:rsid w:val="1B420427"/>
    <w:rsid w:val="1B454C94"/>
    <w:rsid w:val="1B5258E6"/>
    <w:rsid w:val="1B6415FF"/>
    <w:rsid w:val="1B6C0DF0"/>
    <w:rsid w:val="1B76379D"/>
    <w:rsid w:val="1B7F6005"/>
    <w:rsid w:val="1B8025E9"/>
    <w:rsid w:val="1B8F7EC5"/>
    <w:rsid w:val="1B9C269A"/>
    <w:rsid w:val="1B9E64C5"/>
    <w:rsid w:val="1BB42683"/>
    <w:rsid w:val="1BBE493C"/>
    <w:rsid w:val="1BC01115"/>
    <w:rsid w:val="1BC36606"/>
    <w:rsid w:val="1BC44015"/>
    <w:rsid w:val="1BCA6284"/>
    <w:rsid w:val="1BFB4C41"/>
    <w:rsid w:val="1C013494"/>
    <w:rsid w:val="1C053414"/>
    <w:rsid w:val="1C056243"/>
    <w:rsid w:val="1C0A780E"/>
    <w:rsid w:val="1C0C6675"/>
    <w:rsid w:val="1C132CB9"/>
    <w:rsid w:val="1C164ECA"/>
    <w:rsid w:val="1C273D33"/>
    <w:rsid w:val="1C4032AB"/>
    <w:rsid w:val="1C4672ED"/>
    <w:rsid w:val="1C467AB6"/>
    <w:rsid w:val="1C5207A8"/>
    <w:rsid w:val="1C527C03"/>
    <w:rsid w:val="1C6277A9"/>
    <w:rsid w:val="1C724E93"/>
    <w:rsid w:val="1C7E1D4C"/>
    <w:rsid w:val="1C7F54CE"/>
    <w:rsid w:val="1C7F743F"/>
    <w:rsid w:val="1C8A35E0"/>
    <w:rsid w:val="1C8C4AA9"/>
    <w:rsid w:val="1C8C604B"/>
    <w:rsid w:val="1C92160B"/>
    <w:rsid w:val="1C973EEF"/>
    <w:rsid w:val="1CA03243"/>
    <w:rsid w:val="1CAF5DB2"/>
    <w:rsid w:val="1CB26D23"/>
    <w:rsid w:val="1CB61741"/>
    <w:rsid w:val="1CCC26CA"/>
    <w:rsid w:val="1CD2156B"/>
    <w:rsid w:val="1CD41743"/>
    <w:rsid w:val="1CD44D3D"/>
    <w:rsid w:val="1CD53D0D"/>
    <w:rsid w:val="1CE615C9"/>
    <w:rsid w:val="1CF34BDB"/>
    <w:rsid w:val="1D037029"/>
    <w:rsid w:val="1D3305FF"/>
    <w:rsid w:val="1D395282"/>
    <w:rsid w:val="1D413348"/>
    <w:rsid w:val="1D5F5386"/>
    <w:rsid w:val="1D7072CE"/>
    <w:rsid w:val="1D8131AA"/>
    <w:rsid w:val="1D897F04"/>
    <w:rsid w:val="1D92018E"/>
    <w:rsid w:val="1D9E30A9"/>
    <w:rsid w:val="1DA640BA"/>
    <w:rsid w:val="1DAA059B"/>
    <w:rsid w:val="1DAB1006"/>
    <w:rsid w:val="1DB33C11"/>
    <w:rsid w:val="1DC65562"/>
    <w:rsid w:val="1DD32F44"/>
    <w:rsid w:val="1DE76043"/>
    <w:rsid w:val="1DE94164"/>
    <w:rsid w:val="1DE94821"/>
    <w:rsid w:val="1DEA459C"/>
    <w:rsid w:val="1DEE1B11"/>
    <w:rsid w:val="1E164B52"/>
    <w:rsid w:val="1E1D1774"/>
    <w:rsid w:val="1E273844"/>
    <w:rsid w:val="1E2F243E"/>
    <w:rsid w:val="1E3A3326"/>
    <w:rsid w:val="1E3C6F7C"/>
    <w:rsid w:val="1E455D19"/>
    <w:rsid w:val="1E595CAF"/>
    <w:rsid w:val="1E6607F9"/>
    <w:rsid w:val="1E805396"/>
    <w:rsid w:val="1E884F62"/>
    <w:rsid w:val="1E9D6342"/>
    <w:rsid w:val="1E9D6D15"/>
    <w:rsid w:val="1EA77730"/>
    <w:rsid w:val="1EC36E9D"/>
    <w:rsid w:val="1EC533A2"/>
    <w:rsid w:val="1ED015A4"/>
    <w:rsid w:val="1EE2283A"/>
    <w:rsid w:val="1EE25FDD"/>
    <w:rsid w:val="1EE86322"/>
    <w:rsid w:val="1EF5103F"/>
    <w:rsid w:val="1EF51AE5"/>
    <w:rsid w:val="1F0274EC"/>
    <w:rsid w:val="1F090F9B"/>
    <w:rsid w:val="1F0E5D6B"/>
    <w:rsid w:val="1F4E511E"/>
    <w:rsid w:val="1F4F2219"/>
    <w:rsid w:val="1F721405"/>
    <w:rsid w:val="1F842044"/>
    <w:rsid w:val="1F887E80"/>
    <w:rsid w:val="1F935819"/>
    <w:rsid w:val="1F9B1945"/>
    <w:rsid w:val="1FA6556D"/>
    <w:rsid w:val="1FA92D3B"/>
    <w:rsid w:val="1FAF2571"/>
    <w:rsid w:val="1FC55EDA"/>
    <w:rsid w:val="1FCE593C"/>
    <w:rsid w:val="1FE312AC"/>
    <w:rsid w:val="1FEC5915"/>
    <w:rsid w:val="1FED32EF"/>
    <w:rsid w:val="20215745"/>
    <w:rsid w:val="20350C87"/>
    <w:rsid w:val="203A2A30"/>
    <w:rsid w:val="20446081"/>
    <w:rsid w:val="204852AD"/>
    <w:rsid w:val="204E6676"/>
    <w:rsid w:val="205A5AA0"/>
    <w:rsid w:val="20730D4E"/>
    <w:rsid w:val="20773A28"/>
    <w:rsid w:val="20796DDF"/>
    <w:rsid w:val="208574F4"/>
    <w:rsid w:val="208E0979"/>
    <w:rsid w:val="208F6BAF"/>
    <w:rsid w:val="209C24BD"/>
    <w:rsid w:val="20A462BA"/>
    <w:rsid w:val="20A976E7"/>
    <w:rsid w:val="20AC7E9E"/>
    <w:rsid w:val="20BB50D0"/>
    <w:rsid w:val="20BF2AAC"/>
    <w:rsid w:val="20C849C7"/>
    <w:rsid w:val="20D07F44"/>
    <w:rsid w:val="20DF66D2"/>
    <w:rsid w:val="20EC3F2E"/>
    <w:rsid w:val="20EC7C3E"/>
    <w:rsid w:val="20F900A6"/>
    <w:rsid w:val="210548E9"/>
    <w:rsid w:val="2107210D"/>
    <w:rsid w:val="21124D15"/>
    <w:rsid w:val="211E5A97"/>
    <w:rsid w:val="213E7119"/>
    <w:rsid w:val="216E680E"/>
    <w:rsid w:val="21756B2C"/>
    <w:rsid w:val="21810744"/>
    <w:rsid w:val="218D6EF5"/>
    <w:rsid w:val="2195668B"/>
    <w:rsid w:val="21995167"/>
    <w:rsid w:val="21A130EA"/>
    <w:rsid w:val="21A5163A"/>
    <w:rsid w:val="21A64442"/>
    <w:rsid w:val="21AC4ECC"/>
    <w:rsid w:val="21B222BC"/>
    <w:rsid w:val="21BD09D7"/>
    <w:rsid w:val="21C267BF"/>
    <w:rsid w:val="21C43372"/>
    <w:rsid w:val="21CD6BCD"/>
    <w:rsid w:val="21CE6067"/>
    <w:rsid w:val="21CF439A"/>
    <w:rsid w:val="21F00127"/>
    <w:rsid w:val="21F43497"/>
    <w:rsid w:val="22045B97"/>
    <w:rsid w:val="221261AD"/>
    <w:rsid w:val="2219238D"/>
    <w:rsid w:val="221D2FA3"/>
    <w:rsid w:val="22247705"/>
    <w:rsid w:val="22261947"/>
    <w:rsid w:val="2226635F"/>
    <w:rsid w:val="222D4F0B"/>
    <w:rsid w:val="22384AB0"/>
    <w:rsid w:val="223D7545"/>
    <w:rsid w:val="22411D14"/>
    <w:rsid w:val="22423BE1"/>
    <w:rsid w:val="22454449"/>
    <w:rsid w:val="22500810"/>
    <w:rsid w:val="226347BD"/>
    <w:rsid w:val="226368B2"/>
    <w:rsid w:val="22682935"/>
    <w:rsid w:val="226F564C"/>
    <w:rsid w:val="22714CE9"/>
    <w:rsid w:val="22730512"/>
    <w:rsid w:val="227C7BE1"/>
    <w:rsid w:val="228A4698"/>
    <w:rsid w:val="228D7F55"/>
    <w:rsid w:val="22945167"/>
    <w:rsid w:val="229B1A41"/>
    <w:rsid w:val="22A55CD5"/>
    <w:rsid w:val="22AC2795"/>
    <w:rsid w:val="22AD038C"/>
    <w:rsid w:val="22BB36DF"/>
    <w:rsid w:val="22BC2B0B"/>
    <w:rsid w:val="22C74EE2"/>
    <w:rsid w:val="22C80038"/>
    <w:rsid w:val="22CB6237"/>
    <w:rsid w:val="22CD14B5"/>
    <w:rsid w:val="22D928CE"/>
    <w:rsid w:val="22E02C6E"/>
    <w:rsid w:val="22E04FF4"/>
    <w:rsid w:val="22E1121B"/>
    <w:rsid w:val="22E22D4A"/>
    <w:rsid w:val="22E75D67"/>
    <w:rsid w:val="22EA4C70"/>
    <w:rsid w:val="22F75251"/>
    <w:rsid w:val="22F84EEE"/>
    <w:rsid w:val="22F86F75"/>
    <w:rsid w:val="22FA25EF"/>
    <w:rsid w:val="230E3A21"/>
    <w:rsid w:val="23131055"/>
    <w:rsid w:val="2316334C"/>
    <w:rsid w:val="233C6F76"/>
    <w:rsid w:val="2341526C"/>
    <w:rsid w:val="234449F5"/>
    <w:rsid w:val="234A29B4"/>
    <w:rsid w:val="23536618"/>
    <w:rsid w:val="236F7CD9"/>
    <w:rsid w:val="237D3B26"/>
    <w:rsid w:val="23816932"/>
    <w:rsid w:val="23A22D26"/>
    <w:rsid w:val="23A9484E"/>
    <w:rsid w:val="23B32F98"/>
    <w:rsid w:val="23B84268"/>
    <w:rsid w:val="23C04937"/>
    <w:rsid w:val="23D03C50"/>
    <w:rsid w:val="23D17D7B"/>
    <w:rsid w:val="23D36D91"/>
    <w:rsid w:val="23EA25D3"/>
    <w:rsid w:val="23F70BA5"/>
    <w:rsid w:val="23F93D0D"/>
    <w:rsid w:val="2405417E"/>
    <w:rsid w:val="240905AE"/>
    <w:rsid w:val="241B5C62"/>
    <w:rsid w:val="242005F6"/>
    <w:rsid w:val="244D419B"/>
    <w:rsid w:val="245872F9"/>
    <w:rsid w:val="245943D9"/>
    <w:rsid w:val="245B217B"/>
    <w:rsid w:val="245D2237"/>
    <w:rsid w:val="245E6B64"/>
    <w:rsid w:val="245F176F"/>
    <w:rsid w:val="2463385E"/>
    <w:rsid w:val="2466191B"/>
    <w:rsid w:val="247F0848"/>
    <w:rsid w:val="248A1E01"/>
    <w:rsid w:val="24967323"/>
    <w:rsid w:val="249D5FC8"/>
    <w:rsid w:val="24A1538E"/>
    <w:rsid w:val="24B9450F"/>
    <w:rsid w:val="24C77BCA"/>
    <w:rsid w:val="24C83F94"/>
    <w:rsid w:val="24D706EC"/>
    <w:rsid w:val="24E44130"/>
    <w:rsid w:val="24EE3D24"/>
    <w:rsid w:val="24F60CDA"/>
    <w:rsid w:val="24FE1078"/>
    <w:rsid w:val="250B4793"/>
    <w:rsid w:val="250D450C"/>
    <w:rsid w:val="25134332"/>
    <w:rsid w:val="25141A5B"/>
    <w:rsid w:val="251F22F5"/>
    <w:rsid w:val="2521546A"/>
    <w:rsid w:val="25225B0E"/>
    <w:rsid w:val="252B49E0"/>
    <w:rsid w:val="253B247A"/>
    <w:rsid w:val="25544D4D"/>
    <w:rsid w:val="25734B61"/>
    <w:rsid w:val="257C1EB5"/>
    <w:rsid w:val="257F0513"/>
    <w:rsid w:val="258843F6"/>
    <w:rsid w:val="258F6BC4"/>
    <w:rsid w:val="25975923"/>
    <w:rsid w:val="259A3D0A"/>
    <w:rsid w:val="25A72265"/>
    <w:rsid w:val="25A95F3E"/>
    <w:rsid w:val="25BF6041"/>
    <w:rsid w:val="25C11AFE"/>
    <w:rsid w:val="25C35718"/>
    <w:rsid w:val="25C61809"/>
    <w:rsid w:val="25CF0252"/>
    <w:rsid w:val="25D0248E"/>
    <w:rsid w:val="25D52D1D"/>
    <w:rsid w:val="25E17E34"/>
    <w:rsid w:val="25F81D70"/>
    <w:rsid w:val="25FB5636"/>
    <w:rsid w:val="25FE58A9"/>
    <w:rsid w:val="26070462"/>
    <w:rsid w:val="260D2C45"/>
    <w:rsid w:val="26197DFF"/>
    <w:rsid w:val="262F0AD0"/>
    <w:rsid w:val="26395C92"/>
    <w:rsid w:val="26484954"/>
    <w:rsid w:val="266237C3"/>
    <w:rsid w:val="266E0D1D"/>
    <w:rsid w:val="267550B9"/>
    <w:rsid w:val="267A4B30"/>
    <w:rsid w:val="26911231"/>
    <w:rsid w:val="26A95587"/>
    <w:rsid w:val="26C472EC"/>
    <w:rsid w:val="26D97CAE"/>
    <w:rsid w:val="26E264E6"/>
    <w:rsid w:val="26EC491A"/>
    <w:rsid w:val="26ED73E1"/>
    <w:rsid w:val="27014EF3"/>
    <w:rsid w:val="27047832"/>
    <w:rsid w:val="270D43CE"/>
    <w:rsid w:val="271435B7"/>
    <w:rsid w:val="27204B5D"/>
    <w:rsid w:val="272F31A0"/>
    <w:rsid w:val="27342901"/>
    <w:rsid w:val="27383740"/>
    <w:rsid w:val="273D2762"/>
    <w:rsid w:val="27446B8B"/>
    <w:rsid w:val="27470B72"/>
    <w:rsid w:val="27525E32"/>
    <w:rsid w:val="275639D6"/>
    <w:rsid w:val="27722E60"/>
    <w:rsid w:val="2775024B"/>
    <w:rsid w:val="27765A05"/>
    <w:rsid w:val="2778582E"/>
    <w:rsid w:val="27806765"/>
    <w:rsid w:val="278435A8"/>
    <w:rsid w:val="27851763"/>
    <w:rsid w:val="279B1E53"/>
    <w:rsid w:val="27A14309"/>
    <w:rsid w:val="27AA46CB"/>
    <w:rsid w:val="27AB7429"/>
    <w:rsid w:val="27C57B2B"/>
    <w:rsid w:val="27C8029E"/>
    <w:rsid w:val="27CC78AC"/>
    <w:rsid w:val="27CE1EA1"/>
    <w:rsid w:val="27CF6D63"/>
    <w:rsid w:val="27D5047E"/>
    <w:rsid w:val="27DD45ED"/>
    <w:rsid w:val="27E27828"/>
    <w:rsid w:val="27E3651B"/>
    <w:rsid w:val="27EC25E3"/>
    <w:rsid w:val="27ED0939"/>
    <w:rsid w:val="27F1498B"/>
    <w:rsid w:val="28027A71"/>
    <w:rsid w:val="281F4F67"/>
    <w:rsid w:val="28214BB3"/>
    <w:rsid w:val="282432CE"/>
    <w:rsid w:val="283744B4"/>
    <w:rsid w:val="28485D62"/>
    <w:rsid w:val="285560D7"/>
    <w:rsid w:val="285B1045"/>
    <w:rsid w:val="28760CA0"/>
    <w:rsid w:val="288A05DD"/>
    <w:rsid w:val="28937D89"/>
    <w:rsid w:val="28C96C14"/>
    <w:rsid w:val="28CF1781"/>
    <w:rsid w:val="28E138E3"/>
    <w:rsid w:val="28E25FF0"/>
    <w:rsid w:val="28E74216"/>
    <w:rsid w:val="28E87EE4"/>
    <w:rsid w:val="28F42613"/>
    <w:rsid w:val="28F57442"/>
    <w:rsid w:val="2903396A"/>
    <w:rsid w:val="290D008D"/>
    <w:rsid w:val="291F2805"/>
    <w:rsid w:val="29212936"/>
    <w:rsid w:val="294321E8"/>
    <w:rsid w:val="294E766A"/>
    <w:rsid w:val="294F506D"/>
    <w:rsid w:val="295F09EE"/>
    <w:rsid w:val="296B1E22"/>
    <w:rsid w:val="2978319A"/>
    <w:rsid w:val="297A3E18"/>
    <w:rsid w:val="29A3014B"/>
    <w:rsid w:val="29A74CBD"/>
    <w:rsid w:val="29B01C34"/>
    <w:rsid w:val="29B02636"/>
    <w:rsid w:val="29B16357"/>
    <w:rsid w:val="29BA0D88"/>
    <w:rsid w:val="29CC5806"/>
    <w:rsid w:val="29CF32B2"/>
    <w:rsid w:val="29D24FAA"/>
    <w:rsid w:val="29DE15A2"/>
    <w:rsid w:val="29DF12BC"/>
    <w:rsid w:val="29E37FC4"/>
    <w:rsid w:val="29EF3680"/>
    <w:rsid w:val="29EF424E"/>
    <w:rsid w:val="29F13D11"/>
    <w:rsid w:val="29F93F5E"/>
    <w:rsid w:val="29FA7F26"/>
    <w:rsid w:val="29FD07C3"/>
    <w:rsid w:val="2A0066C4"/>
    <w:rsid w:val="2A23469B"/>
    <w:rsid w:val="2A35650F"/>
    <w:rsid w:val="2A405845"/>
    <w:rsid w:val="2A4D593F"/>
    <w:rsid w:val="2A5645FE"/>
    <w:rsid w:val="2A63608A"/>
    <w:rsid w:val="2A673E21"/>
    <w:rsid w:val="2A6920F5"/>
    <w:rsid w:val="2A6E31F8"/>
    <w:rsid w:val="2A8A2F9C"/>
    <w:rsid w:val="2A9A0A02"/>
    <w:rsid w:val="2A9B2F39"/>
    <w:rsid w:val="2AA077A9"/>
    <w:rsid w:val="2AA95326"/>
    <w:rsid w:val="2AAB580F"/>
    <w:rsid w:val="2AAC5A06"/>
    <w:rsid w:val="2AB16068"/>
    <w:rsid w:val="2AB94F9D"/>
    <w:rsid w:val="2ABB3D6F"/>
    <w:rsid w:val="2AC70B30"/>
    <w:rsid w:val="2ACC2AAF"/>
    <w:rsid w:val="2AD74744"/>
    <w:rsid w:val="2AD91AC2"/>
    <w:rsid w:val="2AE546EF"/>
    <w:rsid w:val="2AE57C95"/>
    <w:rsid w:val="2AE90B77"/>
    <w:rsid w:val="2AF35C8B"/>
    <w:rsid w:val="2B0279D1"/>
    <w:rsid w:val="2B132265"/>
    <w:rsid w:val="2B1D1F04"/>
    <w:rsid w:val="2B214776"/>
    <w:rsid w:val="2B2843BE"/>
    <w:rsid w:val="2B2F6A35"/>
    <w:rsid w:val="2B313FC1"/>
    <w:rsid w:val="2B347C14"/>
    <w:rsid w:val="2B39348E"/>
    <w:rsid w:val="2B437285"/>
    <w:rsid w:val="2B4A74C5"/>
    <w:rsid w:val="2B4D695C"/>
    <w:rsid w:val="2B514803"/>
    <w:rsid w:val="2B5D3585"/>
    <w:rsid w:val="2B637D4B"/>
    <w:rsid w:val="2B6B1684"/>
    <w:rsid w:val="2B7B70BF"/>
    <w:rsid w:val="2B8B422C"/>
    <w:rsid w:val="2B953F09"/>
    <w:rsid w:val="2BA07D38"/>
    <w:rsid w:val="2BB960F0"/>
    <w:rsid w:val="2BC40957"/>
    <w:rsid w:val="2BCB5DAA"/>
    <w:rsid w:val="2BD51C6D"/>
    <w:rsid w:val="2BF235A7"/>
    <w:rsid w:val="2BF369B9"/>
    <w:rsid w:val="2BFB6A91"/>
    <w:rsid w:val="2BFC0A4A"/>
    <w:rsid w:val="2C094904"/>
    <w:rsid w:val="2C0E55A1"/>
    <w:rsid w:val="2C3658B0"/>
    <w:rsid w:val="2C3A7BF6"/>
    <w:rsid w:val="2C425BCE"/>
    <w:rsid w:val="2C44676A"/>
    <w:rsid w:val="2C4605C2"/>
    <w:rsid w:val="2C4A080C"/>
    <w:rsid w:val="2C54533B"/>
    <w:rsid w:val="2C591378"/>
    <w:rsid w:val="2C733DF1"/>
    <w:rsid w:val="2C8F4862"/>
    <w:rsid w:val="2C9E5AC8"/>
    <w:rsid w:val="2CA2721B"/>
    <w:rsid w:val="2CB600FC"/>
    <w:rsid w:val="2CC9246F"/>
    <w:rsid w:val="2CD61058"/>
    <w:rsid w:val="2CF85737"/>
    <w:rsid w:val="2D026315"/>
    <w:rsid w:val="2D0764BD"/>
    <w:rsid w:val="2D0B3169"/>
    <w:rsid w:val="2D0D4219"/>
    <w:rsid w:val="2D122B4E"/>
    <w:rsid w:val="2D1F2D4D"/>
    <w:rsid w:val="2D2D2DE2"/>
    <w:rsid w:val="2D2D548B"/>
    <w:rsid w:val="2D340E86"/>
    <w:rsid w:val="2D395427"/>
    <w:rsid w:val="2D3D0E02"/>
    <w:rsid w:val="2D3D5AFF"/>
    <w:rsid w:val="2D4654A3"/>
    <w:rsid w:val="2D495609"/>
    <w:rsid w:val="2D5372BC"/>
    <w:rsid w:val="2D5839DB"/>
    <w:rsid w:val="2D62469E"/>
    <w:rsid w:val="2D6B40A9"/>
    <w:rsid w:val="2D765922"/>
    <w:rsid w:val="2D892023"/>
    <w:rsid w:val="2D8A3FA2"/>
    <w:rsid w:val="2D925609"/>
    <w:rsid w:val="2D9767DC"/>
    <w:rsid w:val="2D980DDC"/>
    <w:rsid w:val="2D987372"/>
    <w:rsid w:val="2DC07D5E"/>
    <w:rsid w:val="2DC2086B"/>
    <w:rsid w:val="2DC35F89"/>
    <w:rsid w:val="2DC609A6"/>
    <w:rsid w:val="2DCE26BE"/>
    <w:rsid w:val="2DCE5F69"/>
    <w:rsid w:val="2DD755E4"/>
    <w:rsid w:val="2DD97EF9"/>
    <w:rsid w:val="2DDD4F0A"/>
    <w:rsid w:val="2DF37ABF"/>
    <w:rsid w:val="2DF95234"/>
    <w:rsid w:val="2E063514"/>
    <w:rsid w:val="2E106174"/>
    <w:rsid w:val="2E170B60"/>
    <w:rsid w:val="2E2D76DF"/>
    <w:rsid w:val="2E2E6511"/>
    <w:rsid w:val="2E34792A"/>
    <w:rsid w:val="2E437E73"/>
    <w:rsid w:val="2E4F0E88"/>
    <w:rsid w:val="2E5034DC"/>
    <w:rsid w:val="2E572AB9"/>
    <w:rsid w:val="2E58199C"/>
    <w:rsid w:val="2E7258DC"/>
    <w:rsid w:val="2E79458E"/>
    <w:rsid w:val="2E797A78"/>
    <w:rsid w:val="2E7C6A94"/>
    <w:rsid w:val="2E7F3812"/>
    <w:rsid w:val="2E8321A5"/>
    <w:rsid w:val="2E8A404A"/>
    <w:rsid w:val="2E9F6D95"/>
    <w:rsid w:val="2EAE350B"/>
    <w:rsid w:val="2EB20A6C"/>
    <w:rsid w:val="2EBC2287"/>
    <w:rsid w:val="2ECA3116"/>
    <w:rsid w:val="2ECE6C94"/>
    <w:rsid w:val="2ED2618A"/>
    <w:rsid w:val="2EDD7896"/>
    <w:rsid w:val="2EEA6E65"/>
    <w:rsid w:val="2EFA17E9"/>
    <w:rsid w:val="2F00052B"/>
    <w:rsid w:val="2F0367CD"/>
    <w:rsid w:val="2F083F54"/>
    <w:rsid w:val="2F1251F2"/>
    <w:rsid w:val="2F377F11"/>
    <w:rsid w:val="2F4D49C0"/>
    <w:rsid w:val="2F4F6FBB"/>
    <w:rsid w:val="2F5E5B1E"/>
    <w:rsid w:val="2F61116A"/>
    <w:rsid w:val="2F664E2B"/>
    <w:rsid w:val="2F6C7BE3"/>
    <w:rsid w:val="2F783485"/>
    <w:rsid w:val="2F7F5C0B"/>
    <w:rsid w:val="2FA6492D"/>
    <w:rsid w:val="2FB162FB"/>
    <w:rsid w:val="2FBA5EC5"/>
    <w:rsid w:val="2FC67770"/>
    <w:rsid w:val="2FC972D2"/>
    <w:rsid w:val="2FD71CA4"/>
    <w:rsid w:val="2FDC6CBD"/>
    <w:rsid w:val="2FF93066"/>
    <w:rsid w:val="301103CD"/>
    <w:rsid w:val="30130869"/>
    <w:rsid w:val="30133FEC"/>
    <w:rsid w:val="301A71CE"/>
    <w:rsid w:val="301E049B"/>
    <w:rsid w:val="302A4BE6"/>
    <w:rsid w:val="302B1223"/>
    <w:rsid w:val="30307691"/>
    <w:rsid w:val="303867AA"/>
    <w:rsid w:val="304478EC"/>
    <w:rsid w:val="30477603"/>
    <w:rsid w:val="304A1F48"/>
    <w:rsid w:val="304D174B"/>
    <w:rsid w:val="30684D7B"/>
    <w:rsid w:val="30761B12"/>
    <w:rsid w:val="30916BB1"/>
    <w:rsid w:val="30962F3E"/>
    <w:rsid w:val="30986D57"/>
    <w:rsid w:val="30AA2585"/>
    <w:rsid w:val="30C16A19"/>
    <w:rsid w:val="30CA4DB3"/>
    <w:rsid w:val="30CD13EE"/>
    <w:rsid w:val="30D32236"/>
    <w:rsid w:val="30FA7530"/>
    <w:rsid w:val="30FF2795"/>
    <w:rsid w:val="310375CD"/>
    <w:rsid w:val="310C2C69"/>
    <w:rsid w:val="311611B3"/>
    <w:rsid w:val="313C313D"/>
    <w:rsid w:val="314E236F"/>
    <w:rsid w:val="31552F50"/>
    <w:rsid w:val="315E0B07"/>
    <w:rsid w:val="31614403"/>
    <w:rsid w:val="31621F46"/>
    <w:rsid w:val="31623972"/>
    <w:rsid w:val="316E7CA0"/>
    <w:rsid w:val="31700099"/>
    <w:rsid w:val="317206BF"/>
    <w:rsid w:val="317932EA"/>
    <w:rsid w:val="317D34AA"/>
    <w:rsid w:val="317E5000"/>
    <w:rsid w:val="31B718F2"/>
    <w:rsid w:val="31BD323E"/>
    <w:rsid w:val="31D20051"/>
    <w:rsid w:val="31EF7EE8"/>
    <w:rsid w:val="31F9420D"/>
    <w:rsid w:val="3201404F"/>
    <w:rsid w:val="320901F5"/>
    <w:rsid w:val="320B7CCB"/>
    <w:rsid w:val="32105DE8"/>
    <w:rsid w:val="3235187E"/>
    <w:rsid w:val="3237186B"/>
    <w:rsid w:val="323B6798"/>
    <w:rsid w:val="32454376"/>
    <w:rsid w:val="32466B7E"/>
    <w:rsid w:val="32537B57"/>
    <w:rsid w:val="325F618E"/>
    <w:rsid w:val="326A40B9"/>
    <w:rsid w:val="326B2DFA"/>
    <w:rsid w:val="326E5B28"/>
    <w:rsid w:val="32757E99"/>
    <w:rsid w:val="328F5534"/>
    <w:rsid w:val="32910B8E"/>
    <w:rsid w:val="329234AC"/>
    <w:rsid w:val="329A6ACE"/>
    <w:rsid w:val="32A230DB"/>
    <w:rsid w:val="32CF28C2"/>
    <w:rsid w:val="32DF351E"/>
    <w:rsid w:val="32EE5E41"/>
    <w:rsid w:val="32F40F87"/>
    <w:rsid w:val="32FD7C76"/>
    <w:rsid w:val="330246BF"/>
    <w:rsid w:val="330C22FC"/>
    <w:rsid w:val="33247878"/>
    <w:rsid w:val="33283FFE"/>
    <w:rsid w:val="33385662"/>
    <w:rsid w:val="334D29E6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813CAA"/>
    <w:rsid w:val="338A0D6A"/>
    <w:rsid w:val="33900F1D"/>
    <w:rsid w:val="33913DC1"/>
    <w:rsid w:val="3391740A"/>
    <w:rsid w:val="33AD318F"/>
    <w:rsid w:val="33BF4199"/>
    <w:rsid w:val="33C57F19"/>
    <w:rsid w:val="33D151B9"/>
    <w:rsid w:val="33D4727F"/>
    <w:rsid w:val="33E76BD1"/>
    <w:rsid w:val="33FE62E7"/>
    <w:rsid w:val="340D25F6"/>
    <w:rsid w:val="34172EFD"/>
    <w:rsid w:val="342B76C7"/>
    <w:rsid w:val="343A1527"/>
    <w:rsid w:val="343C69D1"/>
    <w:rsid w:val="34447898"/>
    <w:rsid w:val="344E62FA"/>
    <w:rsid w:val="3472234D"/>
    <w:rsid w:val="347D500F"/>
    <w:rsid w:val="34830157"/>
    <w:rsid w:val="34872D27"/>
    <w:rsid w:val="349164BD"/>
    <w:rsid w:val="349B2E8A"/>
    <w:rsid w:val="34BD02AE"/>
    <w:rsid w:val="34C70B28"/>
    <w:rsid w:val="34DA26A8"/>
    <w:rsid w:val="34E43AD1"/>
    <w:rsid w:val="34E960F1"/>
    <w:rsid w:val="34ED6696"/>
    <w:rsid w:val="350B42D5"/>
    <w:rsid w:val="350F6258"/>
    <w:rsid w:val="351A603C"/>
    <w:rsid w:val="352743C4"/>
    <w:rsid w:val="352821F6"/>
    <w:rsid w:val="35387F19"/>
    <w:rsid w:val="3539550B"/>
    <w:rsid w:val="353C7CFC"/>
    <w:rsid w:val="356678B4"/>
    <w:rsid w:val="3573649F"/>
    <w:rsid w:val="3575123B"/>
    <w:rsid w:val="357E4B0A"/>
    <w:rsid w:val="35866D7F"/>
    <w:rsid w:val="358F6BDF"/>
    <w:rsid w:val="359A74DB"/>
    <w:rsid w:val="35A26D98"/>
    <w:rsid w:val="35C06D50"/>
    <w:rsid w:val="35D24294"/>
    <w:rsid w:val="35D41F5E"/>
    <w:rsid w:val="35E23FDD"/>
    <w:rsid w:val="35FF6F3C"/>
    <w:rsid w:val="36075F27"/>
    <w:rsid w:val="36121506"/>
    <w:rsid w:val="361D7A43"/>
    <w:rsid w:val="361F3323"/>
    <w:rsid w:val="3631089E"/>
    <w:rsid w:val="36402EFA"/>
    <w:rsid w:val="364271C9"/>
    <w:rsid w:val="36496A51"/>
    <w:rsid w:val="365623F6"/>
    <w:rsid w:val="36670090"/>
    <w:rsid w:val="366D70A8"/>
    <w:rsid w:val="36720B63"/>
    <w:rsid w:val="368230C6"/>
    <w:rsid w:val="368F7E4F"/>
    <w:rsid w:val="36985297"/>
    <w:rsid w:val="369F633B"/>
    <w:rsid w:val="36A30FDB"/>
    <w:rsid w:val="36A7007C"/>
    <w:rsid w:val="36AA0A21"/>
    <w:rsid w:val="36B10648"/>
    <w:rsid w:val="36B24AE8"/>
    <w:rsid w:val="36BD0DC4"/>
    <w:rsid w:val="36CD1D20"/>
    <w:rsid w:val="36D51D00"/>
    <w:rsid w:val="36D66B5E"/>
    <w:rsid w:val="36E93760"/>
    <w:rsid w:val="36FB4305"/>
    <w:rsid w:val="3708597F"/>
    <w:rsid w:val="37096815"/>
    <w:rsid w:val="370E4B4D"/>
    <w:rsid w:val="370F7060"/>
    <w:rsid w:val="37134801"/>
    <w:rsid w:val="37150C16"/>
    <w:rsid w:val="37173233"/>
    <w:rsid w:val="37226558"/>
    <w:rsid w:val="3734159D"/>
    <w:rsid w:val="37366323"/>
    <w:rsid w:val="37382526"/>
    <w:rsid w:val="374625F4"/>
    <w:rsid w:val="374E78C1"/>
    <w:rsid w:val="375353D0"/>
    <w:rsid w:val="3758590A"/>
    <w:rsid w:val="37602E60"/>
    <w:rsid w:val="377852C0"/>
    <w:rsid w:val="378229A7"/>
    <w:rsid w:val="37824265"/>
    <w:rsid w:val="3784394E"/>
    <w:rsid w:val="379231B9"/>
    <w:rsid w:val="37987437"/>
    <w:rsid w:val="379B7622"/>
    <w:rsid w:val="37AF6474"/>
    <w:rsid w:val="37BC1DFF"/>
    <w:rsid w:val="37C94031"/>
    <w:rsid w:val="37CA042E"/>
    <w:rsid w:val="37D44549"/>
    <w:rsid w:val="37D77B09"/>
    <w:rsid w:val="37D97EDE"/>
    <w:rsid w:val="37DA45C2"/>
    <w:rsid w:val="37DF3A13"/>
    <w:rsid w:val="37E82930"/>
    <w:rsid w:val="37F222D9"/>
    <w:rsid w:val="381902FC"/>
    <w:rsid w:val="381F218D"/>
    <w:rsid w:val="382B1BDF"/>
    <w:rsid w:val="382D2D8D"/>
    <w:rsid w:val="382E392C"/>
    <w:rsid w:val="383024D3"/>
    <w:rsid w:val="38342E90"/>
    <w:rsid w:val="38402F80"/>
    <w:rsid w:val="384A24FB"/>
    <w:rsid w:val="384B7332"/>
    <w:rsid w:val="384D38EC"/>
    <w:rsid w:val="384F1685"/>
    <w:rsid w:val="385056AF"/>
    <w:rsid w:val="38706DCB"/>
    <w:rsid w:val="388A235A"/>
    <w:rsid w:val="388E5848"/>
    <w:rsid w:val="38991BA1"/>
    <w:rsid w:val="389E0451"/>
    <w:rsid w:val="38A94D18"/>
    <w:rsid w:val="38BD31EE"/>
    <w:rsid w:val="38CB3BDF"/>
    <w:rsid w:val="38D23967"/>
    <w:rsid w:val="38D33D29"/>
    <w:rsid w:val="38DB01DF"/>
    <w:rsid w:val="38E36442"/>
    <w:rsid w:val="38E40A5B"/>
    <w:rsid w:val="39045619"/>
    <w:rsid w:val="39247E4A"/>
    <w:rsid w:val="39285D57"/>
    <w:rsid w:val="39372A0B"/>
    <w:rsid w:val="394B6470"/>
    <w:rsid w:val="39504414"/>
    <w:rsid w:val="3953321D"/>
    <w:rsid w:val="396778BC"/>
    <w:rsid w:val="39860592"/>
    <w:rsid w:val="39872512"/>
    <w:rsid w:val="39931A05"/>
    <w:rsid w:val="39945066"/>
    <w:rsid w:val="39A2099B"/>
    <w:rsid w:val="39A602F9"/>
    <w:rsid w:val="39AA7BEA"/>
    <w:rsid w:val="39BD45C8"/>
    <w:rsid w:val="39C2316A"/>
    <w:rsid w:val="39D7513A"/>
    <w:rsid w:val="39DA6378"/>
    <w:rsid w:val="39DE0CD3"/>
    <w:rsid w:val="39F36281"/>
    <w:rsid w:val="39F537D5"/>
    <w:rsid w:val="39F56CC2"/>
    <w:rsid w:val="39FD376D"/>
    <w:rsid w:val="39FD6C9C"/>
    <w:rsid w:val="3A0224B9"/>
    <w:rsid w:val="3A071002"/>
    <w:rsid w:val="3A156E39"/>
    <w:rsid w:val="3A16794C"/>
    <w:rsid w:val="3A21256E"/>
    <w:rsid w:val="3A22476C"/>
    <w:rsid w:val="3A226969"/>
    <w:rsid w:val="3A3F47CE"/>
    <w:rsid w:val="3A4E1C5D"/>
    <w:rsid w:val="3A523735"/>
    <w:rsid w:val="3A5307BE"/>
    <w:rsid w:val="3A557AE4"/>
    <w:rsid w:val="3A6B0F84"/>
    <w:rsid w:val="3A727435"/>
    <w:rsid w:val="3A745FD9"/>
    <w:rsid w:val="3A94055A"/>
    <w:rsid w:val="3AC17E3A"/>
    <w:rsid w:val="3AC71C01"/>
    <w:rsid w:val="3ACB5746"/>
    <w:rsid w:val="3ADD2B05"/>
    <w:rsid w:val="3AE417E3"/>
    <w:rsid w:val="3AE440AF"/>
    <w:rsid w:val="3AF7667E"/>
    <w:rsid w:val="3B032215"/>
    <w:rsid w:val="3B113F51"/>
    <w:rsid w:val="3B185809"/>
    <w:rsid w:val="3B264B22"/>
    <w:rsid w:val="3B2C21C1"/>
    <w:rsid w:val="3B307112"/>
    <w:rsid w:val="3B3140C9"/>
    <w:rsid w:val="3B540533"/>
    <w:rsid w:val="3B5A2A22"/>
    <w:rsid w:val="3B5B3ABC"/>
    <w:rsid w:val="3B6B5A08"/>
    <w:rsid w:val="3B70246F"/>
    <w:rsid w:val="3B7804A3"/>
    <w:rsid w:val="3B8E2153"/>
    <w:rsid w:val="3B9B0E38"/>
    <w:rsid w:val="3BA03B83"/>
    <w:rsid w:val="3BA32CDF"/>
    <w:rsid w:val="3BB20883"/>
    <w:rsid w:val="3BC34E75"/>
    <w:rsid w:val="3BCB270F"/>
    <w:rsid w:val="3BCF7E47"/>
    <w:rsid w:val="3BD96AA6"/>
    <w:rsid w:val="3BE940D8"/>
    <w:rsid w:val="3BE94483"/>
    <w:rsid w:val="3BFF66D9"/>
    <w:rsid w:val="3C0429BF"/>
    <w:rsid w:val="3C0A7E90"/>
    <w:rsid w:val="3C1A201A"/>
    <w:rsid w:val="3C371D4B"/>
    <w:rsid w:val="3C3B4B9D"/>
    <w:rsid w:val="3C413C82"/>
    <w:rsid w:val="3C471C36"/>
    <w:rsid w:val="3C4F6190"/>
    <w:rsid w:val="3C571AB8"/>
    <w:rsid w:val="3C5A6B66"/>
    <w:rsid w:val="3C5D215A"/>
    <w:rsid w:val="3C612ED7"/>
    <w:rsid w:val="3C734413"/>
    <w:rsid w:val="3C8E50A1"/>
    <w:rsid w:val="3C9278F3"/>
    <w:rsid w:val="3C982C18"/>
    <w:rsid w:val="3CA734F8"/>
    <w:rsid w:val="3CC74223"/>
    <w:rsid w:val="3CC828D0"/>
    <w:rsid w:val="3CDB5F96"/>
    <w:rsid w:val="3CDD06FA"/>
    <w:rsid w:val="3CE23F49"/>
    <w:rsid w:val="3CEC39B8"/>
    <w:rsid w:val="3CF720E3"/>
    <w:rsid w:val="3CF72D6A"/>
    <w:rsid w:val="3CF86D06"/>
    <w:rsid w:val="3D00620E"/>
    <w:rsid w:val="3D035226"/>
    <w:rsid w:val="3D120453"/>
    <w:rsid w:val="3D145DC3"/>
    <w:rsid w:val="3D316CDB"/>
    <w:rsid w:val="3D3679ED"/>
    <w:rsid w:val="3D3D2A53"/>
    <w:rsid w:val="3D3D6BBD"/>
    <w:rsid w:val="3D3F6549"/>
    <w:rsid w:val="3D450F8C"/>
    <w:rsid w:val="3D477118"/>
    <w:rsid w:val="3D4C7DD0"/>
    <w:rsid w:val="3D594E54"/>
    <w:rsid w:val="3D62706F"/>
    <w:rsid w:val="3D6C175B"/>
    <w:rsid w:val="3D6E2272"/>
    <w:rsid w:val="3D6E5ED6"/>
    <w:rsid w:val="3D7C727A"/>
    <w:rsid w:val="3D81786B"/>
    <w:rsid w:val="3D830417"/>
    <w:rsid w:val="3D877AC5"/>
    <w:rsid w:val="3D882D35"/>
    <w:rsid w:val="3D8D2848"/>
    <w:rsid w:val="3D94235D"/>
    <w:rsid w:val="3D9461E1"/>
    <w:rsid w:val="3DA61E80"/>
    <w:rsid w:val="3DB34E86"/>
    <w:rsid w:val="3DC93F58"/>
    <w:rsid w:val="3DD85289"/>
    <w:rsid w:val="3DE05321"/>
    <w:rsid w:val="3DF379B0"/>
    <w:rsid w:val="3DF95812"/>
    <w:rsid w:val="3E05314D"/>
    <w:rsid w:val="3E087F09"/>
    <w:rsid w:val="3E142837"/>
    <w:rsid w:val="3E166C6B"/>
    <w:rsid w:val="3E1D4077"/>
    <w:rsid w:val="3E1D4B24"/>
    <w:rsid w:val="3E2811AE"/>
    <w:rsid w:val="3E2E1A1A"/>
    <w:rsid w:val="3E3473DF"/>
    <w:rsid w:val="3E3A04FA"/>
    <w:rsid w:val="3E3D6B96"/>
    <w:rsid w:val="3E3E1C48"/>
    <w:rsid w:val="3E441C7D"/>
    <w:rsid w:val="3E490256"/>
    <w:rsid w:val="3E55739E"/>
    <w:rsid w:val="3E6C43C8"/>
    <w:rsid w:val="3E8227F0"/>
    <w:rsid w:val="3E8338F9"/>
    <w:rsid w:val="3E9B4B40"/>
    <w:rsid w:val="3EB6578C"/>
    <w:rsid w:val="3EB71AC8"/>
    <w:rsid w:val="3EC85E34"/>
    <w:rsid w:val="3ED0424C"/>
    <w:rsid w:val="3EE71542"/>
    <w:rsid w:val="3EF025A4"/>
    <w:rsid w:val="3EF31E7F"/>
    <w:rsid w:val="3EF36DF0"/>
    <w:rsid w:val="3EFA08FC"/>
    <w:rsid w:val="3F053EF6"/>
    <w:rsid w:val="3F093188"/>
    <w:rsid w:val="3F173F6B"/>
    <w:rsid w:val="3F1E1DE8"/>
    <w:rsid w:val="3F2244AD"/>
    <w:rsid w:val="3F253B0C"/>
    <w:rsid w:val="3F2B0925"/>
    <w:rsid w:val="3F2C04C4"/>
    <w:rsid w:val="3F3E7C9F"/>
    <w:rsid w:val="3F416B99"/>
    <w:rsid w:val="3F4553C3"/>
    <w:rsid w:val="3F4F5AD7"/>
    <w:rsid w:val="3F537FF3"/>
    <w:rsid w:val="3F5D0DD6"/>
    <w:rsid w:val="3F5D1180"/>
    <w:rsid w:val="3F6B75A6"/>
    <w:rsid w:val="3F840943"/>
    <w:rsid w:val="3F8C0A49"/>
    <w:rsid w:val="3F913853"/>
    <w:rsid w:val="3F9660C3"/>
    <w:rsid w:val="3F966B9F"/>
    <w:rsid w:val="3FA827ED"/>
    <w:rsid w:val="3FAE45A4"/>
    <w:rsid w:val="3FB45C58"/>
    <w:rsid w:val="3FBA5EFD"/>
    <w:rsid w:val="3FC36557"/>
    <w:rsid w:val="3FC956FF"/>
    <w:rsid w:val="3FCE5FBC"/>
    <w:rsid w:val="3FD13F50"/>
    <w:rsid w:val="3FDC5F31"/>
    <w:rsid w:val="3FDD07D5"/>
    <w:rsid w:val="3FE04625"/>
    <w:rsid w:val="3FE24B94"/>
    <w:rsid w:val="3FE86CE8"/>
    <w:rsid w:val="3FF7456C"/>
    <w:rsid w:val="3FFA4676"/>
    <w:rsid w:val="3FFB0F66"/>
    <w:rsid w:val="40007A90"/>
    <w:rsid w:val="40146E6B"/>
    <w:rsid w:val="401D46D5"/>
    <w:rsid w:val="403052F1"/>
    <w:rsid w:val="40345E51"/>
    <w:rsid w:val="404469FD"/>
    <w:rsid w:val="40465232"/>
    <w:rsid w:val="404A2717"/>
    <w:rsid w:val="404E779F"/>
    <w:rsid w:val="4053018C"/>
    <w:rsid w:val="40570178"/>
    <w:rsid w:val="4059090D"/>
    <w:rsid w:val="406277A4"/>
    <w:rsid w:val="4065170A"/>
    <w:rsid w:val="40686C4D"/>
    <w:rsid w:val="40687965"/>
    <w:rsid w:val="406E5CAB"/>
    <w:rsid w:val="40713C35"/>
    <w:rsid w:val="40745F23"/>
    <w:rsid w:val="40773B17"/>
    <w:rsid w:val="407965C6"/>
    <w:rsid w:val="408376F8"/>
    <w:rsid w:val="40963652"/>
    <w:rsid w:val="40A25054"/>
    <w:rsid w:val="40A325E0"/>
    <w:rsid w:val="40BD0DA1"/>
    <w:rsid w:val="40E73F05"/>
    <w:rsid w:val="40EA1C0C"/>
    <w:rsid w:val="40EC7D18"/>
    <w:rsid w:val="40ED11A0"/>
    <w:rsid w:val="40FB6055"/>
    <w:rsid w:val="40FD1BF0"/>
    <w:rsid w:val="41096BC0"/>
    <w:rsid w:val="410A75B6"/>
    <w:rsid w:val="410B452A"/>
    <w:rsid w:val="412E1EDF"/>
    <w:rsid w:val="413353F1"/>
    <w:rsid w:val="41447C57"/>
    <w:rsid w:val="41451407"/>
    <w:rsid w:val="41513BC9"/>
    <w:rsid w:val="41730CBE"/>
    <w:rsid w:val="41735B7F"/>
    <w:rsid w:val="417907A8"/>
    <w:rsid w:val="41AC72A8"/>
    <w:rsid w:val="41C06A73"/>
    <w:rsid w:val="41D574BC"/>
    <w:rsid w:val="41D75714"/>
    <w:rsid w:val="41D95EE3"/>
    <w:rsid w:val="41DD3BC3"/>
    <w:rsid w:val="41E77C8C"/>
    <w:rsid w:val="41EE2F03"/>
    <w:rsid w:val="41EF40A3"/>
    <w:rsid w:val="41F466FD"/>
    <w:rsid w:val="42002BC7"/>
    <w:rsid w:val="42026B03"/>
    <w:rsid w:val="4203048B"/>
    <w:rsid w:val="420D197F"/>
    <w:rsid w:val="421316FC"/>
    <w:rsid w:val="4218487C"/>
    <w:rsid w:val="42187EBE"/>
    <w:rsid w:val="421C3DAC"/>
    <w:rsid w:val="4227435A"/>
    <w:rsid w:val="422A59B8"/>
    <w:rsid w:val="42375131"/>
    <w:rsid w:val="424B5824"/>
    <w:rsid w:val="42610528"/>
    <w:rsid w:val="42655B81"/>
    <w:rsid w:val="42660F50"/>
    <w:rsid w:val="426973AD"/>
    <w:rsid w:val="427A67A1"/>
    <w:rsid w:val="427E0B36"/>
    <w:rsid w:val="42895E35"/>
    <w:rsid w:val="429C1193"/>
    <w:rsid w:val="42A03D98"/>
    <w:rsid w:val="42A21649"/>
    <w:rsid w:val="42B2706C"/>
    <w:rsid w:val="42B9333F"/>
    <w:rsid w:val="42B94BC1"/>
    <w:rsid w:val="42C30254"/>
    <w:rsid w:val="42C42A08"/>
    <w:rsid w:val="42D064B1"/>
    <w:rsid w:val="42DB5C3F"/>
    <w:rsid w:val="42DE48A3"/>
    <w:rsid w:val="42E16058"/>
    <w:rsid w:val="42E66EDA"/>
    <w:rsid w:val="42F01DCB"/>
    <w:rsid w:val="42F17BF5"/>
    <w:rsid w:val="42F87EC9"/>
    <w:rsid w:val="42FA45BF"/>
    <w:rsid w:val="430E7E66"/>
    <w:rsid w:val="43222AC0"/>
    <w:rsid w:val="4332317A"/>
    <w:rsid w:val="433F6B54"/>
    <w:rsid w:val="4346543A"/>
    <w:rsid w:val="435B1259"/>
    <w:rsid w:val="436263D5"/>
    <w:rsid w:val="437556C4"/>
    <w:rsid w:val="437871D1"/>
    <w:rsid w:val="437C3AD0"/>
    <w:rsid w:val="43874CD4"/>
    <w:rsid w:val="43AF2D32"/>
    <w:rsid w:val="43B76E4F"/>
    <w:rsid w:val="43C92044"/>
    <w:rsid w:val="43CF0206"/>
    <w:rsid w:val="43D235C5"/>
    <w:rsid w:val="43D85D6D"/>
    <w:rsid w:val="43EC6F1F"/>
    <w:rsid w:val="43F30C8A"/>
    <w:rsid w:val="43FE44BA"/>
    <w:rsid w:val="440D5045"/>
    <w:rsid w:val="441F2185"/>
    <w:rsid w:val="44300615"/>
    <w:rsid w:val="44371929"/>
    <w:rsid w:val="443740AF"/>
    <w:rsid w:val="44445503"/>
    <w:rsid w:val="44480935"/>
    <w:rsid w:val="444851FA"/>
    <w:rsid w:val="44572BAD"/>
    <w:rsid w:val="4457512C"/>
    <w:rsid w:val="445E4DEE"/>
    <w:rsid w:val="44640994"/>
    <w:rsid w:val="446456BB"/>
    <w:rsid w:val="446B0434"/>
    <w:rsid w:val="446C35F3"/>
    <w:rsid w:val="44706761"/>
    <w:rsid w:val="44756A66"/>
    <w:rsid w:val="447E4EBE"/>
    <w:rsid w:val="447F0CBA"/>
    <w:rsid w:val="44846EF4"/>
    <w:rsid w:val="448D7804"/>
    <w:rsid w:val="44957F46"/>
    <w:rsid w:val="44994CF5"/>
    <w:rsid w:val="449A491B"/>
    <w:rsid w:val="44A24696"/>
    <w:rsid w:val="44CD5F97"/>
    <w:rsid w:val="44DC46EB"/>
    <w:rsid w:val="44F03F8F"/>
    <w:rsid w:val="44F14ECF"/>
    <w:rsid w:val="450471A9"/>
    <w:rsid w:val="450C6F50"/>
    <w:rsid w:val="45115669"/>
    <w:rsid w:val="451A1C4E"/>
    <w:rsid w:val="451A5933"/>
    <w:rsid w:val="45275172"/>
    <w:rsid w:val="452754C3"/>
    <w:rsid w:val="45332511"/>
    <w:rsid w:val="45412C46"/>
    <w:rsid w:val="45514AD5"/>
    <w:rsid w:val="4552412E"/>
    <w:rsid w:val="455908C0"/>
    <w:rsid w:val="45644E09"/>
    <w:rsid w:val="45662D6A"/>
    <w:rsid w:val="45761EDD"/>
    <w:rsid w:val="45780503"/>
    <w:rsid w:val="457A7286"/>
    <w:rsid w:val="457B06AA"/>
    <w:rsid w:val="457C7D39"/>
    <w:rsid w:val="458667C4"/>
    <w:rsid w:val="458D234F"/>
    <w:rsid w:val="458F5163"/>
    <w:rsid w:val="459C5A47"/>
    <w:rsid w:val="45A82F38"/>
    <w:rsid w:val="45A90419"/>
    <w:rsid w:val="45AC0441"/>
    <w:rsid w:val="45B047D1"/>
    <w:rsid w:val="45B45068"/>
    <w:rsid w:val="45BE6191"/>
    <w:rsid w:val="45BE648C"/>
    <w:rsid w:val="45C37881"/>
    <w:rsid w:val="45CD2126"/>
    <w:rsid w:val="45FC1118"/>
    <w:rsid w:val="460C5979"/>
    <w:rsid w:val="46110AB3"/>
    <w:rsid w:val="46143B66"/>
    <w:rsid w:val="462045E4"/>
    <w:rsid w:val="46214325"/>
    <w:rsid w:val="4626083B"/>
    <w:rsid w:val="463246EC"/>
    <w:rsid w:val="463A3547"/>
    <w:rsid w:val="46427647"/>
    <w:rsid w:val="46555DC3"/>
    <w:rsid w:val="465E59A0"/>
    <w:rsid w:val="46617DB2"/>
    <w:rsid w:val="46621065"/>
    <w:rsid w:val="46665198"/>
    <w:rsid w:val="46697236"/>
    <w:rsid w:val="46770F8B"/>
    <w:rsid w:val="467745A2"/>
    <w:rsid w:val="467C16FA"/>
    <w:rsid w:val="46894B18"/>
    <w:rsid w:val="469448C6"/>
    <w:rsid w:val="469F39B5"/>
    <w:rsid w:val="46A232B5"/>
    <w:rsid w:val="46A50B23"/>
    <w:rsid w:val="46B80AF8"/>
    <w:rsid w:val="46B87BDD"/>
    <w:rsid w:val="46D37F0B"/>
    <w:rsid w:val="46D71533"/>
    <w:rsid w:val="46E53335"/>
    <w:rsid w:val="47001F81"/>
    <w:rsid w:val="47040E98"/>
    <w:rsid w:val="470A337F"/>
    <w:rsid w:val="47155D89"/>
    <w:rsid w:val="47253C54"/>
    <w:rsid w:val="473069AF"/>
    <w:rsid w:val="473672E7"/>
    <w:rsid w:val="473F2E3A"/>
    <w:rsid w:val="474A0EAF"/>
    <w:rsid w:val="474E50BE"/>
    <w:rsid w:val="47696F9C"/>
    <w:rsid w:val="47725A17"/>
    <w:rsid w:val="477D3243"/>
    <w:rsid w:val="478821A1"/>
    <w:rsid w:val="478837D2"/>
    <w:rsid w:val="479128A9"/>
    <w:rsid w:val="47975EDC"/>
    <w:rsid w:val="47983B19"/>
    <w:rsid w:val="479E1EC1"/>
    <w:rsid w:val="479E5E8D"/>
    <w:rsid w:val="47A3609D"/>
    <w:rsid w:val="47B22306"/>
    <w:rsid w:val="47B806D7"/>
    <w:rsid w:val="47C01792"/>
    <w:rsid w:val="47C03E43"/>
    <w:rsid w:val="47C57A48"/>
    <w:rsid w:val="47D511BD"/>
    <w:rsid w:val="480321E6"/>
    <w:rsid w:val="4808150F"/>
    <w:rsid w:val="480E6650"/>
    <w:rsid w:val="480F51A8"/>
    <w:rsid w:val="48256B1B"/>
    <w:rsid w:val="48282713"/>
    <w:rsid w:val="484417FA"/>
    <w:rsid w:val="48450ECE"/>
    <w:rsid w:val="484759CD"/>
    <w:rsid w:val="484B14EC"/>
    <w:rsid w:val="48701816"/>
    <w:rsid w:val="48713351"/>
    <w:rsid w:val="487E3BB9"/>
    <w:rsid w:val="48802846"/>
    <w:rsid w:val="48834583"/>
    <w:rsid w:val="48850157"/>
    <w:rsid w:val="488E3A0E"/>
    <w:rsid w:val="48B116EA"/>
    <w:rsid w:val="48B74C7A"/>
    <w:rsid w:val="48BE32BF"/>
    <w:rsid w:val="48C354EC"/>
    <w:rsid w:val="48C97EF9"/>
    <w:rsid w:val="48CB2583"/>
    <w:rsid w:val="48D429DD"/>
    <w:rsid w:val="48E01C77"/>
    <w:rsid w:val="48E22285"/>
    <w:rsid w:val="48E50D90"/>
    <w:rsid w:val="48EC0D75"/>
    <w:rsid w:val="48F906C8"/>
    <w:rsid w:val="48FA15CC"/>
    <w:rsid w:val="49007CCF"/>
    <w:rsid w:val="490277F9"/>
    <w:rsid w:val="490C3E65"/>
    <w:rsid w:val="49196BD7"/>
    <w:rsid w:val="491B63DF"/>
    <w:rsid w:val="491D63E9"/>
    <w:rsid w:val="492A068A"/>
    <w:rsid w:val="4932285C"/>
    <w:rsid w:val="493551FE"/>
    <w:rsid w:val="493E2F78"/>
    <w:rsid w:val="49474EFA"/>
    <w:rsid w:val="495217DF"/>
    <w:rsid w:val="4958367A"/>
    <w:rsid w:val="498A16CD"/>
    <w:rsid w:val="499F6692"/>
    <w:rsid w:val="49A33C27"/>
    <w:rsid w:val="49A750B5"/>
    <w:rsid w:val="49B73E16"/>
    <w:rsid w:val="49BA335B"/>
    <w:rsid w:val="49BE07DA"/>
    <w:rsid w:val="49C2238E"/>
    <w:rsid w:val="49C84AA0"/>
    <w:rsid w:val="49CF7FC7"/>
    <w:rsid w:val="49D7694D"/>
    <w:rsid w:val="49DD6D4D"/>
    <w:rsid w:val="49E515CA"/>
    <w:rsid w:val="49FC11EF"/>
    <w:rsid w:val="4A013507"/>
    <w:rsid w:val="4A0244D3"/>
    <w:rsid w:val="4A035870"/>
    <w:rsid w:val="4A255046"/>
    <w:rsid w:val="4A28799C"/>
    <w:rsid w:val="4A2E1525"/>
    <w:rsid w:val="4A2F72A1"/>
    <w:rsid w:val="4A3E43AB"/>
    <w:rsid w:val="4A4F73F7"/>
    <w:rsid w:val="4A5A2744"/>
    <w:rsid w:val="4A5A756D"/>
    <w:rsid w:val="4A785772"/>
    <w:rsid w:val="4A7B5051"/>
    <w:rsid w:val="4A89105B"/>
    <w:rsid w:val="4AA341CC"/>
    <w:rsid w:val="4AA51DAF"/>
    <w:rsid w:val="4AB605D1"/>
    <w:rsid w:val="4AB67E5C"/>
    <w:rsid w:val="4ABE6FB0"/>
    <w:rsid w:val="4AC13295"/>
    <w:rsid w:val="4AC31003"/>
    <w:rsid w:val="4AC40F4C"/>
    <w:rsid w:val="4ACC41EB"/>
    <w:rsid w:val="4AD25F33"/>
    <w:rsid w:val="4ADB2DDC"/>
    <w:rsid w:val="4AE072CB"/>
    <w:rsid w:val="4AE93159"/>
    <w:rsid w:val="4AF02EA1"/>
    <w:rsid w:val="4AF86281"/>
    <w:rsid w:val="4B072155"/>
    <w:rsid w:val="4B174032"/>
    <w:rsid w:val="4B250CF8"/>
    <w:rsid w:val="4B277E4E"/>
    <w:rsid w:val="4B315351"/>
    <w:rsid w:val="4B7C4100"/>
    <w:rsid w:val="4B830F9B"/>
    <w:rsid w:val="4B9B0C47"/>
    <w:rsid w:val="4B9D4011"/>
    <w:rsid w:val="4B9D4B5C"/>
    <w:rsid w:val="4BA41C83"/>
    <w:rsid w:val="4BB36BDD"/>
    <w:rsid w:val="4BBC374F"/>
    <w:rsid w:val="4BC32290"/>
    <w:rsid w:val="4BD0339A"/>
    <w:rsid w:val="4BEB429E"/>
    <w:rsid w:val="4BF32495"/>
    <w:rsid w:val="4BFA3FA2"/>
    <w:rsid w:val="4C0103B4"/>
    <w:rsid w:val="4C2B4DDD"/>
    <w:rsid w:val="4C3025E9"/>
    <w:rsid w:val="4C562920"/>
    <w:rsid w:val="4C5D1F92"/>
    <w:rsid w:val="4C603F16"/>
    <w:rsid w:val="4C6262E0"/>
    <w:rsid w:val="4C632900"/>
    <w:rsid w:val="4C6703A3"/>
    <w:rsid w:val="4C6C6F25"/>
    <w:rsid w:val="4C6D7518"/>
    <w:rsid w:val="4C923A72"/>
    <w:rsid w:val="4C932435"/>
    <w:rsid w:val="4C95255F"/>
    <w:rsid w:val="4CB96B0F"/>
    <w:rsid w:val="4CCA2CA6"/>
    <w:rsid w:val="4CCD100D"/>
    <w:rsid w:val="4CD315DD"/>
    <w:rsid w:val="4CDE1A81"/>
    <w:rsid w:val="4CE34E9F"/>
    <w:rsid w:val="4CF52D94"/>
    <w:rsid w:val="4D004273"/>
    <w:rsid w:val="4D131782"/>
    <w:rsid w:val="4D133494"/>
    <w:rsid w:val="4D2B086E"/>
    <w:rsid w:val="4D3267B3"/>
    <w:rsid w:val="4D3520AA"/>
    <w:rsid w:val="4D462159"/>
    <w:rsid w:val="4D465FB7"/>
    <w:rsid w:val="4D566017"/>
    <w:rsid w:val="4D613CEC"/>
    <w:rsid w:val="4D773A25"/>
    <w:rsid w:val="4D7D3EFB"/>
    <w:rsid w:val="4D8125CD"/>
    <w:rsid w:val="4D8367CC"/>
    <w:rsid w:val="4D8B0123"/>
    <w:rsid w:val="4D9E243B"/>
    <w:rsid w:val="4D9F4BBD"/>
    <w:rsid w:val="4DAF14C5"/>
    <w:rsid w:val="4DB9067A"/>
    <w:rsid w:val="4DBA4F8F"/>
    <w:rsid w:val="4DC605B6"/>
    <w:rsid w:val="4DCA0533"/>
    <w:rsid w:val="4DD732D2"/>
    <w:rsid w:val="4DDD4847"/>
    <w:rsid w:val="4DE6535D"/>
    <w:rsid w:val="4DE81F80"/>
    <w:rsid w:val="4DEB39E3"/>
    <w:rsid w:val="4DEC0985"/>
    <w:rsid w:val="4E0538A3"/>
    <w:rsid w:val="4E0E6818"/>
    <w:rsid w:val="4E27683A"/>
    <w:rsid w:val="4E354DF5"/>
    <w:rsid w:val="4E3D2324"/>
    <w:rsid w:val="4E4C1D55"/>
    <w:rsid w:val="4E4C50A3"/>
    <w:rsid w:val="4E510698"/>
    <w:rsid w:val="4E535E90"/>
    <w:rsid w:val="4E576363"/>
    <w:rsid w:val="4E635567"/>
    <w:rsid w:val="4E63744A"/>
    <w:rsid w:val="4E642C68"/>
    <w:rsid w:val="4E695D36"/>
    <w:rsid w:val="4E742982"/>
    <w:rsid w:val="4E866DFB"/>
    <w:rsid w:val="4E9C0636"/>
    <w:rsid w:val="4E9D1C91"/>
    <w:rsid w:val="4EA30DB6"/>
    <w:rsid w:val="4EA40AAA"/>
    <w:rsid w:val="4EA7341F"/>
    <w:rsid w:val="4EBD41B7"/>
    <w:rsid w:val="4EC04CC0"/>
    <w:rsid w:val="4EC062F0"/>
    <w:rsid w:val="4EC15329"/>
    <w:rsid w:val="4EC63BC9"/>
    <w:rsid w:val="4EC804EA"/>
    <w:rsid w:val="4ED71862"/>
    <w:rsid w:val="4EDB58B2"/>
    <w:rsid w:val="4EDD335F"/>
    <w:rsid w:val="4EE925CE"/>
    <w:rsid w:val="4EEF2E30"/>
    <w:rsid w:val="4EF24828"/>
    <w:rsid w:val="4EFE7F59"/>
    <w:rsid w:val="4F016DF9"/>
    <w:rsid w:val="4F285975"/>
    <w:rsid w:val="4F2A7BF3"/>
    <w:rsid w:val="4F2E2624"/>
    <w:rsid w:val="4F4E1077"/>
    <w:rsid w:val="4F4E7DA7"/>
    <w:rsid w:val="4F52614B"/>
    <w:rsid w:val="4F546156"/>
    <w:rsid w:val="4F550A23"/>
    <w:rsid w:val="4F671A09"/>
    <w:rsid w:val="4F844A99"/>
    <w:rsid w:val="4F874A89"/>
    <w:rsid w:val="4F94662C"/>
    <w:rsid w:val="4FAB2D34"/>
    <w:rsid w:val="4FB00163"/>
    <w:rsid w:val="4FB208E7"/>
    <w:rsid w:val="4FD11690"/>
    <w:rsid w:val="4FDC4355"/>
    <w:rsid w:val="4FE30332"/>
    <w:rsid w:val="4FE70BB4"/>
    <w:rsid w:val="4FE73C01"/>
    <w:rsid w:val="4FE87C31"/>
    <w:rsid w:val="50051807"/>
    <w:rsid w:val="500815B6"/>
    <w:rsid w:val="500B39BC"/>
    <w:rsid w:val="5022123F"/>
    <w:rsid w:val="502B7315"/>
    <w:rsid w:val="503F32CF"/>
    <w:rsid w:val="5041152A"/>
    <w:rsid w:val="50421ACF"/>
    <w:rsid w:val="5042655E"/>
    <w:rsid w:val="505B6052"/>
    <w:rsid w:val="505C5D66"/>
    <w:rsid w:val="50687CFD"/>
    <w:rsid w:val="507E1B25"/>
    <w:rsid w:val="508E3B94"/>
    <w:rsid w:val="508E4492"/>
    <w:rsid w:val="5090223F"/>
    <w:rsid w:val="50924591"/>
    <w:rsid w:val="509B6236"/>
    <w:rsid w:val="50AB5EB6"/>
    <w:rsid w:val="50AE0413"/>
    <w:rsid w:val="50B16618"/>
    <w:rsid w:val="50BB6306"/>
    <w:rsid w:val="50BE6F9A"/>
    <w:rsid w:val="50C63DCB"/>
    <w:rsid w:val="50C8106B"/>
    <w:rsid w:val="50CE5616"/>
    <w:rsid w:val="50DD4592"/>
    <w:rsid w:val="50DF6379"/>
    <w:rsid w:val="50EF1C07"/>
    <w:rsid w:val="50F8688B"/>
    <w:rsid w:val="50FC4E36"/>
    <w:rsid w:val="5105169B"/>
    <w:rsid w:val="51062881"/>
    <w:rsid w:val="51081B92"/>
    <w:rsid w:val="510861B3"/>
    <w:rsid w:val="51093901"/>
    <w:rsid w:val="510956BD"/>
    <w:rsid w:val="51230220"/>
    <w:rsid w:val="512C57DC"/>
    <w:rsid w:val="51352D55"/>
    <w:rsid w:val="51366C95"/>
    <w:rsid w:val="51471753"/>
    <w:rsid w:val="514E4912"/>
    <w:rsid w:val="515400FF"/>
    <w:rsid w:val="515D735D"/>
    <w:rsid w:val="516974E9"/>
    <w:rsid w:val="51781A83"/>
    <w:rsid w:val="51867298"/>
    <w:rsid w:val="51894D69"/>
    <w:rsid w:val="518D21E1"/>
    <w:rsid w:val="51930297"/>
    <w:rsid w:val="51953936"/>
    <w:rsid w:val="519E116A"/>
    <w:rsid w:val="51A2793A"/>
    <w:rsid w:val="51A67E0E"/>
    <w:rsid w:val="51B30516"/>
    <w:rsid w:val="51B43C5E"/>
    <w:rsid w:val="51BA0CB7"/>
    <w:rsid w:val="51C93676"/>
    <w:rsid w:val="51CB1F8D"/>
    <w:rsid w:val="51D129CA"/>
    <w:rsid w:val="51D93F8A"/>
    <w:rsid w:val="51E5046A"/>
    <w:rsid w:val="520E5E03"/>
    <w:rsid w:val="521B6C41"/>
    <w:rsid w:val="52272B85"/>
    <w:rsid w:val="523A62FD"/>
    <w:rsid w:val="523E09B5"/>
    <w:rsid w:val="5249247A"/>
    <w:rsid w:val="525466FB"/>
    <w:rsid w:val="525770DA"/>
    <w:rsid w:val="525777C6"/>
    <w:rsid w:val="525E17DE"/>
    <w:rsid w:val="52687B2A"/>
    <w:rsid w:val="526E0E82"/>
    <w:rsid w:val="52720C99"/>
    <w:rsid w:val="527901C6"/>
    <w:rsid w:val="5280722C"/>
    <w:rsid w:val="529A1C65"/>
    <w:rsid w:val="529F4F80"/>
    <w:rsid w:val="52A24532"/>
    <w:rsid w:val="52B3363A"/>
    <w:rsid w:val="52B825FC"/>
    <w:rsid w:val="52C4763C"/>
    <w:rsid w:val="52C51658"/>
    <w:rsid w:val="52C6080F"/>
    <w:rsid w:val="52CE44E6"/>
    <w:rsid w:val="52D10CEE"/>
    <w:rsid w:val="52DE691D"/>
    <w:rsid w:val="52E04D27"/>
    <w:rsid w:val="52ED0C96"/>
    <w:rsid w:val="53061721"/>
    <w:rsid w:val="530C0E6B"/>
    <w:rsid w:val="532C6DCC"/>
    <w:rsid w:val="532F77EA"/>
    <w:rsid w:val="5333550F"/>
    <w:rsid w:val="53364F5D"/>
    <w:rsid w:val="533933AA"/>
    <w:rsid w:val="533B7F54"/>
    <w:rsid w:val="5343196D"/>
    <w:rsid w:val="534809C3"/>
    <w:rsid w:val="535009E1"/>
    <w:rsid w:val="5352474D"/>
    <w:rsid w:val="53542621"/>
    <w:rsid w:val="53557606"/>
    <w:rsid w:val="53650168"/>
    <w:rsid w:val="536C2A29"/>
    <w:rsid w:val="53766D1C"/>
    <w:rsid w:val="53836AFA"/>
    <w:rsid w:val="538859E4"/>
    <w:rsid w:val="538F5AF2"/>
    <w:rsid w:val="539C2D37"/>
    <w:rsid w:val="53A20FFA"/>
    <w:rsid w:val="53A233E4"/>
    <w:rsid w:val="53A94C48"/>
    <w:rsid w:val="53AA7BC7"/>
    <w:rsid w:val="53AE0779"/>
    <w:rsid w:val="53AE5EA5"/>
    <w:rsid w:val="53B00B1F"/>
    <w:rsid w:val="53B2409D"/>
    <w:rsid w:val="53BD6FA3"/>
    <w:rsid w:val="53D6247A"/>
    <w:rsid w:val="53DB3477"/>
    <w:rsid w:val="53E77CBF"/>
    <w:rsid w:val="53F8424E"/>
    <w:rsid w:val="53FE7128"/>
    <w:rsid w:val="54247F22"/>
    <w:rsid w:val="542C29CD"/>
    <w:rsid w:val="542F1551"/>
    <w:rsid w:val="54381756"/>
    <w:rsid w:val="54596DB5"/>
    <w:rsid w:val="545A1EBF"/>
    <w:rsid w:val="54641104"/>
    <w:rsid w:val="54684287"/>
    <w:rsid w:val="54717CCC"/>
    <w:rsid w:val="54727478"/>
    <w:rsid w:val="549D0132"/>
    <w:rsid w:val="54B06F11"/>
    <w:rsid w:val="54B56DF4"/>
    <w:rsid w:val="54B93943"/>
    <w:rsid w:val="54BE5578"/>
    <w:rsid w:val="54BF52B5"/>
    <w:rsid w:val="54CB7F48"/>
    <w:rsid w:val="54D202CA"/>
    <w:rsid w:val="54D54E59"/>
    <w:rsid w:val="54DD41DB"/>
    <w:rsid w:val="54E4179D"/>
    <w:rsid w:val="54E43C38"/>
    <w:rsid w:val="54ED3D78"/>
    <w:rsid w:val="54F02D69"/>
    <w:rsid w:val="54F52BA3"/>
    <w:rsid w:val="54F54E04"/>
    <w:rsid w:val="550B4121"/>
    <w:rsid w:val="550D5CFC"/>
    <w:rsid w:val="55197997"/>
    <w:rsid w:val="551B356A"/>
    <w:rsid w:val="551E7C84"/>
    <w:rsid w:val="552A6B56"/>
    <w:rsid w:val="5532385A"/>
    <w:rsid w:val="553E1482"/>
    <w:rsid w:val="554748F2"/>
    <w:rsid w:val="554B5B7F"/>
    <w:rsid w:val="554D414C"/>
    <w:rsid w:val="554E7279"/>
    <w:rsid w:val="555523EA"/>
    <w:rsid w:val="55594FFB"/>
    <w:rsid w:val="555D2DFD"/>
    <w:rsid w:val="55637CEB"/>
    <w:rsid w:val="55716C7A"/>
    <w:rsid w:val="55757FB9"/>
    <w:rsid w:val="55884237"/>
    <w:rsid w:val="558C7FAA"/>
    <w:rsid w:val="559C353C"/>
    <w:rsid w:val="55A03EEB"/>
    <w:rsid w:val="55A25EB7"/>
    <w:rsid w:val="55A82784"/>
    <w:rsid w:val="55A97512"/>
    <w:rsid w:val="55B63FD5"/>
    <w:rsid w:val="55C35A76"/>
    <w:rsid w:val="55D40743"/>
    <w:rsid w:val="55DD6F2A"/>
    <w:rsid w:val="55E8339E"/>
    <w:rsid w:val="55E92876"/>
    <w:rsid w:val="55F06771"/>
    <w:rsid w:val="56013311"/>
    <w:rsid w:val="56106284"/>
    <w:rsid w:val="562339AD"/>
    <w:rsid w:val="562A776B"/>
    <w:rsid w:val="5632642A"/>
    <w:rsid w:val="56375B61"/>
    <w:rsid w:val="56431AFC"/>
    <w:rsid w:val="56462238"/>
    <w:rsid w:val="564944F4"/>
    <w:rsid w:val="564C7B44"/>
    <w:rsid w:val="564E5820"/>
    <w:rsid w:val="565D2FED"/>
    <w:rsid w:val="56630C00"/>
    <w:rsid w:val="566D64C3"/>
    <w:rsid w:val="567739D2"/>
    <w:rsid w:val="5686536D"/>
    <w:rsid w:val="568B1DB1"/>
    <w:rsid w:val="568B2BAE"/>
    <w:rsid w:val="568B2D64"/>
    <w:rsid w:val="56A55214"/>
    <w:rsid w:val="56A67978"/>
    <w:rsid w:val="56AC63C5"/>
    <w:rsid w:val="56B60932"/>
    <w:rsid w:val="56B61F71"/>
    <w:rsid w:val="56C1700B"/>
    <w:rsid w:val="56D25618"/>
    <w:rsid w:val="56E84A97"/>
    <w:rsid w:val="57011F3E"/>
    <w:rsid w:val="5705646B"/>
    <w:rsid w:val="57060649"/>
    <w:rsid w:val="571A7A1F"/>
    <w:rsid w:val="57214480"/>
    <w:rsid w:val="5732705F"/>
    <w:rsid w:val="5734308D"/>
    <w:rsid w:val="57351D6F"/>
    <w:rsid w:val="5750195B"/>
    <w:rsid w:val="575556C1"/>
    <w:rsid w:val="576476C1"/>
    <w:rsid w:val="577B3337"/>
    <w:rsid w:val="57940F3C"/>
    <w:rsid w:val="579E7733"/>
    <w:rsid w:val="57A33734"/>
    <w:rsid w:val="57AB6ADD"/>
    <w:rsid w:val="57BD72A7"/>
    <w:rsid w:val="57BE5838"/>
    <w:rsid w:val="57C85610"/>
    <w:rsid w:val="57E532C4"/>
    <w:rsid w:val="57FC07D9"/>
    <w:rsid w:val="57FF6992"/>
    <w:rsid w:val="580144C3"/>
    <w:rsid w:val="58021C8C"/>
    <w:rsid w:val="580D1F08"/>
    <w:rsid w:val="580F1B21"/>
    <w:rsid w:val="581B7E79"/>
    <w:rsid w:val="58276B45"/>
    <w:rsid w:val="582A1A99"/>
    <w:rsid w:val="58342AEA"/>
    <w:rsid w:val="58403228"/>
    <w:rsid w:val="584D5888"/>
    <w:rsid w:val="58500F22"/>
    <w:rsid w:val="58587379"/>
    <w:rsid w:val="585D5BB3"/>
    <w:rsid w:val="585E3E88"/>
    <w:rsid w:val="5860518C"/>
    <w:rsid w:val="586D57A3"/>
    <w:rsid w:val="587917A0"/>
    <w:rsid w:val="587A4288"/>
    <w:rsid w:val="5880052B"/>
    <w:rsid w:val="58832326"/>
    <w:rsid w:val="589E5C53"/>
    <w:rsid w:val="58AC41AA"/>
    <w:rsid w:val="58AD27D9"/>
    <w:rsid w:val="58B169A2"/>
    <w:rsid w:val="58B9636C"/>
    <w:rsid w:val="58C37133"/>
    <w:rsid w:val="58C64786"/>
    <w:rsid w:val="58C93046"/>
    <w:rsid w:val="58CB483C"/>
    <w:rsid w:val="58CC44BC"/>
    <w:rsid w:val="58CF5440"/>
    <w:rsid w:val="58D36BCB"/>
    <w:rsid w:val="58D52BCD"/>
    <w:rsid w:val="58D66E1C"/>
    <w:rsid w:val="58D915D3"/>
    <w:rsid w:val="58E2665F"/>
    <w:rsid w:val="58E6349C"/>
    <w:rsid w:val="58ED7D90"/>
    <w:rsid w:val="58EF63EE"/>
    <w:rsid w:val="590317F0"/>
    <w:rsid w:val="5907442B"/>
    <w:rsid w:val="59075000"/>
    <w:rsid w:val="59110182"/>
    <w:rsid w:val="5912595C"/>
    <w:rsid w:val="59200EBC"/>
    <w:rsid w:val="593559FD"/>
    <w:rsid w:val="593C1020"/>
    <w:rsid w:val="593C34D9"/>
    <w:rsid w:val="594079B2"/>
    <w:rsid w:val="5942577F"/>
    <w:rsid w:val="594A13D7"/>
    <w:rsid w:val="59524851"/>
    <w:rsid w:val="595B3146"/>
    <w:rsid w:val="596B0B42"/>
    <w:rsid w:val="596B38A7"/>
    <w:rsid w:val="5972655B"/>
    <w:rsid w:val="5987482A"/>
    <w:rsid w:val="59904485"/>
    <w:rsid w:val="599C49A8"/>
    <w:rsid w:val="59A36725"/>
    <w:rsid w:val="59A85123"/>
    <w:rsid w:val="59B03B40"/>
    <w:rsid w:val="59B07FB1"/>
    <w:rsid w:val="59B13FF3"/>
    <w:rsid w:val="59B21BF9"/>
    <w:rsid w:val="59BB1BC6"/>
    <w:rsid w:val="59BB4EA3"/>
    <w:rsid w:val="59E9525B"/>
    <w:rsid w:val="59ED369A"/>
    <w:rsid w:val="5A011A3B"/>
    <w:rsid w:val="5A0E332F"/>
    <w:rsid w:val="5A3822F5"/>
    <w:rsid w:val="5A3C0F08"/>
    <w:rsid w:val="5A3E5B83"/>
    <w:rsid w:val="5A4A0FD5"/>
    <w:rsid w:val="5A562A4C"/>
    <w:rsid w:val="5A5663A3"/>
    <w:rsid w:val="5A571746"/>
    <w:rsid w:val="5A5907CA"/>
    <w:rsid w:val="5A6253E3"/>
    <w:rsid w:val="5A8E6670"/>
    <w:rsid w:val="5A912613"/>
    <w:rsid w:val="5A9245E9"/>
    <w:rsid w:val="5A953D41"/>
    <w:rsid w:val="5ABC50F4"/>
    <w:rsid w:val="5AC33874"/>
    <w:rsid w:val="5ACC4940"/>
    <w:rsid w:val="5AD71465"/>
    <w:rsid w:val="5AD86A6D"/>
    <w:rsid w:val="5AEC14F6"/>
    <w:rsid w:val="5AF078D1"/>
    <w:rsid w:val="5AF124A4"/>
    <w:rsid w:val="5AF809EC"/>
    <w:rsid w:val="5B137BF9"/>
    <w:rsid w:val="5B141085"/>
    <w:rsid w:val="5B220213"/>
    <w:rsid w:val="5B28192B"/>
    <w:rsid w:val="5B2E7D32"/>
    <w:rsid w:val="5B402461"/>
    <w:rsid w:val="5B600DA9"/>
    <w:rsid w:val="5B631C92"/>
    <w:rsid w:val="5B66707B"/>
    <w:rsid w:val="5B673066"/>
    <w:rsid w:val="5B6F4CBD"/>
    <w:rsid w:val="5B785E83"/>
    <w:rsid w:val="5B7C1CD1"/>
    <w:rsid w:val="5B9251EF"/>
    <w:rsid w:val="5BA7684F"/>
    <w:rsid w:val="5BAB5BC4"/>
    <w:rsid w:val="5BB20B74"/>
    <w:rsid w:val="5BB85FE1"/>
    <w:rsid w:val="5BC677D8"/>
    <w:rsid w:val="5BC71659"/>
    <w:rsid w:val="5BE26FCC"/>
    <w:rsid w:val="5BE96C97"/>
    <w:rsid w:val="5BEB0120"/>
    <w:rsid w:val="5C057E77"/>
    <w:rsid w:val="5C094F67"/>
    <w:rsid w:val="5C097C4E"/>
    <w:rsid w:val="5C1A3A93"/>
    <w:rsid w:val="5C1E1E5E"/>
    <w:rsid w:val="5C235386"/>
    <w:rsid w:val="5C3B6CFC"/>
    <w:rsid w:val="5C423F4D"/>
    <w:rsid w:val="5C443830"/>
    <w:rsid w:val="5C487355"/>
    <w:rsid w:val="5C4C2CF4"/>
    <w:rsid w:val="5C5400D3"/>
    <w:rsid w:val="5C562457"/>
    <w:rsid w:val="5C6B1600"/>
    <w:rsid w:val="5C7D70D1"/>
    <w:rsid w:val="5C8542A8"/>
    <w:rsid w:val="5C8749DF"/>
    <w:rsid w:val="5C931B9E"/>
    <w:rsid w:val="5C937232"/>
    <w:rsid w:val="5C9664F6"/>
    <w:rsid w:val="5C9D292C"/>
    <w:rsid w:val="5CA00E30"/>
    <w:rsid w:val="5CA1479B"/>
    <w:rsid w:val="5CA6294E"/>
    <w:rsid w:val="5CB0091F"/>
    <w:rsid w:val="5CB514F3"/>
    <w:rsid w:val="5CB60B44"/>
    <w:rsid w:val="5CC340BC"/>
    <w:rsid w:val="5CC85FC5"/>
    <w:rsid w:val="5CDB3358"/>
    <w:rsid w:val="5CED4E0C"/>
    <w:rsid w:val="5CFD3E7C"/>
    <w:rsid w:val="5D034EE9"/>
    <w:rsid w:val="5D0366E8"/>
    <w:rsid w:val="5D044FED"/>
    <w:rsid w:val="5D0A06B6"/>
    <w:rsid w:val="5D0F1FBD"/>
    <w:rsid w:val="5D1307E8"/>
    <w:rsid w:val="5D174E5B"/>
    <w:rsid w:val="5D212A05"/>
    <w:rsid w:val="5D2F4802"/>
    <w:rsid w:val="5D3444E6"/>
    <w:rsid w:val="5D3767A5"/>
    <w:rsid w:val="5D3F0BDF"/>
    <w:rsid w:val="5D48142C"/>
    <w:rsid w:val="5D5607E6"/>
    <w:rsid w:val="5D5B7098"/>
    <w:rsid w:val="5D620742"/>
    <w:rsid w:val="5D634782"/>
    <w:rsid w:val="5D693F0E"/>
    <w:rsid w:val="5D6E1B86"/>
    <w:rsid w:val="5D790367"/>
    <w:rsid w:val="5D7B386B"/>
    <w:rsid w:val="5D7C3AA3"/>
    <w:rsid w:val="5D7C7286"/>
    <w:rsid w:val="5D8A0472"/>
    <w:rsid w:val="5D8A2CFF"/>
    <w:rsid w:val="5D960EE9"/>
    <w:rsid w:val="5D9A0CFA"/>
    <w:rsid w:val="5DA35DEF"/>
    <w:rsid w:val="5DB052AA"/>
    <w:rsid w:val="5DBF2F00"/>
    <w:rsid w:val="5DD14397"/>
    <w:rsid w:val="5DD3123F"/>
    <w:rsid w:val="5DD71C7A"/>
    <w:rsid w:val="5DD734EC"/>
    <w:rsid w:val="5DDD641A"/>
    <w:rsid w:val="5DEC05A1"/>
    <w:rsid w:val="5DFD51DB"/>
    <w:rsid w:val="5E040CAD"/>
    <w:rsid w:val="5E0B0848"/>
    <w:rsid w:val="5E1D4A67"/>
    <w:rsid w:val="5E237029"/>
    <w:rsid w:val="5E2D4789"/>
    <w:rsid w:val="5E3A3BD1"/>
    <w:rsid w:val="5E4D7446"/>
    <w:rsid w:val="5E5203B8"/>
    <w:rsid w:val="5E654AED"/>
    <w:rsid w:val="5E6A5399"/>
    <w:rsid w:val="5E71373F"/>
    <w:rsid w:val="5E717191"/>
    <w:rsid w:val="5E734892"/>
    <w:rsid w:val="5E830708"/>
    <w:rsid w:val="5E831398"/>
    <w:rsid w:val="5E85633A"/>
    <w:rsid w:val="5E921A45"/>
    <w:rsid w:val="5E975993"/>
    <w:rsid w:val="5EB51FDE"/>
    <w:rsid w:val="5EBA4472"/>
    <w:rsid w:val="5EC4038A"/>
    <w:rsid w:val="5ECA3D37"/>
    <w:rsid w:val="5EE153F8"/>
    <w:rsid w:val="5EED7893"/>
    <w:rsid w:val="5F0842F6"/>
    <w:rsid w:val="5F0A3A61"/>
    <w:rsid w:val="5F1562F3"/>
    <w:rsid w:val="5F683B6E"/>
    <w:rsid w:val="5F6E14D7"/>
    <w:rsid w:val="5F71471F"/>
    <w:rsid w:val="5F742691"/>
    <w:rsid w:val="5F8416C1"/>
    <w:rsid w:val="5F875C0C"/>
    <w:rsid w:val="5F8B03DB"/>
    <w:rsid w:val="5F8F0B9E"/>
    <w:rsid w:val="5F8F267A"/>
    <w:rsid w:val="5F9E5F96"/>
    <w:rsid w:val="5FB94C48"/>
    <w:rsid w:val="5FBA0F65"/>
    <w:rsid w:val="5FCE4FD3"/>
    <w:rsid w:val="5FF37587"/>
    <w:rsid w:val="5FFE57B7"/>
    <w:rsid w:val="60060CD5"/>
    <w:rsid w:val="600762FF"/>
    <w:rsid w:val="60085AA3"/>
    <w:rsid w:val="600C34C4"/>
    <w:rsid w:val="600D1D0C"/>
    <w:rsid w:val="600E362B"/>
    <w:rsid w:val="60183392"/>
    <w:rsid w:val="601A4CB1"/>
    <w:rsid w:val="602C236D"/>
    <w:rsid w:val="6036396D"/>
    <w:rsid w:val="603967D7"/>
    <w:rsid w:val="603D3325"/>
    <w:rsid w:val="60470CE3"/>
    <w:rsid w:val="604A6A1F"/>
    <w:rsid w:val="605C3003"/>
    <w:rsid w:val="60641A9C"/>
    <w:rsid w:val="60673C40"/>
    <w:rsid w:val="606A52D4"/>
    <w:rsid w:val="607A029B"/>
    <w:rsid w:val="607C3753"/>
    <w:rsid w:val="608043BB"/>
    <w:rsid w:val="608761E2"/>
    <w:rsid w:val="608C1EF4"/>
    <w:rsid w:val="608D1D4E"/>
    <w:rsid w:val="6092569C"/>
    <w:rsid w:val="60AD0357"/>
    <w:rsid w:val="60AF7434"/>
    <w:rsid w:val="60B004BE"/>
    <w:rsid w:val="60BA604C"/>
    <w:rsid w:val="60C30855"/>
    <w:rsid w:val="60C338B1"/>
    <w:rsid w:val="60D35C0D"/>
    <w:rsid w:val="60D4742F"/>
    <w:rsid w:val="60D95276"/>
    <w:rsid w:val="60E06DEB"/>
    <w:rsid w:val="60E51841"/>
    <w:rsid w:val="60E53887"/>
    <w:rsid w:val="60F129EA"/>
    <w:rsid w:val="61063DBC"/>
    <w:rsid w:val="61110088"/>
    <w:rsid w:val="611543D6"/>
    <w:rsid w:val="61421EFD"/>
    <w:rsid w:val="6144656F"/>
    <w:rsid w:val="61486149"/>
    <w:rsid w:val="615C5041"/>
    <w:rsid w:val="61676636"/>
    <w:rsid w:val="6182260C"/>
    <w:rsid w:val="618C1883"/>
    <w:rsid w:val="619117A1"/>
    <w:rsid w:val="61972EF8"/>
    <w:rsid w:val="61C60977"/>
    <w:rsid w:val="61D37C8C"/>
    <w:rsid w:val="61D43A2B"/>
    <w:rsid w:val="61D61317"/>
    <w:rsid w:val="61DB091C"/>
    <w:rsid w:val="61DF3A9F"/>
    <w:rsid w:val="61F112FF"/>
    <w:rsid w:val="61FF316E"/>
    <w:rsid w:val="620F4BAD"/>
    <w:rsid w:val="621542CB"/>
    <w:rsid w:val="621A2B05"/>
    <w:rsid w:val="622D59F2"/>
    <w:rsid w:val="624263A2"/>
    <w:rsid w:val="625272C3"/>
    <w:rsid w:val="625D5DC9"/>
    <w:rsid w:val="62715337"/>
    <w:rsid w:val="6280204D"/>
    <w:rsid w:val="62820D2A"/>
    <w:rsid w:val="6290769B"/>
    <w:rsid w:val="62943D08"/>
    <w:rsid w:val="62A411F8"/>
    <w:rsid w:val="62BA7A46"/>
    <w:rsid w:val="62C376AC"/>
    <w:rsid w:val="62CE13CB"/>
    <w:rsid w:val="62D2197B"/>
    <w:rsid w:val="62D92B37"/>
    <w:rsid w:val="62E97D27"/>
    <w:rsid w:val="62F6011A"/>
    <w:rsid w:val="632624E0"/>
    <w:rsid w:val="6327422B"/>
    <w:rsid w:val="632D369F"/>
    <w:rsid w:val="6333152F"/>
    <w:rsid w:val="633B249F"/>
    <w:rsid w:val="634408F8"/>
    <w:rsid w:val="634D3C76"/>
    <w:rsid w:val="634D7789"/>
    <w:rsid w:val="63552D76"/>
    <w:rsid w:val="6359778B"/>
    <w:rsid w:val="635B63E3"/>
    <w:rsid w:val="63776102"/>
    <w:rsid w:val="63783BC0"/>
    <w:rsid w:val="638C3395"/>
    <w:rsid w:val="639623D1"/>
    <w:rsid w:val="639E76D8"/>
    <w:rsid w:val="639F3A80"/>
    <w:rsid w:val="63A14DDA"/>
    <w:rsid w:val="63A6046B"/>
    <w:rsid w:val="63A90788"/>
    <w:rsid w:val="63B159B9"/>
    <w:rsid w:val="63BA3154"/>
    <w:rsid w:val="63BD710D"/>
    <w:rsid w:val="63CA2E8B"/>
    <w:rsid w:val="63E333C1"/>
    <w:rsid w:val="63F47D2A"/>
    <w:rsid w:val="63FE2D33"/>
    <w:rsid w:val="64103F57"/>
    <w:rsid w:val="64113810"/>
    <w:rsid w:val="64264A79"/>
    <w:rsid w:val="64304E58"/>
    <w:rsid w:val="64311867"/>
    <w:rsid w:val="64391ED3"/>
    <w:rsid w:val="643C409B"/>
    <w:rsid w:val="6445632E"/>
    <w:rsid w:val="644A3F19"/>
    <w:rsid w:val="64585750"/>
    <w:rsid w:val="645E7889"/>
    <w:rsid w:val="64623C90"/>
    <w:rsid w:val="647D566C"/>
    <w:rsid w:val="648939AA"/>
    <w:rsid w:val="648F468F"/>
    <w:rsid w:val="649B1AC2"/>
    <w:rsid w:val="64A06BFF"/>
    <w:rsid w:val="64A7467B"/>
    <w:rsid w:val="64C07AC0"/>
    <w:rsid w:val="64C86505"/>
    <w:rsid w:val="64E657A5"/>
    <w:rsid w:val="64FE700F"/>
    <w:rsid w:val="6500327F"/>
    <w:rsid w:val="6506609B"/>
    <w:rsid w:val="65083216"/>
    <w:rsid w:val="65084E45"/>
    <w:rsid w:val="652D418B"/>
    <w:rsid w:val="653474CE"/>
    <w:rsid w:val="653C3417"/>
    <w:rsid w:val="65460728"/>
    <w:rsid w:val="654B153D"/>
    <w:rsid w:val="654D3BF2"/>
    <w:rsid w:val="656868EF"/>
    <w:rsid w:val="657A608F"/>
    <w:rsid w:val="657C7016"/>
    <w:rsid w:val="657D778E"/>
    <w:rsid w:val="65822810"/>
    <w:rsid w:val="65870C45"/>
    <w:rsid w:val="65AA6346"/>
    <w:rsid w:val="65AC5BF0"/>
    <w:rsid w:val="65B56C47"/>
    <w:rsid w:val="65B8262E"/>
    <w:rsid w:val="65BC15EE"/>
    <w:rsid w:val="65BD59F8"/>
    <w:rsid w:val="65C74F5E"/>
    <w:rsid w:val="65D23D59"/>
    <w:rsid w:val="65D4773F"/>
    <w:rsid w:val="65DC5939"/>
    <w:rsid w:val="65DC7985"/>
    <w:rsid w:val="65E26649"/>
    <w:rsid w:val="65F14641"/>
    <w:rsid w:val="65F17C39"/>
    <w:rsid w:val="65F5655C"/>
    <w:rsid w:val="65FC0C8E"/>
    <w:rsid w:val="65FF006B"/>
    <w:rsid w:val="66052F43"/>
    <w:rsid w:val="6609487E"/>
    <w:rsid w:val="661D25CE"/>
    <w:rsid w:val="66206CF2"/>
    <w:rsid w:val="66265846"/>
    <w:rsid w:val="66287C9C"/>
    <w:rsid w:val="663366CF"/>
    <w:rsid w:val="66407F26"/>
    <w:rsid w:val="664805B8"/>
    <w:rsid w:val="664F7AE6"/>
    <w:rsid w:val="66566122"/>
    <w:rsid w:val="665B55EA"/>
    <w:rsid w:val="66655F85"/>
    <w:rsid w:val="666D1BC7"/>
    <w:rsid w:val="667C7AEC"/>
    <w:rsid w:val="66984358"/>
    <w:rsid w:val="66994617"/>
    <w:rsid w:val="669B7C76"/>
    <w:rsid w:val="66A200F8"/>
    <w:rsid w:val="66A30EC2"/>
    <w:rsid w:val="66AA4BA8"/>
    <w:rsid w:val="66B2692F"/>
    <w:rsid w:val="66C955BD"/>
    <w:rsid w:val="66D31898"/>
    <w:rsid w:val="66DC317D"/>
    <w:rsid w:val="66EB4314"/>
    <w:rsid w:val="670C6D27"/>
    <w:rsid w:val="670D579F"/>
    <w:rsid w:val="670D67CE"/>
    <w:rsid w:val="670E6A3B"/>
    <w:rsid w:val="67105BAB"/>
    <w:rsid w:val="67127AC7"/>
    <w:rsid w:val="671B1631"/>
    <w:rsid w:val="672736CE"/>
    <w:rsid w:val="672801D6"/>
    <w:rsid w:val="67302DC3"/>
    <w:rsid w:val="674318B2"/>
    <w:rsid w:val="674D4B22"/>
    <w:rsid w:val="67527824"/>
    <w:rsid w:val="67570422"/>
    <w:rsid w:val="675D31B4"/>
    <w:rsid w:val="67686C2C"/>
    <w:rsid w:val="676D2F4B"/>
    <w:rsid w:val="677A17D2"/>
    <w:rsid w:val="677A266A"/>
    <w:rsid w:val="677B2E32"/>
    <w:rsid w:val="677C1A81"/>
    <w:rsid w:val="67A05B72"/>
    <w:rsid w:val="67B163D1"/>
    <w:rsid w:val="67D365F8"/>
    <w:rsid w:val="67E60BCD"/>
    <w:rsid w:val="67EE3D0F"/>
    <w:rsid w:val="67F45538"/>
    <w:rsid w:val="680239EB"/>
    <w:rsid w:val="680722DA"/>
    <w:rsid w:val="681938D1"/>
    <w:rsid w:val="681F71B3"/>
    <w:rsid w:val="682211D1"/>
    <w:rsid w:val="682A2E18"/>
    <w:rsid w:val="68523B9A"/>
    <w:rsid w:val="685C6395"/>
    <w:rsid w:val="68607778"/>
    <w:rsid w:val="686318DD"/>
    <w:rsid w:val="686342D0"/>
    <w:rsid w:val="68635145"/>
    <w:rsid w:val="686F0DE5"/>
    <w:rsid w:val="687C00FB"/>
    <w:rsid w:val="687F607E"/>
    <w:rsid w:val="688E25E2"/>
    <w:rsid w:val="68A34C5C"/>
    <w:rsid w:val="68A42935"/>
    <w:rsid w:val="68B63CF9"/>
    <w:rsid w:val="68CA3183"/>
    <w:rsid w:val="68D15606"/>
    <w:rsid w:val="68E24981"/>
    <w:rsid w:val="68E31B32"/>
    <w:rsid w:val="68F73307"/>
    <w:rsid w:val="69123F86"/>
    <w:rsid w:val="691C3525"/>
    <w:rsid w:val="69216128"/>
    <w:rsid w:val="69280874"/>
    <w:rsid w:val="693A417E"/>
    <w:rsid w:val="69430C28"/>
    <w:rsid w:val="695D6B21"/>
    <w:rsid w:val="695E22F2"/>
    <w:rsid w:val="69611EE7"/>
    <w:rsid w:val="69667335"/>
    <w:rsid w:val="696C708E"/>
    <w:rsid w:val="696F4D5D"/>
    <w:rsid w:val="69706524"/>
    <w:rsid w:val="69722623"/>
    <w:rsid w:val="69850877"/>
    <w:rsid w:val="698C13C5"/>
    <w:rsid w:val="69AC040E"/>
    <w:rsid w:val="69C8265A"/>
    <w:rsid w:val="69D94209"/>
    <w:rsid w:val="69DC44FD"/>
    <w:rsid w:val="69EA1A07"/>
    <w:rsid w:val="69EE7649"/>
    <w:rsid w:val="69F0745A"/>
    <w:rsid w:val="6A1141CC"/>
    <w:rsid w:val="6A151116"/>
    <w:rsid w:val="6A1D59EC"/>
    <w:rsid w:val="6A247F72"/>
    <w:rsid w:val="6A2E7AC1"/>
    <w:rsid w:val="6A3E2393"/>
    <w:rsid w:val="6A435B92"/>
    <w:rsid w:val="6A444DB8"/>
    <w:rsid w:val="6A4D4828"/>
    <w:rsid w:val="6A516AC3"/>
    <w:rsid w:val="6A5303BA"/>
    <w:rsid w:val="6A5A54D2"/>
    <w:rsid w:val="6A677080"/>
    <w:rsid w:val="6A696621"/>
    <w:rsid w:val="6A711183"/>
    <w:rsid w:val="6A762B91"/>
    <w:rsid w:val="6A7B4B9C"/>
    <w:rsid w:val="6A922C56"/>
    <w:rsid w:val="6AAF014C"/>
    <w:rsid w:val="6ACB082B"/>
    <w:rsid w:val="6AD3247E"/>
    <w:rsid w:val="6AE308A6"/>
    <w:rsid w:val="6B046820"/>
    <w:rsid w:val="6B156AE0"/>
    <w:rsid w:val="6B1D0704"/>
    <w:rsid w:val="6B1D6FAB"/>
    <w:rsid w:val="6B287FBE"/>
    <w:rsid w:val="6B2B0EFD"/>
    <w:rsid w:val="6B2C13E4"/>
    <w:rsid w:val="6B2F19CE"/>
    <w:rsid w:val="6B371AA7"/>
    <w:rsid w:val="6B3C43FB"/>
    <w:rsid w:val="6B4B0A4C"/>
    <w:rsid w:val="6B50310B"/>
    <w:rsid w:val="6B5045E2"/>
    <w:rsid w:val="6B63243A"/>
    <w:rsid w:val="6B736A2E"/>
    <w:rsid w:val="6B7C51E5"/>
    <w:rsid w:val="6B8170D6"/>
    <w:rsid w:val="6B884219"/>
    <w:rsid w:val="6B90781F"/>
    <w:rsid w:val="6BA9194F"/>
    <w:rsid w:val="6BCC3362"/>
    <w:rsid w:val="6BE402C8"/>
    <w:rsid w:val="6BE727F5"/>
    <w:rsid w:val="6BE83A33"/>
    <w:rsid w:val="6BFD6EE1"/>
    <w:rsid w:val="6C155534"/>
    <w:rsid w:val="6C1B5387"/>
    <w:rsid w:val="6C240DF3"/>
    <w:rsid w:val="6C45610F"/>
    <w:rsid w:val="6C532E82"/>
    <w:rsid w:val="6C59472D"/>
    <w:rsid w:val="6C5A4564"/>
    <w:rsid w:val="6C603744"/>
    <w:rsid w:val="6C637CCF"/>
    <w:rsid w:val="6C6F3E1F"/>
    <w:rsid w:val="6C7802EB"/>
    <w:rsid w:val="6C79488C"/>
    <w:rsid w:val="6C7C3C95"/>
    <w:rsid w:val="6C7E2A0A"/>
    <w:rsid w:val="6C7E3E0E"/>
    <w:rsid w:val="6C89456C"/>
    <w:rsid w:val="6C8C3FA7"/>
    <w:rsid w:val="6C973076"/>
    <w:rsid w:val="6CA20D5B"/>
    <w:rsid w:val="6CCD2A39"/>
    <w:rsid w:val="6CD63FB3"/>
    <w:rsid w:val="6CD742CC"/>
    <w:rsid w:val="6CF952B4"/>
    <w:rsid w:val="6D056EA6"/>
    <w:rsid w:val="6D06056F"/>
    <w:rsid w:val="6D221E52"/>
    <w:rsid w:val="6D227835"/>
    <w:rsid w:val="6D2B0A2A"/>
    <w:rsid w:val="6D3C6626"/>
    <w:rsid w:val="6D3C779D"/>
    <w:rsid w:val="6D4B0E7D"/>
    <w:rsid w:val="6D4C04C2"/>
    <w:rsid w:val="6D5D0DB5"/>
    <w:rsid w:val="6D6855B1"/>
    <w:rsid w:val="6D7B4AB7"/>
    <w:rsid w:val="6D842A6D"/>
    <w:rsid w:val="6D853DB6"/>
    <w:rsid w:val="6D89784B"/>
    <w:rsid w:val="6D994756"/>
    <w:rsid w:val="6D9E0566"/>
    <w:rsid w:val="6DB519B1"/>
    <w:rsid w:val="6DC1541F"/>
    <w:rsid w:val="6DDC72CD"/>
    <w:rsid w:val="6DED3A19"/>
    <w:rsid w:val="6DF43BD4"/>
    <w:rsid w:val="6E000622"/>
    <w:rsid w:val="6E0E1FAB"/>
    <w:rsid w:val="6E2143FB"/>
    <w:rsid w:val="6E2C6EBD"/>
    <w:rsid w:val="6E317378"/>
    <w:rsid w:val="6E334459"/>
    <w:rsid w:val="6E3C00E0"/>
    <w:rsid w:val="6E4215C6"/>
    <w:rsid w:val="6E4B0158"/>
    <w:rsid w:val="6E4D611F"/>
    <w:rsid w:val="6E4F3D89"/>
    <w:rsid w:val="6E533755"/>
    <w:rsid w:val="6E5413AD"/>
    <w:rsid w:val="6E567C9E"/>
    <w:rsid w:val="6E580E15"/>
    <w:rsid w:val="6E5B692B"/>
    <w:rsid w:val="6E5D796A"/>
    <w:rsid w:val="6E635028"/>
    <w:rsid w:val="6E636A71"/>
    <w:rsid w:val="6E685B0A"/>
    <w:rsid w:val="6E695F11"/>
    <w:rsid w:val="6E73404A"/>
    <w:rsid w:val="6E7355AA"/>
    <w:rsid w:val="6E7E3BB7"/>
    <w:rsid w:val="6E7E49A7"/>
    <w:rsid w:val="6E857922"/>
    <w:rsid w:val="6E920B5B"/>
    <w:rsid w:val="6E990B16"/>
    <w:rsid w:val="6E9A3775"/>
    <w:rsid w:val="6EA10310"/>
    <w:rsid w:val="6EA50F15"/>
    <w:rsid w:val="6EB169D3"/>
    <w:rsid w:val="6EB829B1"/>
    <w:rsid w:val="6EB978A9"/>
    <w:rsid w:val="6EC42765"/>
    <w:rsid w:val="6ECC3A24"/>
    <w:rsid w:val="6ED86D3E"/>
    <w:rsid w:val="6EDD143D"/>
    <w:rsid w:val="6EDD7A49"/>
    <w:rsid w:val="6EDE559B"/>
    <w:rsid w:val="6EE9744F"/>
    <w:rsid w:val="6EEC3F7C"/>
    <w:rsid w:val="6EFE1485"/>
    <w:rsid w:val="6F031F8E"/>
    <w:rsid w:val="6F0425B3"/>
    <w:rsid w:val="6F0D382C"/>
    <w:rsid w:val="6F1859D0"/>
    <w:rsid w:val="6F1B27CA"/>
    <w:rsid w:val="6F2632E8"/>
    <w:rsid w:val="6F30363A"/>
    <w:rsid w:val="6F3316E5"/>
    <w:rsid w:val="6F3F40F9"/>
    <w:rsid w:val="6F6A4496"/>
    <w:rsid w:val="6F6F14E1"/>
    <w:rsid w:val="6F85366A"/>
    <w:rsid w:val="6F90702F"/>
    <w:rsid w:val="6FA629D4"/>
    <w:rsid w:val="6FA75ADB"/>
    <w:rsid w:val="6FB744A4"/>
    <w:rsid w:val="6FB77ED4"/>
    <w:rsid w:val="6FBD4D2F"/>
    <w:rsid w:val="6FBE54C9"/>
    <w:rsid w:val="6FBF4710"/>
    <w:rsid w:val="6FC27371"/>
    <w:rsid w:val="6FC9109F"/>
    <w:rsid w:val="6FC973F7"/>
    <w:rsid w:val="6FD222C4"/>
    <w:rsid w:val="6FDB518F"/>
    <w:rsid w:val="6FE529ED"/>
    <w:rsid w:val="6FF1412A"/>
    <w:rsid w:val="6FF440BA"/>
    <w:rsid w:val="6FF733A7"/>
    <w:rsid w:val="6FF93435"/>
    <w:rsid w:val="70003DD9"/>
    <w:rsid w:val="70072915"/>
    <w:rsid w:val="70172090"/>
    <w:rsid w:val="70195E88"/>
    <w:rsid w:val="701D43BA"/>
    <w:rsid w:val="702728D9"/>
    <w:rsid w:val="702B6F43"/>
    <w:rsid w:val="7032079E"/>
    <w:rsid w:val="703C186A"/>
    <w:rsid w:val="70570007"/>
    <w:rsid w:val="706A537D"/>
    <w:rsid w:val="70776C11"/>
    <w:rsid w:val="70822BAD"/>
    <w:rsid w:val="708746BC"/>
    <w:rsid w:val="708F7F54"/>
    <w:rsid w:val="709A5ECC"/>
    <w:rsid w:val="709E3D85"/>
    <w:rsid w:val="70A63EDD"/>
    <w:rsid w:val="70AC660B"/>
    <w:rsid w:val="70AE58F4"/>
    <w:rsid w:val="70B17138"/>
    <w:rsid w:val="70BB2EF0"/>
    <w:rsid w:val="70BC2801"/>
    <w:rsid w:val="70C6646C"/>
    <w:rsid w:val="70C941CE"/>
    <w:rsid w:val="70FC2D1E"/>
    <w:rsid w:val="71015D6B"/>
    <w:rsid w:val="711059F7"/>
    <w:rsid w:val="71151975"/>
    <w:rsid w:val="71151F93"/>
    <w:rsid w:val="713118C3"/>
    <w:rsid w:val="7132157F"/>
    <w:rsid w:val="71336A65"/>
    <w:rsid w:val="713B5291"/>
    <w:rsid w:val="71545B37"/>
    <w:rsid w:val="71573E01"/>
    <w:rsid w:val="716B66C2"/>
    <w:rsid w:val="71702748"/>
    <w:rsid w:val="717D79A1"/>
    <w:rsid w:val="717F0007"/>
    <w:rsid w:val="71867894"/>
    <w:rsid w:val="7192695B"/>
    <w:rsid w:val="71932861"/>
    <w:rsid w:val="719F7A78"/>
    <w:rsid w:val="71C7540C"/>
    <w:rsid w:val="71F64A63"/>
    <w:rsid w:val="71F870B8"/>
    <w:rsid w:val="72021233"/>
    <w:rsid w:val="720B2A1D"/>
    <w:rsid w:val="72174817"/>
    <w:rsid w:val="7231040E"/>
    <w:rsid w:val="72430D76"/>
    <w:rsid w:val="72445E9B"/>
    <w:rsid w:val="72671940"/>
    <w:rsid w:val="727C422C"/>
    <w:rsid w:val="728054A0"/>
    <w:rsid w:val="728C5E44"/>
    <w:rsid w:val="7292045A"/>
    <w:rsid w:val="72974DBE"/>
    <w:rsid w:val="72A20C20"/>
    <w:rsid w:val="72AC5E95"/>
    <w:rsid w:val="72AE20F2"/>
    <w:rsid w:val="72BC63B0"/>
    <w:rsid w:val="72BF1FCE"/>
    <w:rsid w:val="72C132D3"/>
    <w:rsid w:val="72C13ED7"/>
    <w:rsid w:val="72CF1AC7"/>
    <w:rsid w:val="72DE6817"/>
    <w:rsid w:val="72E42AFA"/>
    <w:rsid w:val="72E671B2"/>
    <w:rsid w:val="72E75711"/>
    <w:rsid w:val="72E85578"/>
    <w:rsid w:val="72EB4466"/>
    <w:rsid w:val="72F92C7F"/>
    <w:rsid w:val="72FD426E"/>
    <w:rsid w:val="73043CFC"/>
    <w:rsid w:val="73161882"/>
    <w:rsid w:val="731A4C66"/>
    <w:rsid w:val="732C334F"/>
    <w:rsid w:val="73494287"/>
    <w:rsid w:val="734D52BA"/>
    <w:rsid w:val="734F0C79"/>
    <w:rsid w:val="734F4185"/>
    <w:rsid w:val="73520620"/>
    <w:rsid w:val="736249E3"/>
    <w:rsid w:val="7363274A"/>
    <w:rsid w:val="736645DE"/>
    <w:rsid w:val="73691A4A"/>
    <w:rsid w:val="737807F3"/>
    <w:rsid w:val="7388529A"/>
    <w:rsid w:val="738A6895"/>
    <w:rsid w:val="73AE76D8"/>
    <w:rsid w:val="73B04FAB"/>
    <w:rsid w:val="73BC7089"/>
    <w:rsid w:val="73BE7067"/>
    <w:rsid w:val="73DD2316"/>
    <w:rsid w:val="73E52294"/>
    <w:rsid w:val="73EF457F"/>
    <w:rsid w:val="73F26EC8"/>
    <w:rsid w:val="73F95568"/>
    <w:rsid w:val="73FF2D64"/>
    <w:rsid w:val="7402235F"/>
    <w:rsid w:val="74137154"/>
    <w:rsid w:val="741A4286"/>
    <w:rsid w:val="74257F79"/>
    <w:rsid w:val="74273820"/>
    <w:rsid w:val="7427471C"/>
    <w:rsid w:val="74277098"/>
    <w:rsid w:val="7429083F"/>
    <w:rsid w:val="742D7FA7"/>
    <w:rsid w:val="74355B0B"/>
    <w:rsid w:val="743C7157"/>
    <w:rsid w:val="74416F54"/>
    <w:rsid w:val="744B354F"/>
    <w:rsid w:val="7450294E"/>
    <w:rsid w:val="745E5245"/>
    <w:rsid w:val="74615D25"/>
    <w:rsid w:val="746900B2"/>
    <w:rsid w:val="746B732F"/>
    <w:rsid w:val="746E18CB"/>
    <w:rsid w:val="7485000A"/>
    <w:rsid w:val="74885F0B"/>
    <w:rsid w:val="748D52FA"/>
    <w:rsid w:val="74993216"/>
    <w:rsid w:val="749A7670"/>
    <w:rsid w:val="74A94EAA"/>
    <w:rsid w:val="74B44784"/>
    <w:rsid w:val="74B808BF"/>
    <w:rsid w:val="74CB5BC5"/>
    <w:rsid w:val="74DE41A5"/>
    <w:rsid w:val="74ED6DC4"/>
    <w:rsid w:val="75084E8F"/>
    <w:rsid w:val="751122B7"/>
    <w:rsid w:val="75137DDD"/>
    <w:rsid w:val="75171229"/>
    <w:rsid w:val="751F214A"/>
    <w:rsid w:val="75202656"/>
    <w:rsid w:val="753C7073"/>
    <w:rsid w:val="7540434E"/>
    <w:rsid w:val="755743A4"/>
    <w:rsid w:val="75632490"/>
    <w:rsid w:val="75752B04"/>
    <w:rsid w:val="758910BB"/>
    <w:rsid w:val="75955DA9"/>
    <w:rsid w:val="75977910"/>
    <w:rsid w:val="759F2A35"/>
    <w:rsid w:val="75AB15F6"/>
    <w:rsid w:val="75AB190A"/>
    <w:rsid w:val="75B15C41"/>
    <w:rsid w:val="75C30761"/>
    <w:rsid w:val="75C54845"/>
    <w:rsid w:val="75C76C47"/>
    <w:rsid w:val="75D12923"/>
    <w:rsid w:val="75E52DCA"/>
    <w:rsid w:val="75EA364B"/>
    <w:rsid w:val="75F20996"/>
    <w:rsid w:val="75F30166"/>
    <w:rsid w:val="75F96973"/>
    <w:rsid w:val="75FB6152"/>
    <w:rsid w:val="75FE5A56"/>
    <w:rsid w:val="760E1952"/>
    <w:rsid w:val="76123E1D"/>
    <w:rsid w:val="762A17C0"/>
    <w:rsid w:val="76425118"/>
    <w:rsid w:val="764838B9"/>
    <w:rsid w:val="764B15DA"/>
    <w:rsid w:val="764C09B4"/>
    <w:rsid w:val="764C3824"/>
    <w:rsid w:val="764F5A52"/>
    <w:rsid w:val="766A4A0D"/>
    <w:rsid w:val="766B37EE"/>
    <w:rsid w:val="76880357"/>
    <w:rsid w:val="7692667A"/>
    <w:rsid w:val="7693567A"/>
    <w:rsid w:val="76982273"/>
    <w:rsid w:val="769A7352"/>
    <w:rsid w:val="76A174C3"/>
    <w:rsid w:val="76A177B8"/>
    <w:rsid w:val="76A63028"/>
    <w:rsid w:val="76AD2761"/>
    <w:rsid w:val="76B64E53"/>
    <w:rsid w:val="76B8001A"/>
    <w:rsid w:val="76B92C06"/>
    <w:rsid w:val="76BC314A"/>
    <w:rsid w:val="76CF131E"/>
    <w:rsid w:val="76CF29D3"/>
    <w:rsid w:val="76E33ABE"/>
    <w:rsid w:val="76EC51FD"/>
    <w:rsid w:val="76ED32B6"/>
    <w:rsid w:val="76ED606D"/>
    <w:rsid w:val="76F410B8"/>
    <w:rsid w:val="77070DB8"/>
    <w:rsid w:val="77194245"/>
    <w:rsid w:val="771B67DF"/>
    <w:rsid w:val="7728379B"/>
    <w:rsid w:val="7734692D"/>
    <w:rsid w:val="77451578"/>
    <w:rsid w:val="77464BD7"/>
    <w:rsid w:val="77552DEC"/>
    <w:rsid w:val="775C033A"/>
    <w:rsid w:val="77692EA3"/>
    <w:rsid w:val="77825248"/>
    <w:rsid w:val="7785098B"/>
    <w:rsid w:val="77870D91"/>
    <w:rsid w:val="778A3229"/>
    <w:rsid w:val="778D28C3"/>
    <w:rsid w:val="779258CC"/>
    <w:rsid w:val="7794068F"/>
    <w:rsid w:val="779A096B"/>
    <w:rsid w:val="779B52FF"/>
    <w:rsid w:val="779F40DB"/>
    <w:rsid w:val="77A00E75"/>
    <w:rsid w:val="77A25449"/>
    <w:rsid w:val="77A80D17"/>
    <w:rsid w:val="77B841F3"/>
    <w:rsid w:val="77BD5911"/>
    <w:rsid w:val="77BE1830"/>
    <w:rsid w:val="77C078B1"/>
    <w:rsid w:val="77C759CB"/>
    <w:rsid w:val="77D33940"/>
    <w:rsid w:val="77E66E3C"/>
    <w:rsid w:val="77EA17B7"/>
    <w:rsid w:val="77F3789A"/>
    <w:rsid w:val="77F865B2"/>
    <w:rsid w:val="780326B9"/>
    <w:rsid w:val="78034B6F"/>
    <w:rsid w:val="78197CD6"/>
    <w:rsid w:val="7833711D"/>
    <w:rsid w:val="78497C2E"/>
    <w:rsid w:val="784A7A67"/>
    <w:rsid w:val="784E3030"/>
    <w:rsid w:val="7854087B"/>
    <w:rsid w:val="786A4053"/>
    <w:rsid w:val="78782A0D"/>
    <w:rsid w:val="787B5060"/>
    <w:rsid w:val="787E0AC5"/>
    <w:rsid w:val="788720E7"/>
    <w:rsid w:val="789E1637"/>
    <w:rsid w:val="78A90B04"/>
    <w:rsid w:val="78AE558D"/>
    <w:rsid w:val="78BD69DE"/>
    <w:rsid w:val="78C53485"/>
    <w:rsid w:val="78C76A01"/>
    <w:rsid w:val="78DA0EDC"/>
    <w:rsid w:val="78DA1003"/>
    <w:rsid w:val="78EC45D8"/>
    <w:rsid w:val="78EC6DF0"/>
    <w:rsid w:val="78F5335B"/>
    <w:rsid w:val="791843E7"/>
    <w:rsid w:val="792730E6"/>
    <w:rsid w:val="79332105"/>
    <w:rsid w:val="79395A92"/>
    <w:rsid w:val="793A736F"/>
    <w:rsid w:val="794008FB"/>
    <w:rsid w:val="794708D9"/>
    <w:rsid w:val="794B21A1"/>
    <w:rsid w:val="795821A2"/>
    <w:rsid w:val="795F12C2"/>
    <w:rsid w:val="7964574A"/>
    <w:rsid w:val="79764F6E"/>
    <w:rsid w:val="797A505D"/>
    <w:rsid w:val="79830E6C"/>
    <w:rsid w:val="798B59A2"/>
    <w:rsid w:val="79916C4B"/>
    <w:rsid w:val="799325F8"/>
    <w:rsid w:val="79941CF2"/>
    <w:rsid w:val="79973382"/>
    <w:rsid w:val="799A39D4"/>
    <w:rsid w:val="79BA66DB"/>
    <w:rsid w:val="79BA7760"/>
    <w:rsid w:val="79C1605A"/>
    <w:rsid w:val="79D33056"/>
    <w:rsid w:val="79EC0256"/>
    <w:rsid w:val="79F60153"/>
    <w:rsid w:val="79FB6E2C"/>
    <w:rsid w:val="7A000A00"/>
    <w:rsid w:val="7A211BEB"/>
    <w:rsid w:val="7A295BAF"/>
    <w:rsid w:val="7A4529A3"/>
    <w:rsid w:val="7A4C2D60"/>
    <w:rsid w:val="7A545D27"/>
    <w:rsid w:val="7A644851"/>
    <w:rsid w:val="7A6E4BF5"/>
    <w:rsid w:val="7A805A0E"/>
    <w:rsid w:val="7A851D5D"/>
    <w:rsid w:val="7A8A2267"/>
    <w:rsid w:val="7A92511C"/>
    <w:rsid w:val="7A9F6F88"/>
    <w:rsid w:val="7AB53126"/>
    <w:rsid w:val="7AB76FE8"/>
    <w:rsid w:val="7AC708E0"/>
    <w:rsid w:val="7AD268E2"/>
    <w:rsid w:val="7ADC0950"/>
    <w:rsid w:val="7ADC0B33"/>
    <w:rsid w:val="7AE14C19"/>
    <w:rsid w:val="7AEA174E"/>
    <w:rsid w:val="7AEC1B31"/>
    <w:rsid w:val="7AF76F40"/>
    <w:rsid w:val="7B274176"/>
    <w:rsid w:val="7B307D4E"/>
    <w:rsid w:val="7B356407"/>
    <w:rsid w:val="7B401C79"/>
    <w:rsid w:val="7B440ED6"/>
    <w:rsid w:val="7B4611D7"/>
    <w:rsid w:val="7B4678D7"/>
    <w:rsid w:val="7B4B2A93"/>
    <w:rsid w:val="7B527515"/>
    <w:rsid w:val="7B5922B3"/>
    <w:rsid w:val="7B6569FF"/>
    <w:rsid w:val="7B890A24"/>
    <w:rsid w:val="7B9642CC"/>
    <w:rsid w:val="7BA41D67"/>
    <w:rsid w:val="7BAA485C"/>
    <w:rsid w:val="7BAD1591"/>
    <w:rsid w:val="7BAF117E"/>
    <w:rsid w:val="7BD3716B"/>
    <w:rsid w:val="7BD77797"/>
    <w:rsid w:val="7BDC1C00"/>
    <w:rsid w:val="7BEC2711"/>
    <w:rsid w:val="7BF55850"/>
    <w:rsid w:val="7BFE117C"/>
    <w:rsid w:val="7C1054B7"/>
    <w:rsid w:val="7C143FB0"/>
    <w:rsid w:val="7C21195F"/>
    <w:rsid w:val="7C26369C"/>
    <w:rsid w:val="7C2A465C"/>
    <w:rsid w:val="7C305879"/>
    <w:rsid w:val="7C34521A"/>
    <w:rsid w:val="7C4A2BD1"/>
    <w:rsid w:val="7C576C70"/>
    <w:rsid w:val="7C5B0211"/>
    <w:rsid w:val="7C686C61"/>
    <w:rsid w:val="7C6D5985"/>
    <w:rsid w:val="7C701814"/>
    <w:rsid w:val="7C77043F"/>
    <w:rsid w:val="7C77330E"/>
    <w:rsid w:val="7C8A7CDC"/>
    <w:rsid w:val="7C9E5A24"/>
    <w:rsid w:val="7CAD4798"/>
    <w:rsid w:val="7CB4006B"/>
    <w:rsid w:val="7CB93ABB"/>
    <w:rsid w:val="7CBE24B4"/>
    <w:rsid w:val="7CCD2199"/>
    <w:rsid w:val="7CCF1172"/>
    <w:rsid w:val="7CCF3A53"/>
    <w:rsid w:val="7CDA7EDA"/>
    <w:rsid w:val="7CE656F0"/>
    <w:rsid w:val="7CE87FE8"/>
    <w:rsid w:val="7CED34FF"/>
    <w:rsid w:val="7CEE5458"/>
    <w:rsid w:val="7CF26588"/>
    <w:rsid w:val="7CF305CD"/>
    <w:rsid w:val="7CF565D7"/>
    <w:rsid w:val="7CFA3A46"/>
    <w:rsid w:val="7D0F5720"/>
    <w:rsid w:val="7D1F61D2"/>
    <w:rsid w:val="7D260EB6"/>
    <w:rsid w:val="7D2E198F"/>
    <w:rsid w:val="7D366D67"/>
    <w:rsid w:val="7D3B3737"/>
    <w:rsid w:val="7D3D73AF"/>
    <w:rsid w:val="7D420743"/>
    <w:rsid w:val="7D5B27C9"/>
    <w:rsid w:val="7D62117D"/>
    <w:rsid w:val="7D666D1A"/>
    <w:rsid w:val="7D816CE5"/>
    <w:rsid w:val="7D834A16"/>
    <w:rsid w:val="7D9D438F"/>
    <w:rsid w:val="7DA514D2"/>
    <w:rsid w:val="7DCD4EB5"/>
    <w:rsid w:val="7DCE4622"/>
    <w:rsid w:val="7DF83D1A"/>
    <w:rsid w:val="7DFF415C"/>
    <w:rsid w:val="7E090313"/>
    <w:rsid w:val="7E2E4C94"/>
    <w:rsid w:val="7E31409A"/>
    <w:rsid w:val="7E3E0FEC"/>
    <w:rsid w:val="7E3E1EF2"/>
    <w:rsid w:val="7E436D4C"/>
    <w:rsid w:val="7E555BA2"/>
    <w:rsid w:val="7E5C1ABA"/>
    <w:rsid w:val="7E62165E"/>
    <w:rsid w:val="7E622778"/>
    <w:rsid w:val="7E756346"/>
    <w:rsid w:val="7E85174A"/>
    <w:rsid w:val="7E851FBF"/>
    <w:rsid w:val="7E8B4DC2"/>
    <w:rsid w:val="7EAA7C26"/>
    <w:rsid w:val="7EAF1FAA"/>
    <w:rsid w:val="7EB4653A"/>
    <w:rsid w:val="7EBB576E"/>
    <w:rsid w:val="7EC06781"/>
    <w:rsid w:val="7ECA4601"/>
    <w:rsid w:val="7ECF01D5"/>
    <w:rsid w:val="7ED10C1A"/>
    <w:rsid w:val="7EDC22AD"/>
    <w:rsid w:val="7EE34086"/>
    <w:rsid w:val="7EE55F89"/>
    <w:rsid w:val="7EEB5719"/>
    <w:rsid w:val="7EF215E8"/>
    <w:rsid w:val="7EF525E1"/>
    <w:rsid w:val="7EF74FC9"/>
    <w:rsid w:val="7EFB30E3"/>
    <w:rsid w:val="7EFD49DC"/>
    <w:rsid w:val="7F023AF5"/>
    <w:rsid w:val="7F0C2035"/>
    <w:rsid w:val="7F0F7992"/>
    <w:rsid w:val="7F1B0865"/>
    <w:rsid w:val="7F271AA3"/>
    <w:rsid w:val="7F332190"/>
    <w:rsid w:val="7F3843DF"/>
    <w:rsid w:val="7F3D68DF"/>
    <w:rsid w:val="7F453289"/>
    <w:rsid w:val="7F4705C3"/>
    <w:rsid w:val="7F484B27"/>
    <w:rsid w:val="7F5131F8"/>
    <w:rsid w:val="7F542B37"/>
    <w:rsid w:val="7F6B2248"/>
    <w:rsid w:val="7F7D7A8E"/>
    <w:rsid w:val="7F872588"/>
    <w:rsid w:val="7F8725BA"/>
    <w:rsid w:val="7F8C6A8F"/>
    <w:rsid w:val="7F980F2D"/>
    <w:rsid w:val="7F9C175D"/>
    <w:rsid w:val="7FA85877"/>
    <w:rsid w:val="7FAE6452"/>
    <w:rsid w:val="7FB431A7"/>
    <w:rsid w:val="7FC524C4"/>
    <w:rsid w:val="7FDC52B9"/>
    <w:rsid w:val="7FDD0795"/>
    <w:rsid w:val="7FE653BC"/>
    <w:rsid w:val="7FEA5C65"/>
    <w:rsid w:val="7FED1E7B"/>
    <w:rsid w:val="7FF25F15"/>
    <w:rsid w:val="7F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4">
    <w:name w:val="heading 2"/>
    <w:basedOn w:val="3"/>
    <w:next w:val="1"/>
    <w:link w:val="57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5">
    <w:name w:val="heading 3"/>
    <w:basedOn w:val="4"/>
    <w:next w:val="1"/>
    <w:link w:val="56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6">
    <w:name w:val="heading 4"/>
    <w:basedOn w:val="5"/>
    <w:next w:val="1"/>
    <w:link w:val="55"/>
    <w:qFormat/>
    <w:uiPriority w:val="0"/>
    <w:pPr>
      <w:ind w:left="1418" w:hanging="1418"/>
      <w:outlineLvl w:val="3"/>
    </w:p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等线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0">
    <w:name w:val="List 3"/>
    <w:basedOn w:val="11"/>
    <w:qFormat/>
    <w:uiPriority w:val="0"/>
    <w:pPr>
      <w:ind w:left="1135"/>
    </w:pPr>
  </w:style>
  <w:style w:type="paragraph" w:styleId="11">
    <w:name w:val="List 2"/>
    <w:basedOn w:val="12"/>
    <w:semiHidden/>
    <w:qFormat/>
    <w:uiPriority w:val="0"/>
    <w:pPr>
      <w:ind w:left="851"/>
    </w:pPr>
  </w:style>
  <w:style w:type="paragraph" w:styleId="12">
    <w:name w:val="List"/>
    <w:basedOn w:val="1"/>
    <w:qFormat/>
    <w:uiPriority w:val="0"/>
    <w:pPr>
      <w:ind w:left="568" w:hanging="284"/>
    </w:pPr>
  </w:style>
  <w:style w:type="paragraph" w:styleId="1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4">
    <w:name w:val="Document Map"/>
    <w:basedOn w:val="1"/>
    <w:link w:val="43"/>
    <w:semiHidden/>
    <w:unhideWhenUsed/>
    <w:qFormat/>
    <w:uiPriority w:val="99"/>
    <w:rPr>
      <w:rFonts w:ascii="宋体"/>
      <w:sz w:val="18"/>
      <w:szCs w:val="18"/>
    </w:rPr>
  </w:style>
  <w:style w:type="paragraph" w:styleId="15">
    <w:name w:val="annotation text"/>
    <w:basedOn w:val="1"/>
    <w:link w:val="44"/>
    <w:unhideWhenUsed/>
    <w:qFormat/>
    <w:uiPriority w:val="0"/>
    <w:pPr>
      <w:spacing w:before="120" w:after="120"/>
      <w:jc w:val="left"/>
    </w:pPr>
  </w:style>
  <w:style w:type="paragraph" w:styleId="16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7">
    <w:name w:val="Balloon Text"/>
    <w:basedOn w:val="1"/>
    <w:link w:val="32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8">
    <w:name w:val="footer"/>
    <w:basedOn w:val="1"/>
    <w:link w:val="4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40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20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1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2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3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4">
    <w:name w:val="annotation subject"/>
    <w:basedOn w:val="15"/>
    <w:next w:val="15"/>
    <w:link w:val="45"/>
    <w:semiHidden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Strong"/>
    <w:qFormat/>
    <w:uiPriority w:val="22"/>
    <w:rPr>
      <w:b/>
      <w:bCs/>
    </w:rPr>
  </w:style>
  <w:style w:type="character" w:styleId="29">
    <w:name w:val="Emphasis"/>
    <w:basedOn w:val="27"/>
    <w:qFormat/>
    <w:uiPriority w:val="20"/>
    <w:rPr>
      <w:i/>
    </w:rPr>
  </w:style>
  <w:style w:type="character" w:styleId="30">
    <w:name w:val="Hyperlink"/>
    <w:basedOn w:val="27"/>
    <w:qFormat/>
    <w:uiPriority w:val="99"/>
    <w:rPr>
      <w:color w:val="0000FF"/>
      <w:u w:val="single"/>
    </w:rPr>
  </w:style>
  <w:style w:type="character" w:styleId="31">
    <w:name w:val="annotation reference"/>
    <w:basedOn w:val="27"/>
    <w:unhideWhenUsed/>
    <w:qFormat/>
    <w:uiPriority w:val="0"/>
    <w:rPr>
      <w:sz w:val="16"/>
      <w:szCs w:val="16"/>
    </w:rPr>
  </w:style>
  <w:style w:type="character" w:customStyle="1" w:styleId="32">
    <w:name w:val="批注框文本 Char"/>
    <w:basedOn w:val="27"/>
    <w:link w:val="17"/>
    <w:semiHidden/>
    <w:qFormat/>
    <w:uiPriority w:val="99"/>
    <w:rPr>
      <w:kern w:val="2"/>
      <w:sz w:val="18"/>
      <w:szCs w:val="18"/>
    </w:rPr>
  </w:style>
  <w:style w:type="paragraph" w:customStyle="1" w:styleId="33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4">
    <w:name w:val="YJ-Observation"/>
    <w:basedOn w:val="33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5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6">
    <w:name w:val="List Paragraph"/>
    <w:basedOn w:val="1"/>
    <w:link w:val="70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7">
    <w:name w:val="sub-proposal"/>
    <w:basedOn w:val="33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8">
    <w:name w:val="样式1"/>
    <w:basedOn w:val="1"/>
    <w:qFormat/>
    <w:uiPriority w:val="0"/>
  </w:style>
  <w:style w:type="paragraph" w:customStyle="1" w:styleId="3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40">
    <w:name w:val="页眉 Char"/>
    <w:basedOn w:val="27"/>
    <w:link w:val="19"/>
    <w:semiHidden/>
    <w:qFormat/>
    <w:uiPriority w:val="0"/>
    <w:rPr>
      <w:rFonts w:eastAsia="宋体"/>
      <w:kern w:val="2"/>
      <w:sz w:val="21"/>
    </w:rPr>
  </w:style>
  <w:style w:type="character" w:customStyle="1" w:styleId="41">
    <w:name w:val="页脚 Char"/>
    <w:basedOn w:val="27"/>
    <w:link w:val="18"/>
    <w:qFormat/>
    <w:uiPriority w:val="99"/>
    <w:rPr>
      <w:rFonts w:eastAsia="宋体"/>
      <w:kern w:val="2"/>
      <w:sz w:val="18"/>
      <w:szCs w:val="18"/>
    </w:rPr>
  </w:style>
  <w:style w:type="paragraph" w:customStyle="1" w:styleId="42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3">
    <w:name w:val="文档结构图 Char"/>
    <w:basedOn w:val="27"/>
    <w:link w:val="14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4">
    <w:name w:val="批注文字 Char"/>
    <w:basedOn w:val="27"/>
    <w:link w:val="15"/>
    <w:qFormat/>
    <w:uiPriority w:val="0"/>
    <w:rPr>
      <w:rFonts w:eastAsia="宋体"/>
      <w:kern w:val="2"/>
      <w:sz w:val="21"/>
    </w:rPr>
  </w:style>
  <w:style w:type="character" w:customStyle="1" w:styleId="45">
    <w:name w:val="批注主题 Char"/>
    <w:basedOn w:val="44"/>
    <w:link w:val="24"/>
    <w:qFormat/>
    <w:uiPriority w:val="0"/>
    <w:rPr>
      <w:rFonts w:eastAsia="宋体"/>
      <w:kern w:val="2"/>
      <w:sz w:val="21"/>
    </w:rPr>
  </w:style>
  <w:style w:type="paragraph" w:customStyle="1" w:styleId="46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8">
    <w:name w:val="3rd level proposal"/>
    <w:basedOn w:val="37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9">
    <w:name w:val="B1"/>
    <w:basedOn w:val="12"/>
    <w:link w:val="63"/>
    <w:qFormat/>
    <w:uiPriority w:val="0"/>
  </w:style>
  <w:style w:type="paragraph" w:customStyle="1" w:styleId="50">
    <w:name w:val="B3"/>
    <w:basedOn w:val="10"/>
    <w:qFormat/>
    <w:uiPriority w:val="0"/>
    <w:pPr>
      <w:ind w:left="1135" w:hanging="284"/>
    </w:pPr>
  </w:style>
  <w:style w:type="character" w:styleId="51">
    <w:name w:val="Placeholder Text"/>
    <w:basedOn w:val="27"/>
    <w:semiHidden/>
    <w:qFormat/>
    <w:uiPriority w:val="99"/>
    <w:rPr>
      <w:color w:val="808080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B2"/>
    <w:basedOn w:val="11"/>
    <w:qFormat/>
    <w:uiPriority w:val="0"/>
    <w:pPr>
      <w:ind w:left="851" w:hanging="284"/>
    </w:pPr>
    <w:rPr>
      <w:lang w:val="zh-CN"/>
    </w:rPr>
  </w:style>
  <w:style w:type="paragraph" w:customStyle="1" w:styleId="54">
    <w:name w:val="B4"/>
    <w:basedOn w:val="1"/>
    <w:qFormat/>
    <w:uiPriority w:val="0"/>
    <w:pPr>
      <w:ind w:left="1418" w:hanging="284"/>
    </w:pPr>
  </w:style>
  <w:style w:type="character" w:customStyle="1" w:styleId="55">
    <w:name w:val="标题 4 Char"/>
    <w:basedOn w:val="27"/>
    <w:link w:val="6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3 Char"/>
    <w:basedOn w:val="27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7">
    <w:name w:val="标题 2 Char"/>
    <w:basedOn w:val="27"/>
    <w:link w:val="4"/>
    <w:qFormat/>
    <w:uiPriority w:val="0"/>
    <w:rPr>
      <w:rFonts w:ascii="Arial" w:hAnsi="Arial" w:eastAsia="MS Mincho"/>
      <w:kern w:val="2"/>
      <w:sz w:val="28"/>
    </w:r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TAC"/>
    <w:basedOn w:val="60"/>
    <w:link w:val="68"/>
    <w:qFormat/>
    <w:uiPriority w:val="0"/>
    <w:pPr>
      <w:jc w:val="center"/>
    </w:pPr>
  </w:style>
  <w:style w:type="paragraph" w:customStyle="1" w:styleId="60">
    <w:name w:val="TAL"/>
    <w:basedOn w:val="1"/>
    <w:link w:val="69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character" w:customStyle="1" w:styleId="63">
    <w:name w:val="B1 Char1"/>
    <w:link w:val="49"/>
    <w:qFormat/>
    <w:uiPriority w:val="0"/>
    <w:rPr>
      <w:kern w:val="2"/>
      <w:sz w:val="21"/>
    </w:rPr>
  </w:style>
  <w:style w:type="character" w:customStyle="1" w:styleId="64">
    <w:name w:val="NO Char"/>
    <w:link w:val="65"/>
    <w:qFormat/>
    <w:uiPriority w:val="0"/>
    <w:rPr>
      <w:lang w:val="en-GB" w:eastAsia="en-US"/>
    </w:rPr>
  </w:style>
  <w:style w:type="paragraph" w:customStyle="1" w:styleId="65">
    <w:name w:val="NO"/>
    <w:basedOn w:val="1"/>
    <w:link w:val="64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6">
    <w:name w:val="TAH Car"/>
    <w:link w:val="67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7">
    <w:name w:val="TAH"/>
    <w:basedOn w:val="59"/>
    <w:link w:val="66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8">
    <w:name w:val="TAC Char"/>
    <w:link w:val="59"/>
    <w:qFormat/>
    <w:locked/>
    <w:uiPriority w:val="0"/>
    <w:rPr>
      <w:rFonts w:ascii="Arial" w:hAnsi="Arial"/>
      <w:kern w:val="2"/>
      <w:sz w:val="18"/>
    </w:rPr>
  </w:style>
  <w:style w:type="character" w:customStyle="1" w:styleId="69">
    <w:name w:val="TAL Car"/>
    <w:link w:val="60"/>
    <w:qFormat/>
    <w:uiPriority w:val="0"/>
    <w:rPr>
      <w:rFonts w:ascii="Arial" w:hAnsi="Arial"/>
      <w:kern w:val="2"/>
      <w:sz w:val="18"/>
    </w:rPr>
  </w:style>
  <w:style w:type="character" w:customStyle="1" w:styleId="70">
    <w:name w:val="列出段落 Char"/>
    <w:link w:val="36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2">
    <w:name w:val="TAN"/>
    <w:basedOn w:val="60"/>
    <w:qFormat/>
    <w:uiPriority w:val="0"/>
    <w:pPr>
      <w:ind w:left="851" w:hanging="851"/>
    </w:pPr>
  </w:style>
  <w:style w:type="character" w:customStyle="1" w:styleId="73">
    <w:name w:val="font4"/>
    <w:basedOn w:val="27"/>
    <w:qFormat/>
    <w:uiPriority w:val="0"/>
  </w:style>
  <w:style w:type="paragraph" w:customStyle="1" w:styleId="74">
    <w:name w:val="样式 页眉"/>
    <w:basedOn w:val="19"/>
    <w:qFormat/>
    <w:uiPriority w:val="0"/>
    <w:rPr>
      <w:rFonts w:eastAsia="Arial"/>
      <w:bCs/>
      <w:sz w:val="22"/>
    </w:rPr>
  </w:style>
  <w:style w:type="paragraph" w:customStyle="1" w:styleId="7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2025-05-09T06:36:53Z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AF1F3577D5384F0DB2A0A25E3A3063ED</vt:lpwstr>
  </property>
</Properties>
</file>