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D9EB6">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bookmarkStart w:id="2" w:name="_Toc92513360"/>
      <w:bookmarkStart w:id="3" w:name="_Ref399006623"/>
      <w:r>
        <w:rPr>
          <w:rFonts w:ascii="Arial" w:hAnsi="Arial" w:eastAsia="宋体" w:cs="Arial"/>
          <w:b/>
          <w:kern w:val="0"/>
          <w:sz w:val="24"/>
          <w:szCs w:val="24"/>
          <w:lang w:val="en-US" w:eastAsia="zh-CN" w:bidi="ar-SA"/>
        </w:rPr>
        <w:t>3GPP TSG-RAN WG4 Meeting #115</w:t>
      </w:r>
      <w:r>
        <w:rPr>
          <w:rFonts w:hint="eastAsia" w:ascii="Arial" w:hAnsi="Arial" w:eastAsia="宋体" w:cs="Arial"/>
          <w:b/>
          <w:kern w:val="0"/>
          <w:sz w:val="24"/>
          <w:szCs w:val="24"/>
          <w:lang w:val="en-US" w:eastAsia="zh-CN" w:bidi="ar-SA"/>
        </w:rPr>
        <w:t xml:space="preserve">   </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R4-2505797</w:t>
      </w:r>
    </w:p>
    <w:p w14:paraId="0C2B50E8">
      <w:pPr>
        <w:spacing w:before="60" w:after="60"/>
        <w:outlineLvl w:val="0"/>
        <w:rPr>
          <w:rFonts w:ascii="Arial" w:hAnsi="Arial" w:eastAsia="宋体" w:cs="Arial"/>
          <w:b/>
          <w:kern w:val="0"/>
          <w:sz w:val="24"/>
          <w:szCs w:val="24"/>
        </w:rPr>
      </w:pPr>
      <w:r>
        <w:rPr>
          <w:rFonts w:ascii="Arial" w:hAnsi="Arial" w:eastAsia="宋体" w:cs="Arial"/>
          <w:b/>
          <w:kern w:val="0"/>
          <w:sz w:val="24"/>
          <w:szCs w:val="24"/>
          <w:lang w:val="en-US" w:eastAsia="zh-CN" w:bidi="ar-SA"/>
        </w:rPr>
        <w:t>Malta, MT,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May, 2025</w:t>
      </w:r>
    </w:p>
    <w:p w14:paraId="38D405BD">
      <w:pPr>
        <w:overflowPunct w:val="0"/>
        <w:autoSpaceDE w:val="0"/>
        <w:autoSpaceDN w:val="0"/>
        <w:adjustRightInd w:val="0"/>
        <w:textAlignment w:val="baseline"/>
        <w:rPr>
          <w:rFonts w:ascii="Arial" w:hAnsi="Arial" w:eastAsia="宋体" w:cs="Times New Roman"/>
          <w:b/>
          <w:bCs/>
          <w:kern w:val="0"/>
          <w:sz w:val="24"/>
          <w:szCs w:val="21"/>
          <w:lang w:val="en-GB"/>
        </w:rPr>
      </w:pPr>
    </w:p>
    <w:p w14:paraId="13326AC0">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7A356EDD">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 xml:space="preserve">Discussion on </w:t>
      </w:r>
      <w:bookmarkStart w:id="4" w:name="OLE_LINK6"/>
      <w:r>
        <w:rPr>
          <w:rFonts w:hint="eastAsia" w:ascii="Arial" w:hAnsi="Arial" w:cs="Arial"/>
          <w:sz w:val="24"/>
          <w:szCs w:val="24"/>
        </w:rPr>
        <w:t>other RRM core requirements</w:t>
      </w:r>
      <w:bookmarkEnd w:id="4"/>
      <w:r>
        <w:rPr>
          <w:rFonts w:hint="eastAsia" w:ascii="Arial" w:hAnsi="Arial" w:cs="Arial"/>
          <w:sz w:val="24"/>
          <w:szCs w:val="24"/>
        </w:rPr>
        <w:t xml:space="preserve"> in NTN for NR Phase 3</w:t>
      </w:r>
    </w:p>
    <w:p w14:paraId="25BB0514">
      <w:pPr>
        <w:ind w:left="1985" w:hanging="1985"/>
        <w:rPr>
          <w:rFonts w:hint="eastAsia"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rPr>
        <w:t>7.31.3.2</w:t>
      </w:r>
      <w:bookmarkStart w:id="7" w:name="_GoBack"/>
      <w:bookmarkEnd w:id="7"/>
    </w:p>
    <w:p w14:paraId="62F268B3">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3CE62903">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44"/>
          <w:szCs w:val="22"/>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5BCEFBDE">
      <w:pPr>
        <w:spacing w:before="120" w:beforeLines="50" w:after="120" w:afterLines="50"/>
        <w:rPr>
          <w:rFonts w:hint="default" w:ascii="Times New Roman" w:hAnsi="Times New Roman" w:eastAsia="MS Mincho" w:cs="Times New Roman"/>
          <w:kern w:val="0"/>
          <w:sz w:val="21"/>
          <w:szCs w:val="21"/>
          <w:lang w:val="en-GB" w:eastAsia="ja-JP"/>
        </w:rPr>
      </w:pPr>
      <w:r>
        <w:rPr>
          <w:rFonts w:hint="default" w:ascii="Times New Roman" w:hAnsi="Times New Roman" w:eastAsia="MS Mincho" w:cs="Times New Roman"/>
          <w:kern w:val="0"/>
          <w:sz w:val="21"/>
          <w:szCs w:val="21"/>
          <w:lang w:val="en-GB" w:eastAsia="ja-JP"/>
        </w:rPr>
        <w:t>In the last RAN4#11</w:t>
      </w:r>
      <w:r>
        <w:rPr>
          <w:rFonts w:hint="eastAsia" w:ascii="Times New Roman" w:hAnsi="Times New Roman" w:eastAsia="宋体" w:cs="Times New Roman"/>
          <w:kern w:val="0"/>
          <w:sz w:val="21"/>
          <w:szCs w:val="21"/>
          <w:lang w:val="en-US" w:eastAsia="zh-CN"/>
        </w:rPr>
        <w:t>4</w:t>
      </w:r>
      <w:r>
        <w:rPr>
          <w:rFonts w:hint="default" w:ascii="Times New Roman" w:hAnsi="Times New Roman" w:eastAsia="MS Mincho" w:cs="Times New Roman"/>
          <w:kern w:val="0"/>
          <w:sz w:val="21"/>
          <w:szCs w:val="21"/>
          <w:lang w:val="en-GB" w:eastAsia="ja-JP"/>
        </w:rPr>
        <w:t xml:space="preserve"> meeting,</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 xml:space="preserve">discussion </w:t>
      </w:r>
      <w:r>
        <w:rPr>
          <w:rFonts w:hint="eastAsia" w:ascii="Times New Roman" w:hAnsi="Times New Roman" w:eastAsia="宋体" w:cs="Times New Roman"/>
          <w:kern w:val="0"/>
          <w:sz w:val="21"/>
          <w:szCs w:val="21"/>
          <w:lang w:val="en-US" w:eastAsia="zh-CN"/>
        </w:rPr>
        <w:t xml:space="preserve">on RRM requirements for Rel-19 NR NTN phase3 addressed </w:t>
      </w:r>
      <w:r>
        <w:rPr>
          <w:rFonts w:hint="default" w:ascii="Times New Roman" w:hAnsi="Times New Roman" w:eastAsia="MS Mincho" w:cs="Times New Roman"/>
          <w:kern w:val="0"/>
          <w:sz w:val="21"/>
          <w:szCs w:val="21"/>
          <w:lang w:val="en-GB" w:eastAsia="ja-JP"/>
        </w:rPr>
        <w:t>and a WF was approved as detailed in [1].</w:t>
      </w:r>
      <w:r>
        <w:rPr>
          <w:rFonts w:hint="default" w:ascii="Times New Roman" w:hAnsi="Times New Roman" w:eastAsia="MS Mincho"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 xml:space="preserve">In this contribution, we would like to provide </w:t>
      </w:r>
      <w:r>
        <w:rPr>
          <w:rFonts w:hint="eastAsia" w:ascii="Times New Roman" w:hAnsi="Times New Roman" w:eastAsia="宋体" w:cs="Times New Roman"/>
          <w:kern w:val="0"/>
          <w:sz w:val="21"/>
          <w:szCs w:val="21"/>
          <w:lang w:val="en-US" w:eastAsia="zh-CN"/>
        </w:rPr>
        <w:t>our further</w:t>
      </w:r>
      <w:r>
        <w:rPr>
          <w:rFonts w:hint="default" w:ascii="Times New Roman" w:hAnsi="Times New Roman" w:eastAsia="MS Mincho" w:cs="Times New Roman"/>
          <w:kern w:val="0"/>
          <w:sz w:val="21"/>
          <w:szCs w:val="21"/>
          <w:lang w:val="en-GB" w:eastAsia="ja-JP"/>
        </w:rPr>
        <w:t xml:space="preserve"> discussion on other RRM core requirements in NTN for NR Phase 3 and provide our proposals.</w:t>
      </w:r>
    </w:p>
    <w:p w14:paraId="47332A25">
      <w:pPr>
        <w:pStyle w:val="28"/>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3A660C62">
      <w:pPr>
        <w:pStyle w:val="28"/>
        <w:keepNext/>
        <w:keepLines/>
        <w:numPr>
          <w:ilvl w:val="0"/>
          <w:numId w:val="0"/>
        </w:numPr>
        <w:pBdr>
          <w:top w:val="single" w:color="auto" w:sz="12" w:space="3"/>
        </w:pBdr>
        <w:overflowPunct w:val="0"/>
        <w:autoSpaceDE w:val="0"/>
        <w:autoSpaceDN w:val="0"/>
        <w:adjustRightInd w:val="0"/>
        <w:spacing w:before="240" w:after="240"/>
        <w:ind w:leftChars="0"/>
        <w:textAlignment w:val="baseline"/>
        <w:outlineLvl w:val="1"/>
        <w:rPr>
          <w:rFonts w:hint="default" w:ascii="Arial" w:hAnsi="Arial" w:cs="Times New Roman"/>
          <w:sz w:val="36"/>
          <w:szCs w:val="20"/>
          <w:lang w:val="en-US"/>
        </w:rPr>
      </w:pPr>
      <w:r>
        <w:rPr>
          <w:rFonts w:hint="eastAsia" w:ascii="Times New Roman" w:hAnsi="Times New Roman" w:eastAsia="宋体" w:cs="Times New Roman"/>
          <w:b/>
          <w:bCs/>
          <w:kern w:val="0"/>
          <w:sz w:val="20"/>
          <w:szCs w:val="20"/>
          <w:u w:val="single"/>
          <w:lang w:val="en-US" w:eastAsia="zh-CN"/>
        </w:rPr>
        <w:t>SMTC configuration</w:t>
      </w:r>
      <w:r>
        <w:rPr>
          <w:rFonts w:hint="eastAsia" w:ascii="Times New Roman" w:hAnsi="Times New Roman" w:cs="Times New Roman"/>
          <w:b/>
          <w:bCs/>
          <w:kern w:val="0"/>
          <w:sz w:val="20"/>
          <w:szCs w:val="20"/>
          <w:u w:val="single"/>
          <w:lang w:val="en-US" w:eastAsia="zh-CN"/>
        </w:rPr>
        <w:t xml:space="preserve"> related issues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97A9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7C177E2">
            <w:pPr>
              <w:keepNext w:val="0"/>
              <w:keepLines w:val="0"/>
              <w:widowControl/>
              <w:suppressLineNumbers w:val="0"/>
              <w:spacing w:before="0" w:beforeAutospacing="0" w:after="180" w:afterAutospacing="0" w:line="276" w:lineRule="auto"/>
              <w:ind w:left="0" w:right="0"/>
              <w:outlineLvl w:val="1"/>
              <w:rPr>
                <w:rFonts w:hint="eastAsia" w:ascii="Times New Roman" w:hAnsi="Times New Roman" w:eastAsia="宋体" w:cs="Times New Roman"/>
                <w:b/>
                <w:bCs/>
                <w:kern w:val="0"/>
                <w:sz w:val="20"/>
                <w:szCs w:val="20"/>
                <w:u w:val="single"/>
                <w:lang w:val="en-US" w:eastAsia="zh-CN"/>
              </w:rPr>
            </w:pPr>
            <w:r>
              <w:rPr>
                <w:rFonts w:hint="eastAsia" w:ascii="Times New Roman" w:hAnsi="Times New Roman" w:eastAsia="宋体" w:cs="Times New Roman"/>
                <w:b/>
                <w:kern w:val="0"/>
                <w:sz w:val="20"/>
                <w:szCs w:val="20"/>
                <w:u w:val="single"/>
                <w:lang w:val="en-GB" w:eastAsia="ko-KR"/>
              </w:rPr>
              <w:t xml:space="preserve">Issue 1-0: </w:t>
            </w:r>
            <w:r>
              <w:rPr>
                <w:rFonts w:hint="eastAsia" w:ascii="Times New Roman" w:hAnsi="Times New Roman" w:eastAsia="宋体" w:cs="Times New Roman"/>
                <w:b/>
                <w:bCs/>
                <w:kern w:val="0"/>
                <w:sz w:val="20"/>
                <w:szCs w:val="20"/>
                <w:u w:val="single"/>
                <w:lang w:val="en-US" w:eastAsia="zh-CN"/>
              </w:rPr>
              <w:t>SMTC configuration and actual SSB transmission period</w:t>
            </w:r>
          </w:p>
          <w:p w14:paraId="3DF8E00A">
            <w:pPr>
              <w:keepNext w:val="0"/>
              <w:keepLines w:val="0"/>
              <w:widowControl/>
              <w:suppressLineNumbers w:val="0"/>
              <w:spacing w:before="0" w:beforeAutospacing="0" w:after="180" w:afterAutospacing="0" w:line="276" w:lineRule="auto"/>
              <w:ind w:left="0" w:right="0" w:firstLine="0"/>
              <w:rPr>
                <w:rFonts w:hint="eastAsia" w:ascii="Times New Roman" w:hAnsi="Times New Roman" w:eastAsia="宋体" w:cs="Times New Roman"/>
                <w:lang w:val="en-GB" w:eastAsia="ja-JP" w:bidi="ar-SA"/>
              </w:rPr>
            </w:pPr>
            <w:r>
              <w:rPr>
                <w:rFonts w:hint="eastAsia" w:ascii="Times New Roman" w:hAnsi="Times New Roman" w:eastAsia="宋体" w:cs="Times New Roman"/>
                <w:highlight w:val="yellow"/>
                <w:lang w:val="en-GB" w:eastAsia="ja-JP" w:bidi="ar-SA"/>
              </w:rPr>
              <w:t>FFS:</w:t>
            </w:r>
            <w:r>
              <w:rPr>
                <w:rFonts w:hint="eastAsia" w:ascii="Times New Roman" w:hAnsi="Times New Roman" w:eastAsia="宋体" w:cs="Times New Roman"/>
                <w:lang w:val="en-GB" w:eastAsia="ja-JP" w:bidi="ar-SA"/>
              </w:rPr>
              <w:t xml:space="preserve"> Wait for RAN2 progress and discuss the following</w:t>
            </w:r>
          </w:p>
          <w:p w14:paraId="4C924D66">
            <w:pPr>
              <w:keepNext w:val="0"/>
              <w:keepLines w:val="0"/>
              <w:widowControl/>
              <w:numPr>
                <w:ilvl w:val="0"/>
                <w:numId w:val="4"/>
              </w:numPr>
              <w:suppressLineNumbers w:val="0"/>
              <w:spacing w:before="0" w:beforeAutospacing="0" w:after="180" w:afterAutospacing="0" w:line="276" w:lineRule="auto"/>
              <w:ind w:left="360" w:right="0" w:hanging="284"/>
              <w:rPr>
                <w:rFonts w:hint="eastAsia" w:ascii="Times New Roman" w:hAnsi="Times New Roman" w:eastAsia="宋体" w:cs="Times New Roman"/>
                <w:lang w:val="en-GB" w:eastAsia="ja-JP" w:bidi="ar-SA"/>
              </w:rPr>
            </w:pPr>
            <w:r>
              <w:rPr>
                <w:rFonts w:hint="eastAsia" w:ascii="Times New Roman" w:hAnsi="Times New Roman" w:eastAsia="宋体" w:cs="Times New Roman"/>
                <w:lang w:val="en-GB" w:eastAsia="ja-JP" w:bidi="ar-SA"/>
              </w:rPr>
              <w:t>Decide whether the following needs to be captured only in the RAN4 specification as part of the requirement applicability rule, or if the group will send an LS to RAN2 to ensure the following constraint is included in their specifications.</w:t>
            </w:r>
          </w:p>
          <w:p w14:paraId="0E06F594">
            <w:pPr>
              <w:keepNext w:val="0"/>
              <w:keepLines w:val="0"/>
              <w:widowControl/>
              <w:numPr>
                <w:ilvl w:val="1"/>
                <w:numId w:val="4"/>
              </w:numPr>
              <w:suppressLineNumbers w:val="0"/>
              <w:overflowPunct/>
              <w:autoSpaceDE/>
              <w:autoSpaceDN/>
              <w:adjustRightInd/>
              <w:spacing w:before="0" w:beforeAutospacing="0" w:after="180" w:afterAutospacing="0" w:line="276" w:lineRule="auto"/>
              <w:ind w:left="1080" w:leftChars="0" w:right="0" w:hanging="20" w:firstLineChars="0"/>
              <w:textAlignment w:val="auto"/>
              <w:rPr>
                <w:rFonts w:hint="eastAsia" w:ascii="Times New Roman" w:hAnsi="Times New Roman" w:eastAsia="MS Mincho" w:cs="Times New Roman"/>
                <w:lang w:val="en-GB" w:eastAsia="ja-JP" w:bidi="ar-SA"/>
              </w:rPr>
            </w:pPr>
            <w:r>
              <w:rPr>
                <w:rFonts w:hint="eastAsia" w:ascii="Times New Roman" w:hAnsi="Times New Roman" w:eastAsia="MS Mincho" w:cs="Times New Roman"/>
                <w:lang w:val="en-GB" w:eastAsia="ja-JP" w:bidi="ar-SA"/>
              </w:rPr>
              <w:t>If different neighbour cells in the same frequency layer have different SSB periodicities, and if SMTC is not configured to match the largest SSB periodicity among the cells, the periodicity and active patterns of the neighbour cells shall be informed to the UE to assist with UE measurement.</w:t>
            </w:r>
          </w:p>
          <w:p w14:paraId="53227DAD">
            <w:pPr>
              <w:keepNext w:val="0"/>
              <w:keepLines w:val="0"/>
              <w:widowControl/>
              <w:numPr>
                <w:ilvl w:val="0"/>
                <w:numId w:val="4"/>
              </w:numPr>
              <w:suppressLineNumbers w:val="0"/>
              <w:spacing w:before="0" w:beforeAutospacing="0" w:after="180" w:afterAutospacing="0" w:line="276" w:lineRule="auto"/>
              <w:ind w:left="360" w:right="0" w:hanging="284"/>
              <w:rPr>
                <w:rFonts w:hint="eastAsia" w:ascii="Times New Roman" w:hAnsi="Times New Roman" w:eastAsia="宋体" w:cs="Times New Roman"/>
                <w:lang w:val="en-GB" w:eastAsia="ja-JP" w:bidi="ar-SA"/>
              </w:rPr>
            </w:pPr>
            <w:r>
              <w:rPr>
                <w:rFonts w:hint="eastAsia" w:ascii="Times New Roman" w:hAnsi="Times New Roman" w:eastAsia="宋体" w:cs="Times New Roman"/>
                <w:lang w:val="en-GB" w:eastAsia="ja-JP" w:bidi="ar-SA"/>
              </w:rPr>
              <w:t>Further discuss the following if the decision needs to be made in RAN4 RRM:</w:t>
            </w:r>
          </w:p>
          <w:p w14:paraId="341B7AA8">
            <w:pPr>
              <w:keepNext w:val="0"/>
              <w:keepLines w:val="0"/>
              <w:widowControl/>
              <w:numPr>
                <w:ilvl w:val="1"/>
                <w:numId w:val="4"/>
              </w:numPr>
              <w:suppressLineNumbers w:val="0"/>
              <w:overflowPunct/>
              <w:autoSpaceDE/>
              <w:autoSpaceDN/>
              <w:adjustRightInd/>
              <w:spacing w:before="0" w:beforeAutospacing="0" w:after="180" w:afterAutospacing="0" w:line="276" w:lineRule="auto"/>
              <w:ind w:left="1080" w:leftChars="0" w:right="0" w:hanging="20" w:firstLineChars="0"/>
              <w:textAlignment w:val="auto"/>
              <w:rPr>
                <w:rFonts w:hint="default" w:ascii="Times New Roman" w:hAnsi="Times New Roman" w:eastAsia="MS Mincho" w:cs="Times New Roman"/>
                <w:b/>
                <w:bCs/>
                <w:kern w:val="0"/>
                <w:sz w:val="20"/>
                <w:szCs w:val="20"/>
                <w:u w:val="single"/>
                <w:vertAlign w:val="baseline"/>
                <w:lang w:val="en-GB" w:eastAsia="ja-JP"/>
              </w:rPr>
            </w:pPr>
            <w:r>
              <w:rPr>
                <w:rFonts w:hint="eastAsia" w:ascii="Times New Roman" w:hAnsi="Times New Roman" w:eastAsia="MS Mincho" w:cs="Times New Roman"/>
                <w:sz w:val="20"/>
                <w:szCs w:val="20"/>
                <w:lang w:val="en-GB" w:eastAsia="ja-JP" w:bidi="ar-SA"/>
              </w:rPr>
              <w:t>For UEs supporting DL-CE feature in NR Rel-19, it shall be mandatory the support to 4 SMTCs per frequency layer</w:t>
            </w:r>
          </w:p>
          <w:p w14:paraId="5067D22B">
            <w:pPr>
              <w:keepNext w:val="0"/>
              <w:keepLines w:val="0"/>
              <w:widowControl/>
              <w:suppressLineNumbers w:val="0"/>
              <w:spacing w:before="0" w:beforeAutospacing="0" w:after="180" w:afterAutospacing="0" w:line="276" w:lineRule="auto"/>
              <w:ind w:left="0" w:right="0"/>
              <w:outlineLvl w:val="1"/>
              <w:rPr>
                <w:rFonts w:hint="eastAsia" w:ascii="Times New Roman" w:hAnsi="Times New Roman" w:eastAsia="宋体" w:cs="Times New Roman"/>
                <w:b/>
                <w:bCs/>
                <w:kern w:val="0"/>
                <w:sz w:val="20"/>
                <w:szCs w:val="20"/>
                <w:u w:val="single"/>
                <w:lang w:val="en-US" w:eastAsia="zh-CN"/>
              </w:rPr>
            </w:pPr>
            <w:r>
              <w:rPr>
                <w:rFonts w:hint="eastAsia" w:ascii="Times New Roman" w:hAnsi="Times New Roman" w:eastAsia="宋体" w:cs="Times New Roman"/>
                <w:b/>
                <w:kern w:val="0"/>
                <w:sz w:val="20"/>
                <w:szCs w:val="20"/>
                <w:u w:val="single"/>
                <w:lang w:val="en-GB" w:eastAsia="ko-KR"/>
              </w:rPr>
              <w:t xml:space="preserve">Issue 1-6: </w:t>
            </w:r>
            <w:r>
              <w:rPr>
                <w:rFonts w:hint="eastAsia" w:ascii="Times New Roman" w:hAnsi="Times New Roman" w:eastAsia="宋体" w:cs="Times New Roman"/>
                <w:b/>
                <w:bCs/>
                <w:kern w:val="0"/>
                <w:sz w:val="20"/>
                <w:szCs w:val="20"/>
                <w:u w:val="single"/>
                <w:lang w:val="en-US" w:eastAsia="zh-CN"/>
              </w:rPr>
              <w:t>SMTC configuration</w:t>
            </w:r>
          </w:p>
          <w:p w14:paraId="4FC74558">
            <w:pPr>
              <w:keepNext w:val="0"/>
              <w:keepLines w:val="0"/>
              <w:widowControl/>
              <w:suppressLineNumbers w:val="0"/>
              <w:spacing w:before="0" w:beforeAutospacing="0" w:after="120" w:afterAutospacing="0" w:line="252" w:lineRule="auto"/>
              <w:ind w:left="0" w:right="0"/>
              <w:rPr>
                <w:rFonts w:hint="eastAsia" w:ascii="Times New Roman" w:hAnsi="Times New Roman" w:eastAsia="宋体" w:cs="Times New Roman"/>
                <w:b/>
                <w:bCs/>
                <w:kern w:val="0"/>
                <w:sz w:val="20"/>
                <w:szCs w:val="20"/>
                <w:u w:val="single"/>
                <w:vertAlign w:val="baseline"/>
                <w:lang w:val="en-US" w:eastAsia="zh-CN"/>
              </w:rPr>
            </w:pPr>
            <w:r>
              <w:rPr>
                <w:rFonts w:hint="eastAsia" w:ascii="Times New Roman" w:hAnsi="Times New Roman" w:eastAsia="宋体" w:cs="Times New Roman"/>
                <w:b/>
                <w:bCs/>
                <w:kern w:val="0"/>
                <w:sz w:val="20"/>
                <w:szCs w:val="20"/>
                <w:lang w:val="en-GB" w:eastAsia="ja-JP"/>
              </w:rPr>
              <w:t>Conclusion:</w:t>
            </w:r>
            <w:r>
              <w:rPr>
                <w:rFonts w:hint="eastAsia" w:ascii="Times New Roman" w:hAnsi="Times New Roman" w:eastAsia="宋体" w:cs="Times New Roman"/>
                <w:kern w:val="0"/>
                <w:sz w:val="20"/>
                <w:szCs w:val="20"/>
                <w:lang w:val="en-GB" w:eastAsia="ja-JP"/>
              </w:rPr>
              <w:t xml:space="preserve"> </w:t>
            </w:r>
            <w:r>
              <w:rPr>
                <w:rFonts w:hint="eastAsia" w:ascii="Times New Roman" w:hAnsi="Times New Roman" w:eastAsia="宋体" w:cs="Times New Roman"/>
                <w:b/>
                <w:bCs/>
                <w:kern w:val="0"/>
                <w:sz w:val="20"/>
                <w:szCs w:val="20"/>
                <w:lang w:val="en-GB" w:eastAsia="ja-JP"/>
              </w:rPr>
              <w:t>No discussion in this meeting.</w:t>
            </w:r>
          </w:p>
        </w:tc>
      </w:tr>
    </w:tbl>
    <w:p w14:paraId="76BD41AB">
      <w:pPr>
        <w:numPr>
          <w:ilvl w:val="0"/>
          <w:numId w:val="0"/>
        </w:numPr>
        <w:spacing w:before="120" w:beforeLines="50" w:after="120" w:afterLines="50"/>
        <w:ind w:leftChars="0"/>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The impact of SMTC configuration was analyzed by companies in last meeting, but discussion is deferred pending RAN2</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sz w:val="21"/>
          <w:szCs w:val="21"/>
          <w:lang w:val="en-US" w:eastAsia="zh-CN"/>
        </w:rPr>
        <w:t>s more progress. In RAN2#129bis meeting, some progresses are made accordingly. And, a LS on SMTC enhancements [2] from RAN2 was received, where RAN2 is asking RAN4 to evaluate the feasibility to support the SMTC enhancements in Rel-19 time frame. We copy the relevant text below:</w:t>
      </w:r>
    </w:p>
    <w:p w14:paraId="3866C672">
      <w:pPr>
        <w:widowControl w:val="0"/>
        <w:numPr>
          <w:ilvl w:val="0"/>
          <w:numId w:val="0"/>
        </w:numPr>
        <w:pBdr>
          <w:top w:val="single" w:color="auto" w:sz="4" w:space="1"/>
          <w:left w:val="single" w:color="auto" w:sz="4" w:space="4"/>
          <w:bottom w:val="single" w:color="auto" w:sz="4" w:space="1"/>
          <w:right w:val="single" w:color="auto" w:sz="4" w:space="4"/>
        </w:pBdr>
        <w:overflowPunct/>
        <w:autoSpaceDE/>
        <w:autoSpaceDN/>
        <w:adjustRightInd/>
        <w:spacing w:before="0"/>
        <w:ind w:leftChars="-5"/>
        <w:jc w:val="both"/>
        <w:textAlignment w:val="auto"/>
        <w:rPr>
          <w:rFonts w:hint="eastAsia" w:ascii="Arial" w:hAnsi="Arial" w:eastAsia="Times New Roman" w:cs="Times New Roman"/>
          <w:sz w:val="18"/>
          <w:szCs w:val="18"/>
          <w:highlight w:val="green"/>
          <w:lang w:val="en-GB" w:eastAsia="ja-JP" w:bidi="ar-SA"/>
        </w:rPr>
      </w:pPr>
      <w:r>
        <w:rPr>
          <w:rFonts w:hint="eastAsia" w:ascii="Arial" w:hAnsi="Arial" w:eastAsia="Times New Roman" w:cs="Times New Roman"/>
          <w:sz w:val="18"/>
          <w:szCs w:val="18"/>
          <w:highlight w:val="green"/>
          <w:lang w:val="en-GB" w:eastAsia="ja-JP" w:bidi="ar-SA"/>
        </w:rPr>
        <w:t>Agreements in RAN2#129bis:</w:t>
      </w:r>
    </w:p>
    <w:p w14:paraId="03566160">
      <w:pPr>
        <w:widowControl w:val="0"/>
        <w:numPr>
          <w:ilvl w:val="0"/>
          <w:numId w:val="0"/>
        </w:numPr>
        <w:pBdr>
          <w:top w:val="single" w:color="auto" w:sz="4" w:space="1"/>
          <w:left w:val="single" w:color="auto" w:sz="4" w:space="4"/>
          <w:bottom w:val="single" w:color="auto" w:sz="4" w:space="1"/>
          <w:right w:val="single" w:color="auto" w:sz="4" w:space="4"/>
        </w:pBdr>
        <w:overflowPunct/>
        <w:autoSpaceDE/>
        <w:autoSpaceDN/>
        <w:adjustRightInd/>
        <w:spacing w:before="0"/>
        <w:ind w:leftChars="-5"/>
        <w:jc w:val="both"/>
        <w:textAlignment w:val="auto"/>
        <w:rPr>
          <w:rFonts w:hint="eastAsia" w:ascii="Arial" w:hAnsi="Arial" w:eastAsia="Times New Roman" w:cs="Times New Roman"/>
          <w:sz w:val="18"/>
          <w:szCs w:val="18"/>
          <w:lang w:val="en-GB" w:eastAsia="ja-JP" w:bidi="ar-SA"/>
        </w:rPr>
      </w:pPr>
      <w:r>
        <w:rPr>
          <w:rFonts w:hint="eastAsia" w:ascii="Arial" w:hAnsi="Arial" w:eastAsia="Times New Roman" w:cs="Times New Roman"/>
          <w:sz w:val="18"/>
          <w:szCs w:val="18"/>
          <w:lang w:val="en-GB" w:eastAsia="ja-JP" w:bidi="ar-SA"/>
        </w:rPr>
        <w:t>3.</w:t>
      </w:r>
      <w:r>
        <w:rPr>
          <w:rFonts w:hint="eastAsia" w:ascii="Arial" w:hAnsi="Arial" w:eastAsia="Times New Roman" w:cs="Times New Roman"/>
          <w:sz w:val="18"/>
          <w:szCs w:val="18"/>
          <w:lang w:val="en-GB" w:eastAsia="ja-JP" w:bidi="ar-SA"/>
        </w:rPr>
        <w:tab/>
      </w:r>
      <w:r>
        <w:rPr>
          <w:rFonts w:hint="eastAsia" w:ascii="Arial" w:hAnsi="Arial" w:eastAsia="Times New Roman" w:cs="Times New Roman"/>
          <w:sz w:val="18"/>
          <w:szCs w:val="18"/>
          <w:lang w:val="en-GB" w:eastAsia="ja-JP" w:bidi="ar-SA"/>
        </w:rPr>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567AC155">
      <w:pPr>
        <w:widowControl w:val="0"/>
        <w:numPr>
          <w:ilvl w:val="0"/>
          <w:numId w:val="0"/>
        </w:numPr>
        <w:pBdr>
          <w:top w:val="single" w:color="auto" w:sz="4" w:space="1"/>
          <w:left w:val="single" w:color="auto" w:sz="4" w:space="4"/>
          <w:bottom w:val="single" w:color="auto" w:sz="4" w:space="1"/>
          <w:right w:val="single" w:color="auto" w:sz="4" w:space="4"/>
        </w:pBdr>
        <w:overflowPunct/>
        <w:autoSpaceDE/>
        <w:autoSpaceDN/>
        <w:adjustRightInd/>
        <w:spacing w:before="0"/>
        <w:ind w:leftChars="-5"/>
        <w:jc w:val="both"/>
        <w:textAlignment w:val="auto"/>
        <w:rPr>
          <w:rFonts w:hint="eastAsia" w:ascii="Arial" w:hAnsi="Arial" w:eastAsia="Times New Roman" w:cs="Times New Roman"/>
          <w:sz w:val="18"/>
          <w:szCs w:val="18"/>
          <w:lang w:val="en-GB" w:eastAsia="ja-JP" w:bidi="ar-SA"/>
        </w:rPr>
      </w:pPr>
      <w:r>
        <w:rPr>
          <w:rFonts w:hint="eastAsia" w:ascii="Arial" w:hAnsi="Arial" w:eastAsia="Times New Roman" w:cs="Times New Roman"/>
          <w:sz w:val="18"/>
          <w:szCs w:val="18"/>
          <w:lang w:val="en-GB" w:eastAsia="ja-JP" w:bidi="ar-SA"/>
        </w:rPr>
        <w:t>4.</w:t>
      </w:r>
      <w:r>
        <w:rPr>
          <w:rFonts w:hint="eastAsia" w:ascii="Arial" w:hAnsi="Arial" w:eastAsia="Times New Roman" w:cs="Times New Roman"/>
          <w:sz w:val="18"/>
          <w:szCs w:val="18"/>
          <w:lang w:val="en-GB" w:eastAsia="ja-JP" w:bidi="ar-SA"/>
        </w:rPr>
        <w:tab/>
      </w:r>
      <w:r>
        <w:rPr>
          <w:rFonts w:hint="eastAsia" w:ascii="Arial" w:hAnsi="Arial" w:eastAsia="Times New Roman" w:cs="Times New Roman"/>
          <w:sz w:val="18"/>
          <w:szCs w:val="18"/>
          <w:lang w:val="en-GB" w:eastAsia="ja-JP" w:bidi="ar-SA"/>
        </w:rPr>
        <w:t>We support configuring more than 4 SMTCs per frequency (e.g. 6) for idle/inactive UEs. It will be up to UE implementation to select which of the SMTCs to consider (send this RAN2 decision to RAN4 for checking)</w:t>
      </w:r>
    </w:p>
    <w:p w14:paraId="25947D34">
      <w:pPr>
        <w:widowControl w:val="0"/>
        <w:numPr>
          <w:ilvl w:val="0"/>
          <w:numId w:val="0"/>
        </w:numPr>
        <w:pBdr>
          <w:top w:val="single" w:color="auto" w:sz="4" w:space="1"/>
          <w:left w:val="single" w:color="auto" w:sz="4" w:space="4"/>
          <w:bottom w:val="single" w:color="auto" w:sz="4" w:space="1"/>
          <w:right w:val="single" w:color="auto" w:sz="4" w:space="4"/>
        </w:pBdr>
        <w:overflowPunct/>
        <w:autoSpaceDE/>
        <w:autoSpaceDN/>
        <w:adjustRightInd/>
        <w:spacing w:before="0"/>
        <w:ind w:leftChars="-5"/>
        <w:jc w:val="both"/>
        <w:textAlignment w:val="auto"/>
        <w:rPr>
          <w:rFonts w:hint="eastAsia" w:ascii="Arial" w:hAnsi="Arial" w:eastAsia="Times New Roman" w:cs="Times New Roman"/>
          <w:sz w:val="18"/>
          <w:szCs w:val="18"/>
          <w:lang w:val="en-GB" w:eastAsia="ja-JP" w:bidi="ar-SA"/>
        </w:rPr>
      </w:pPr>
      <w:r>
        <w:rPr>
          <w:rFonts w:hint="eastAsia" w:ascii="Arial" w:hAnsi="Arial" w:eastAsia="Times New Roman" w:cs="Times New Roman"/>
          <w:sz w:val="18"/>
          <w:szCs w:val="18"/>
          <w:lang w:val="en-GB" w:eastAsia="ja-JP" w:bidi="ar-SA"/>
        </w:rPr>
        <w:t>5.</w:t>
      </w:r>
      <w:r>
        <w:rPr>
          <w:rFonts w:hint="eastAsia" w:ascii="Arial" w:hAnsi="Arial" w:eastAsia="Times New Roman" w:cs="Times New Roman"/>
          <w:sz w:val="18"/>
          <w:szCs w:val="18"/>
          <w:lang w:val="en-GB" w:eastAsia="ja-JP" w:bidi="ar-SA"/>
        </w:rPr>
        <w:tab/>
      </w:r>
      <w:r>
        <w:rPr>
          <w:rFonts w:hint="eastAsia" w:ascii="Arial" w:hAnsi="Arial" w:eastAsia="Times New Roman" w:cs="Times New Roman"/>
          <w:sz w:val="18"/>
          <w:szCs w:val="18"/>
          <w:lang w:val="en-GB" w:eastAsia="ja-JP" w:bidi="ar-SA"/>
        </w:rPr>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1D0E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249A964">
            <w:pPr>
              <w:keepNext w:val="0"/>
              <w:keepLines w:val="0"/>
              <w:widowControl/>
              <w:suppressLineNumbers w:val="0"/>
              <w:overflowPunct w:val="0"/>
              <w:autoSpaceDE w:val="0"/>
              <w:autoSpaceDN w:val="0"/>
              <w:adjustRightInd w:val="0"/>
              <w:spacing w:before="120" w:beforeAutospacing="0" w:after="120" w:afterAutospacing="0"/>
              <w:ind w:left="0" w:right="0"/>
              <w:rPr>
                <w:rFonts w:hint="eastAsia" w:ascii="Times New Roman" w:hAnsi="Times New Roman" w:eastAsia="宋体" w:cs="Times New Roman"/>
                <w:kern w:val="0"/>
                <w:sz w:val="20"/>
                <w:szCs w:val="20"/>
                <w:lang w:val="en-GB" w:eastAsia="en-US"/>
              </w:rPr>
            </w:pPr>
            <w:r>
              <w:rPr>
                <w:rFonts w:hint="eastAsia" w:ascii="Arial" w:hAnsi="Arial" w:eastAsia="宋体" w:cs="Times New Roman"/>
                <w:sz w:val="18"/>
                <w:szCs w:val="18"/>
                <w:highlight w:val="green"/>
                <w:lang w:val="en-US" w:eastAsia="zh-CN" w:bidi="ar-SA"/>
              </w:rPr>
              <w:t>LS out approved</w:t>
            </w:r>
            <w:r>
              <w:rPr>
                <w:rFonts w:hint="eastAsia" w:ascii="Arial" w:hAnsi="Arial" w:eastAsia="Times New Roman" w:cs="Times New Roman"/>
                <w:sz w:val="18"/>
                <w:szCs w:val="18"/>
                <w:highlight w:val="green"/>
                <w:lang w:val="en-GB" w:eastAsia="en-US" w:bidi="ar-SA"/>
              </w:rPr>
              <w:t xml:space="preserve"> in RAN2#129bis:</w:t>
            </w:r>
          </w:p>
          <w:p w14:paraId="502E98E0">
            <w:pPr>
              <w:keepNext/>
              <w:keepLines/>
              <w:widowControl w:val="0"/>
              <w:numPr>
                <w:ilvl w:val="0"/>
                <w:numId w:val="5"/>
              </w:numPr>
              <w:suppressLineNumbers w:val="0"/>
              <w:pBdr>
                <w:top w:val="single" w:color="auto" w:sz="12" w:space="3"/>
              </w:pBdr>
              <w:overflowPunct w:val="0"/>
              <w:autoSpaceDE w:val="0"/>
              <w:autoSpaceDN w:val="0"/>
              <w:adjustRightInd w:val="0"/>
              <w:spacing w:before="240" w:beforeAutospacing="0" w:after="180" w:afterAutospacing="0"/>
              <w:ind w:right="0"/>
              <w:textAlignment w:val="baseline"/>
              <w:outlineLvl w:val="0"/>
              <w:rPr>
                <w:rFonts w:hint="eastAsia" w:ascii="Arial" w:hAnsi="Arial" w:eastAsia="Arial" w:cs="Times New Roman"/>
                <w:sz w:val="36"/>
                <w:lang w:val="en-GB" w:eastAsia="en-US" w:bidi="ar-SA"/>
              </w:rPr>
            </w:pPr>
            <w:r>
              <w:rPr>
                <w:rFonts w:hint="eastAsia" w:ascii="Arial" w:hAnsi="Arial" w:eastAsia="Arial" w:cs="Times New Roman"/>
                <w:sz w:val="36"/>
                <w:lang w:val="en-GB" w:eastAsia="en-US" w:bidi="ar-SA"/>
              </w:rPr>
              <w:t>Overall description</w:t>
            </w:r>
          </w:p>
          <w:p w14:paraId="71CD493A">
            <w:pPr>
              <w:keepNext w:val="0"/>
              <w:keepLines w:val="0"/>
              <w:widowControl/>
              <w:suppressLineNumbers w:val="0"/>
              <w:overflowPunct w:val="0"/>
              <w:autoSpaceDE w:val="0"/>
              <w:autoSpaceDN w:val="0"/>
              <w:adjustRightInd w:val="0"/>
              <w:spacing w:before="120" w:beforeAutospacing="0" w:after="120" w:afterAutospacing="0"/>
              <w:ind w:left="0" w:right="0"/>
              <w:rPr>
                <w:rFonts w:hint="eastAsia" w:ascii="Times New Roman" w:hAnsi="Times New Roman" w:eastAsia="宋体" w:cs="Times New Roman"/>
                <w:kern w:val="0"/>
                <w:sz w:val="20"/>
                <w:szCs w:val="20"/>
                <w:lang w:eastAsia="en-US"/>
              </w:rPr>
            </w:pPr>
            <w:r>
              <w:rPr>
                <w:rFonts w:hint="eastAsia" w:ascii="Times New Roman" w:hAnsi="Times New Roman" w:eastAsia="宋体" w:cs="Times New Roman"/>
                <w:kern w:val="0"/>
                <w:sz w:val="20"/>
                <w:szCs w:val="20"/>
                <w:lang w:eastAsia="zh-CN"/>
              </w:rPr>
              <w:t xml:space="preserve">For downlink coverage enhancement, RAN2 assumes that it will be possible to have different SSB periodicities among neighbour cells in the same frequency layer, and </w:t>
            </w:r>
            <w:r>
              <w:rPr>
                <w:rFonts w:hint="eastAsia" w:ascii="Times New Roman" w:hAnsi="Times New Roman" w:eastAsia="宋体" w:cs="Times New Roman"/>
                <w:kern w:val="0"/>
                <w:sz w:val="20"/>
                <w:szCs w:val="20"/>
                <w:lang w:eastAsia="en-US"/>
              </w:rPr>
              <w:t>for the case of intra-frequency neighbouring cells, the SSBs of surrounding neighbour cells may be transmitted at different times.</w:t>
            </w:r>
            <w:r>
              <w:rPr>
                <w:rFonts w:hint="eastAsia" w:ascii="Times New Roman" w:hAnsi="Times New Roman" w:eastAsia="宋体" w:cs="Times New Roman"/>
                <w:kern w:val="0"/>
                <w:sz w:val="20"/>
                <w:szCs w:val="20"/>
                <w:lang w:eastAsia="zh-CN"/>
              </w:rPr>
              <w:t xml:space="preserve"> Thus, </w:t>
            </w:r>
            <w:r>
              <w:rPr>
                <w:rFonts w:hint="eastAsia" w:ascii="Times New Roman" w:hAnsi="Times New Roman" w:eastAsia="宋体" w:cs="Times New Roman"/>
                <w:kern w:val="0"/>
                <w:sz w:val="20"/>
                <w:szCs w:val="20"/>
                <w:lang w:eastAsia="en-US"/>
              </w:rPr>
              <w:t xml:space="preserve">RAN2 </w:t>
            </w:r>
            <w:r>
              <w:rPr>
                <w:rFonts w:hint="eastAsia" w:ascii="Times New Roman" w:hAnsi="Times New Roman" w:eastAsia="宋体" w:cs="Times New Roman"/>
                <w:kern w:val="0"/>
                <w:sz w:val="20"/>
                <w:szCs w:val="20"/>
                <w:lang w:eastAsia="zh-CN"/>
              </w:rPr>
              <w:t>made the following agreements, given that at any time the UE will not use more SMTCs/Gaps in parallel than in previous releases:</w:t>
            </w:r>
          </w:p>
          <w:p w14:paraId="5DAB1DB2">
            <w:pPr>
              <w:keepNext w:val="0"/>
              <w:keepLines w:val="0"/>
              <w:widowControl/>
              <w:numPr>
                <w:ilvl w:val="0"/>
                <w:numId w:val="6"/>
              </w:numPr>
              <w:suppressLineNumbers w:val="0"/>
              <w:overflowPunct/>
              <w:autoSpaceDE/>
              <w:autoSpaceDN/>
              <w:adjustRightInd/>
              <w:spacing w:before="120" w:beforeAutospacing="0" w:after="120" w:afterAutospacing="0" w:line="276" w:lineRule="auto"/>
              <w:ind w:left="360" w:right="0" w:hanging="360"/>
              <w:contextualSpacing/>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RAN2 considers to support configuring two different SMTC periodicities (with different offsets) in one frequency layer for idle, inactive and connected mode neighbor cell measurements.</w:t>
            </w:r>
            <w:bookmarkStart w:id="5" w:name="OLE_LINK2"/>
          </w:p>
          <w:bookmarkEnd w:id="5"/>
          <w:p w14:paraId="26116F5C">
            <w:pPr>
              <w:keepNext w:val="0"/>
              <w:keepLines w:val="0"/>
              <w:widowControl/>
              <w:numPr>
                <w:ilvl w:val="0"/>
                <w:numId w:val="6"/>
              </w:numPr>
              <w:suppressLineNumbers w:val="0"/>
              <w:overflowPunct/>
              <w:autoSpaceDE/>
              <w:autoSpaceDN/>
              <w:adjustRightInd/>
              <w:spacing w:before="120" w:beforeAutospacing="0" w:after="120" w:afterAutospacing="0" w:line="276" w:lineRule="auto"/>
              <w:ind w:left="360" w:right="0" w:hanging="360"/>
              <w:contextualSpacing/>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RAN2 agrees to support configuring more than 4 SMTCs per frequency (i.e. 6) for idle/inactive UEs. </w:t>
            </w:r>
          </w:p>
          <w:p w14:paraId="2E104E34">
            <w:pPr>
              <w:keepNext w:val="0"/>
              <w:keepLines w:val="0"/>
              <w:widowControl/>
              <w:suppressLineNumbers w:val="0"/>
              <w:overflowPunct w:val="0"/>
              <w:autoSpaceDE w:val="0"/>
              <w:autoSpaceDN w:val="0"/>
              <w:adjustRightInd w:val="0"/>
              <w:spacing w:before="120" w:beforeAutospacing="0" w:after="120" w:afterAutospacing="0"/>
              <w:ind w:left="0" w:right="0"/>
              <w:rPr>
                <w:rFonts w:hint="eastAsia" w:ascii="Times New Roman" w:hAnsi="Times New Roman" w:eastAsia="宋体" w:cs="Times New Roman"/>
                <w:kern w:val="0"/>
                <w:sz w:val="20"/>
                <w:szCs w:val="20"/>
                <w:lang w:eastAsia="zh-CN"/>
              </w:rPr>
            </w:pPr>
            <w:r>
              <w:rPr>
                <w:rFonts w:hint="eastAsia" w:ascii="Times New Roman" w:hAnsi="Times New Roman" w:eastAsia="宋体" w:cs="Times New Roman"/>
                <w:kern w:val="0"/>
                <w:sz w:val="20"/>
                <w:szCs w:val="20"/>
                <w:lang w:eastAsia="zh-CN"/>
              </w:rPr>
              <w:t xml:space="preserve">RAN2 would like RAN4 to provide feedback on whether it is feasible to support these agreements in Rel-19 timeframe. </w:t>
            </w:r>
          </w:p>
          <w:p w14:paraId="2E3503A1">
            <w:pPr>
              <w:keepNext/>
              <w:keepLines/>
              <w:widowControl w:val="0"/>
              <w:numPr>
                <w:ilvl w:val="0"/>
                <w:numId w:val="5"/>
              </w:numPr>
              <w:suppressLineNumbers w:val="0"/>
              <w:pBdr>
                <w:top w:val="single" w:color="auto" w:sz="12" w:space="3"/>
              </w:pBdr>
              <w:overflowPunct w:val="0"/>
              <w:autoSpaceDE w:val="0"/>
              <w:autoSpaceDN w:val="0"/>
              <w:adjustRightInd w:val="0"/>
              <w:spacing w:before="240" w:beforeAutospacing="0" w:after="180" w:afterAutospacing="0"/>
              <w:ind w:right="0"/>
              <w:textAlignment w:val="baseline"/>
              <w:outlineLvl w:val="0"/>
              <w:rPr>
                <w:rFonts w:hint="eastAsia" w:ascii="Arial" w:hAnsi="Arial" w:eastAsia="Arial" w:cs="Times New Roman"/>
                <w:sz w:val="36"/>
                <w:lang w:val="en-GB" w:eastAsia="en-US" w:bidi="ar-SA"/>
              </w:rPr>
            </w:pPr>
            <w:r>
              <w:rPr>
                <w:rFonts w:hint="eastAsia" w:ascii="Arial" w:hAnsi="Arial" w:eastAsia="Arial" w:cs="Times New Roman"/>
                <w:sz w:val="36"/>
                <w:lang w:val="en-GB" w:eastAsia="en-US" w:bidi="ar-SA"/>
              </w:rPr>
              <w:t>Actions</w:t>
            </w:r>
          </w:p>
          <w:p w14:paraId="3058C652">
            <w:pPr>
              <w:keepNext w:val="0"/>
              <w:keepLines w:val="0"/>
              <w:widowControl/>
              <w:suppressLineNumbers w:val="0"/>
              <w:overflowPunct w:val="0"/>
              <w:autoSpaceDE w:val="0"/>
              <w:autoSpaceDN w:val="0"/>
              <w:adjustRightInd w:val="0"/>
              <w:spacing w:before="0" w:beforeAutospacing="0" w:after="120" w:afterAutospacing="0"/>
              <w:ind w:left="1985" w:right="0" w:hanging="1985"/>
              <w:rPr>
                <w:rFonts w:hint="eastAsia" w:ascii="Arial" w:hAnsi="Arial" w:eastAsia="宋体" w:cs="Arial"/>
                <w:b/>
                <w:kern w:val="0"/>
                <w:sz w:val="20"/>
                <w:szCs w:val="20"/>
                <w:lang w:eastAsia="zh-CN"/>
              </w:rPr>
            </w:pPr>
            <w:r>
              <w:rPr>
                <w:rFonts w:hint="eastAsia" w:ascii="Arial" w:hAnsi="Arial" w:eastAsia="宋体" w:cs="Arial"/>
                <w:b/>
                <w:kern w:val="0"/>
                <w:sz w:val="20"/>
                <w:szCs w:val="20"/>
                <w:lang w:eastAsia="en-US"/>
              </w:rPr>
              <w:t>To RAN4:</w:t>
            </w:r>
          </w:p>
          <w:p w14:paraId="5E1DE7F4">
            <w:pPr>
              <w:keepNext w:val="0"/>
              <w:keepLines w:val="0"/>
              <w:widowControl/>
              <w:suppressLineNumbers w:val="0"/>
              <w:overflowPunct w:val="0"/>
              <w:autoSpaceDE w:val="0"/>
              <w:autoSpaceDN w:val="0"/>
              <w:adjustRightInd w:val="0"/>
              <w:spacing w:before="0" w:beforeAutospacing="0" w:after="120" w:afterAutospacing="0"/>
              <w:ind w:left="993" w:right="0" w:hanging="993"/>
              <w:rPr>
                <w:rFonts w:hint="default" w:ascii="Times New Roman" w:hAnsi="Times New Roman" w:eastAsia="等线" w:cs="Times New Roman"/>
                <w:sz w:val="21"/>
                <w:szCs w:val="21"/>
                <w:vertAlign w:val="baseline"/>
                <w:lang w:val="en-US" w:eastAsia="zh-CN"/>
              </w:rPr>
            </w:pPr>
            <w:r>
              <w:rPr>
                <w:rFonts w:hint="eastAsia" w:ascii="Arial" w:hAnsi="Arial" w:eastAsia="宋体" w:cs="Arial"/>
                <w:b/>
                <w:kern w:val="0"/>
                <w:sz w:val="20"/>
                <w:szCs w:val="20"/>
                <w:lang w:eastAsia="en-US"/>
              </w:rPr>
              <w:t xml:space="preserve">ACTION: </w:t>
            </w:r>
            <w:r>
              <w:rPr>
                <w:rFonts w:hint="eastAsia" w:ascii="Arial" w:hAnsi="Arial" w:eastAsia="宋体" w:cs="Arial"/>
                <w:b/>
                <w:color w:val="0070C0"/>
                <w:kern w:val="0"/>
                <w:sz w:val="20"/>
                <w:szCs w:val="20"/>
                <w:lang w:eastAsia="en-US"/>
              </w:rPr>
              <w:tab/>
            </w:r>
            <w:r>
              <w:rPr>
                <w:rFonts w:hint="eastAsia" w:ascii="Arial" w:hAnsi="Arial" w:eastAsia="宋体" w:cs="Arial"/>
                <w:kern w:val="0"/>
                <w:sz w:val="20"/>
                <w:szCs w:val="20"/>
                <w:lang w:eastAsia="en-US"/>
              </w:rPr>
              <w:t xml:space="preserve">RAN2 kindly asks RAN4 to </w:t>
            </w:r>
            <w:r>
              <w:rPr>
                <w:rFonts w:hint="eastAsia" w:ascii="Arial" w:hAnsi="Arial" w:eastAsia="宋体" w:cs="Arial"/>
                <w:kern w:val="0"/>
                <w:sz w:val="20"/>
                <w:szCs w:val="20"/>
                <w:lang w:eastAsia="zh-CN"/>
              </w:rPr>
              <w:t>provide feedback on the feasibility to support those agreements in Rel-19 timeframe</w:t>
            </w:r>
            <w:r>
              <w:rPr>
                <w:rFonts w:hint="eastAsia" w:ascii="Arial" w:hAnsi="Arial" w:eastAsia="宋体" w:cs="Arial"/>
                <w:kern w:val="0"/>
                <w:sz w:val="20"/>
                <w:szCs w:val="20"/>
                <w:lang w:eastAsia="en-US"/>
              </w:rPr>
              <w:t>.</w:t>
            </w:r>
          </w:p>
        </w:tc>
      </w:tr>
    </w:tbl>
    <w:p w14:paraId="42618F9B">
      <w:pPr>
        <w:numPr>
          <w:ilvl w:val="0"/>
          <w:numId w:val="0"/>
        </w:numPr>
        <w:spacing w:before="120" w:beforeLines="50" w:after="120" w:afterLines="50"/>
        <w:ind w:leftChars="0"/>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In the LS, two main bullets were captured. The first one is about the configuration of two different SMTC periodicities (with different offsets) in one frequency layer. The second one is about the configuration of more than 4 SMTCs per frequency for idle/connected UEs. We understand the motivation of SMTC enhancement is to facilitate UE measurement due to beam hopping. The different SMTCs can help UE detect the different SSB transmission in different cells.</w:t>
      </w:r>
    </w:p>
    <w:p w14:paraId="4B37E80E">
      <w:pPr>
        <w:numPr>
          <w:ilvl w:val="0"/>
          <w:numId w:val="0"/>
        </w:numPr>
        <w:spacing w:before="120" w:beforeLines="50" w:after="120" w:afterLines="50"/>
        <w:ind w:leftChars="0"/>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In the following, we analyse the SMTC enhancement impact on RRC_CONNECTED mode and RRC_IDLE/INACTIVE mode from RAN4 RRM perspective respectively.</w:t>
      </w:r>
    </w:p>
    <w:p w14:paraId="491123A3">
      <w:pPr>
        <w:numPr>
          <w:ilvl w:val="0"/>
          <w:numId w:val="0"/>
        </w:numPr>
        <w:spacing w:before="120" w:beforeLines="50" w:after="120" w:afterLines="50"/>
        <w:ind w:leftChars="0"/>
        <w:rPr>
          <w:rFonts w:hint="eastAsia" w:ascii="Times New Roman" w:hAnsi="Times New Roman" w:eastAsia="宋体" w:cs="Times New Roman"/>
          <w:b/>
          <w:kern w:val="0"/>
          <w:sz w:val="21"/>
          <w:szCs w:val="21"/>
          <w:lang w:val="en-US" w:eastAsia="zh-CN"/>
        </w:rPr>
      </w:pPr>
      <w:r>
        <w:rPr>
          <w:rFonts w:hint="eastAsia" w:ascii="Times New Roman" w:hAnsi="Times New Roman" w:eastAsia="等线" w:cs="Times New Roman"/>
          <w:b/>
          <w:bCs/>
          <w:sz w:val="21"/>
          <w:szCs w:val="21"/>
          <w:u w:val="single"/>
          <w:lang w:val="en-US" w:eastAsia="zh-CN"/>
        </w:rPr>
        <w:t>RRC_CONNECTED mode</w:t>
      </w:r>
    </w:p>
    <w:p w14:paraId="1F9C21A0">
      <w:pPr>
        <w:numPr>
          <w:ilvl w:val="0"/>
          <w:numId w:val="0"/>
        </w:numPr>
        <w:overflowPunct w:val="0"/>
        <w:autoSpaceDE w:val="0"/>
        <w:autoSpaceDN w:val="0"/>
        <w:adjustRightInd w:val="0"/>
        <w:spacing w:after="180"/>
        <w:ind w:leftChars="0"/>
        <w:textAlignment w:val="baseline"/>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 xml:space="preserve">In RRC_CONNECTED mode, many requirements has a dependency on SMTC. However, the configuration of SMTCs with two different periodicities is also not brand new. NR already support dual SMTC configurations since Rel-15, i.e. </w:t>
      </w:r>
      <w:r>
        <w:rPr>
          <w:rFonts w:hint="eastAsia" w:ascii="Times New Roman" w:hAnsi="Times New Roman" w:eastAsia="等线" w:cs="Times New Roman"/>
          <w:i/>
          <w:iCs/>
          <w:sz w:val="21"/>
          <w:szCs w:val="21"/>
          <w:lang w:val="en-US" w:eastAsia="zh-CN"/>
        </w:rPr>
        <w:t xml:space="preserve">smtc1 </w:t>
      </w:r>
      <w:r>
        <w:rPr>
          <w:rFonts w:hint="eastAsia" w:ascii="Times New Roman" w:hAnsi="Times New Roman" w:eastAsia="等线" w:cs="Times New Roman"/>
          <w:sz w:val="21"/>
          <w:szCs w:val="21"/>
          <w:lang w:val="en-US" w:eastAsia="zh-CN"/>
        </w:rPr>
        <w:t xml:space="preserve">and </w:t>
      </w:r>
      <w:r>
        <w:rPr>
          <w:rFonts w:hint="eastAsia" w:ascii="Times New Roman" w:hAnsi="Times New Roman" w:eastAsia="等线" w:cs="Times New Roman"/>
          <w:i/>
          <w:iCs/>
          <w:sz w:val="21"/>
          <w:szCs w:val="21"/>
          <w:lang w:val="en-US" w:eastAsia="zh-CN"/>
        </w:rPr>
        <w:t>smtc2</w:t>
      </w:r>
      <w:r>
        <w:rPr>
          <w:rFonts w:hint="eastAsia" w:ascii="Times New Roman" w:hAnsi="Times New Roman" w:eastAsia="等线" w:cs="Times New Roman"/>
          <w:sz w:val="21"/>
          <w:szCs w:val="21"/>
          <w:lang w:val="en-US" w:eastAsia="zh-CN"/>
        </w:rPr>
        <w:t xml:space="preserve">. The </w:t>
      </w:r>
      <w:r>
        <w:rPr>
          <w:rFonts w:hint="eastAsia" w:ascii="Times New Roman" w:hAnsi="Times New Roman" w:eastAsia="等线" w:cs="Times New Roman"/>
          <w:i/>
          <w:iCs/>
          <w:sz w:val="21"/>
          <w:szCs w:val="21"/>
          <w:lang w:val="en-US" w:eastAsia="zh-CN"/>
        </w:rPr>
        <w:t xml:space="preserve">smtc2 </w:t>
      </w:r>
      <w:r>
        <w:rPr>
          <w:rFonts w:hint="eastAsia" w:ascii="Times New Roman" w:hAnsi="Times New Roman" w:eastAsia="等线" w:cs="Times New Roman"/>
          <w:sz w:val="21"/>
          <w:szCs w:val="21"/>
          <w:lang w:val="en-US" w:eastAsia="zh-CN"/>
        </w:rPr>
        <w:t xml:space="preserve">only apply to intra-frequency measurement, and also has shorter periodicity than </w:t>
      </w:r>
      <w:r>
        <w:rPr>
          <w:rFonts w:hint="eastAsia" w:ascii="Times New Roman" w:hAnsi="Times New Roman" w:eastAsia="等线" w:cs="Times New Roman"/>
          <w:i/>
          <w:iCs/>
          <w:sz w:val="21"/>
          <w:szCs w:val="21"/>
          <w:lang w:val="en-US" w:eastAsia="zh-CN"/>
        </w:rPr>
        <w:t>smtc1</w:t>
      </w:r>
      <w:r>
        <w:rPr>
          <w:rFonts w:hint="eastAsia" w:ascii="Times New Roman" w:hAnsi="Times New Roman" w:eastAsia="等线" w:cs="Times New Roman"/>
          <w:sz w:val="21"/>
          <w:szCs w:val="21"/>
          <w:lang w:val="en-US" w:eastAsia="zh-CN"/>
        </w:rPr>
        <w:t>. And during Rel-15 time frame, RAN4 took complete discussion on how to reflect the dual SMTC configuration in the requirements. The main issues need to be clarify is:</w:t>
      </w:r>
    </w:p>
    <w:p w14:paraId="577ADBC4">
      <w:pPr>
        <w:numPr>
          <w:ilvl w:val="0"/>
          <w:numId w:val="7"/>
        </w:numPr>
        <w:overflowPunct w:val="0"/>
        <w:autoSpaceDE w:val="0"/>
        <w:autoSpaceDN w:val="0"/>
        <w:adjustRightInd w:val="0"/>
        <w:spacing w:after="180"/>
        <w:ind w:left="425" w:leftChars="0" w:hanging="425" w:firstLineChars="0"/>
        <w:textAlignment w:val="baseline"/>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When UE knows the PCI of the target cell, clarify the SMTC used in the related requirements is the one used by the cell being identified;</w:t>
      </w:r>
    </w:p>
    <w:p w14:paraId="48761582">
      <w:pPr>
        <w:numPr>
          <w:ilvl w:val="0"/>
          <w:numId w:val="7"/>
        </w:numPr>
        <w:overflowPunct w:val="0"/>
        <w:autoSpaceDE w:val="0"/>
        <w:autoSpaceDN w:val="0"/>
        <w:adjustRightInd w:val="0"/>
        <w:spacing w:after="180"/>
        <w:ind w:left="425" w:leftChars="0" w:hanging="425" w:firstLineChars="0"/>
        <w:textAlignment w:val="baseline"/>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 xml:space="preserve">When UE does not know the PCI of the target cell, i.e. during PSS/SSS detection, clarify which SMTC is supposed to be used. </w:t>
      </w:r>
    </w:p>
    <w:p w14:paraId="4B0F4EE3">
      <w:pPr>
        <w:numPr>
          <w:ilvl w:val="0"/>
          <w:numId w:val="0"/>
        </w:numPr>
        <w:spacing w:before="120" w:beforeLines="50" w:after="120" w:afterLines="50"/>
        <w:ind w:leftChars="0"/>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Here below, we capture the related requirements:</w:t>
      </w:r>
    </w:p>
    <w:p w14:paraId="5D6F2EF9">
      <w:pPr>
        <w:numPr>
          <w:ilvl w:val="0"/>
          <w:numId w:val="8"/>
        </w:numPr>
        <w:spacing w:before="120" w:beforeLines="50" w:after="120" w:afterLines="50"/>
        <w:ind w:left="420" w:leftChars="0" w:hanging="420" w:firstLineChars="0"/>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For requirements of handover, the parameter T</w:t>
      </w:r>
      <w:r>
        <w:rPr>
          <w:rFonts w:hint="eastAsia" w:ascii="Times New Roman" w:hAnsi="Times New Roman" w:eastAsia="等线" w:cs="Times New Roman"/>
          <w:sz w:val="21"/>
          <w:szCs w:val="21"/>
          <w:vertAlign w:val="subscript"/>
          <w:lang w:val="en-US" w:eastAsia="zh-CN"/>
        </w:rPr>
        <w:t>rs</w:t>
      </w:r>
      <w:r>
        <w:rPr>
          <w:rFonts w:hint="eastAsia" w:ascii="Times New Roman" w:hAnsi="Times New Roman" w:eastAsia="等线" w:cs="Times New Roman"/>
          <w:sz w:val="21"/>
          <w:szCs w:val="21"/>
          <w:vertAlign w:val="baseline"/>
          <w:lang w:val="en-US" w:eastAsia="zh-CN"/>
        </w:rPr>
        <w:t>,</w:t>
      </w:r>
      <w:r>
        <w:rPr>
          <w:rFonts w:hint="eastAsia" w:ascii="Times New Roman" w:hAnsi="Times New Roman" w:eastAsia="等线" w:cs="Times New Roman"/>
          <w:sz w:val="21"/>
          <w:szCs w:val="21"/>
          <w:lang w:val="en-US" w:eastAsia="zh-CN"/>
        </w:rPr>
        <w:t xml:space="preserve"> a component for the interruption time calculation, has dependency on SMTC. The current spec clarify that </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i/>
          <w:iCs/>
          <w:sz w:val="21"/>
          <w:szCs w:val="21"/>
          <w:lang w:val="en-US" w:eastAsia="zh-CN"/>
        </w:rPr>
        <w:t>If the UE has been provided with higher layer in TS 38.331 [2] signalling of smtc2 prior to the handover command, Trs follows smtc1 or smtc2 according to the physical cell ID of the target cell</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sz w:val="21"/>
          <w:szCs w:val="21"/>
          <w:lang w:val="en-US" w:eastAsia="zh-CN"/>
        </w:rPr>
        <w:t>.</w:t>
      </w:r>
    </w:p>
    <w:p w14:paraId="3D417DEF">
      <w:pPr>
        <w:numPr>
          <w:ilvl w:val="0"/>
          <w:numId w:val="8"/>
        </w:numPr>
        <w:overflowPunct w:val="0"/>
        <w:autoSpaceDE w:val="0"/>
        <w:autoSpaceDN w:val="0"/>
        <w:adjustRightInd w:val="0"/>
        <w:spacing w:after="180"/>
        <w:ind w:left="420" w:leftChars="0" w:hanging="420" w:firstLineChars="0"/>
        <w:textAlignment w:val="baseline"/>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For requirements of RRC Re-establishment, the parameter T</w:t>
      </w:r>
      <w:r>
        <w:rPr>
          <w:rFonts w:hint="eastAsia" w:ascii="Times New Roman" w:hAnsi="Times New Roman" w:eastAsia="等线" w:cs="Times New Roman"/>
          <w:sz w:val="21"/>
          <w:szCs w:val="21"/>
          <w:vertAlign w:val="subscript"/>
          <w:lang w:val="en-US" w:eastAsia="zh-CN"/>
        </w:rPr>
        <w:t>SMTC</w:t>
      </w:r>
      <w:r>
        <w:rPr>
          <w:rFonts w:hint="eastAsia" w:ascii="Times New Roman" w:hAnsi="Times New Roman" w:eastAsia="等线" w:cs="Times New Roman"/>
          <w:sz w:val="21"/>
          <w:szCs w:val="21"/>
          <w:lang w:val="en-US" w:eastAsia="zh-CN"/>
        </w:rPr>
        <w:t xml:space="preserve"> is used to drive the Time to identify target NR cell. The current spec clarify that </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i/>
          <w:iCs/>
          <w:sz w:val="21"/>
          <w:szCs w:val="21"/>
          <w:lang w:val="en-US" w:eastAsia="zh-CN"/>
        </w:rPr>
        <w:t>If the UE has been provided with higher layer in TS 38.331 [2] signalling of smtc2, Tsmtc follows smtc1 or smtc2 according to the physical cell ID of the target cell</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sz w:val="21"/>
          <w:szCs w:val="21"/>
          <w:lang w:val="en-US" w:eastAsia="zh-CN"/>
        </w:rPr>
        <w:t>.</w:t>
      </w:r>
    </w:p>
    <w:p w14:paraId="0B1847D8">
      <w:pPr>
        <w:numPr>
          <w:ilvl w:val="0"/>
          <w:numId w:val="8"/>
        </w:numPr>
        <w:overflowPunct w:val="0"/>
        <w:autoSpaceDE w:val="0"/>
        <w:autoSpaceDN w:val="0"/>
        <w:adjustRightInd w:val="0"/>
        <w:spacing w:after="180"/>
        <w:ind w:left="420" w:leftChars="0" w:hanging="420" w:firstLineChars="0"/>
        <w:textAlignment w:val="baseline"/>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 xml:space="preserve">For requirements of RRC Connection Release with Redirection, the parameter of Trs used to derive the time to identify target NR cell has has dependency on SMTC. The current spec clarify with a NOTE1 in Table 6.2C.3.2.1-1 that </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i/>
          <w:iCs/>
          <w:sz w:val="21"/>
          <w:szCs w:val="21"/>
          <w:lang w:val="en-US" w:eastAsia="zh-CN"/>
        </w:rPr>
        <w:t>If the UE has been provided with higher layer signalling of smtc2 specified in TS 38.331 [2] prior to the redirection command, Trs follows smtc1 or smtc2 according to the physical cell ID of the target cell</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sz w:val="21"/>
          <w:szCs w:val="21"/>
          <w:lang w:val="en-US" w:eastAsia="zh-CN"/>
        </w:rPr>
        <w:t>.</w:t>
      </w:r>
    </w:p>
    <w:p w14:paraId="417E7036">
      <w:pPr>
        <w:numPr>
          <w:ilvl w:val="0"/>
          <w:numId w:val="8"/>
        </w:numPr>
        <w:overflowPunct w:val="0"/>
        <w:autoSpaceDE w:val="0"/>
        <w:autoSpaceDN w:val="0"/>
        <w:adjustRightInd w:val="0"/>
        <w:spacing w:after="180"/>
        <w:ind w:left="420" w:leftChars="0" w:hanging="420" w:firstLineChars="0"/>
        <w:textAlignment w:val="baseline"/>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 xml:space="preserve">For requirements of RLM, LR (BFD and CBD) and L1-RSRP measurement, the scaling factor P introduced to account for the measurement opportunity sharing between measurement gap, SSB/CSI-RS and SMTC. It also has dependency on SMTC. For FR1, the related clarification is </w:t>
      </w:r>
      <w:r>
        <w:rPr>
          <w:rFonts w:hint="default" w:ascii="Times New Roman" w:hAnsi="Times New Roman" w:eastAsia="等线" w:cs="Times New Roman"/>
          <w:sz w:val="21"/>
          <w:szCs w:val="21"/>
          <w:lang w:val="en-US" w:eastAsia="zh-CN"/>
        </w:rPr>
        <w:t>“</w:t>
      </w:r>
      <w:r>
        <w:rPr>
          <w:rFonts w:hint="default" w:ascii="Times New Roman" w:hAnsi="Times New Roman" w:eastAsia="Times New Roman" w:cs="Times New Roman"/>
          <w:i/>
          <w:iCs/>
          <w:sz w:val="21"/>
          <w:szCs w:val="21"/>
          <w:lang w:val="en-US" w:eastAsia="en-US" w:bidi="ar"/>
        </w:rPr>
        <w:t>If the higher layer in TS 38.331 [2] signalling of smtc2 is configured, T</w:t>
      </w:r>
      <w:r>
        <w:rPr>
          <w:rFonts w:hint="default" w:ascii="Times New Roman" w:hAnsi="Times New Roman" w:eastAsia="Times New Roman" w:cs="Times New Roman"/>
          <w:i/>
          <w:iCs/>
          <w:sz w:val="21"/>
          <w:szCs w:val="21"/>
          <w:vertAlign w:val="subscript"/>
          <w:lang w:val="en-US" w:eastAsia="en-US" w:bidi="ar"/>
        </w:rPr>
        <w:t>SMTCperiod</w:t>
      </w:r>
      <w:r>
        <w:rPr>
          <w:rFonts w:hint="default" w:ascii="Times New Roman" w:hAnsi="Times New Roman" w:eastAsia="Times New Roman" w:cs="Times New Roman"/>
          <w:i/>
          <w:iCs/>
          <w:sz w:val="21"/>
          <w:szCs w:val="21"/>
          <w:lang w:val="en-US" w:eastAsia="en-US" w:bidi="ar"/>
        </w:rPr>
        <w:t xml:space="preserve"> corresponds to the value of higher layer parameter smtc2; Otherwise T</w:t>
      </w:r>
      <w:r>
        <w:rPr>
          <w:rFonts w:hint="default" w:ascii="Times New Roman" w:hAnsi="Times New Roman" w:eastAsia="Times New Roman" w:cs="Times New Roman"/>
          <w:i/>
          <w:iCs/>
          <w:sz w:val="21"/>
          <w:szCs w:val="21"/>
          <w:vertAlign w:val="subscript"/>
          <w:lang w:val="en-US" w:eastAsia="en-US" w:bidi="ar"/>
        </w:rPr>
        <w:t>SMTCperiod</w:t>
      </w:r>
      <w:r>
        <w:rPr>
          <w:rFonts w:hint="default" w:ascii="Times New Roman" w:hAnsi="Times New Roman" w:eastAsia="Times New Roman" w:cs="Times New Roman"/>
          <w:i/>
          <w:iCs/>
          <w:sz w:val="21"/>
          <w:szCs w:val="21"/>
          <w:lang w:val="en-US" w:eastAsia="en-US" w:bidi="ar"/>
        </w:rPr>
        <w:t xml:space="preserve"> corresponds to the value of higher layer parameter smtc1</w:t>
      </w:r>
      <w:r>
        <w:rPr>
          <w:rFonts w:hint="default" w:ascii="Times New Roman" w:hAnsi="Times New Roman" w:eastAsia="Times New Roman" w:cs="Times New Roman"/>
          <w:sz w:val="21"/>
          <w:szCs w:val="21"/>
          <w:lang w:val="en-US" w:eastAsia="en-US" w:bidi="ar"/>
        </w:rPr>
        <w:t>.</w:t>
      </w:r>
      <w:r>
        <w:rPr>
          <w:rFonts w:hint="default" w:ascii="Times New Roman" w:hAnsi="Times New Roman" w:eastAsia="等线" w:cs="Times New Roman"/>
          <w:sz w:val="21"/>
          <w:szCs w:val="21"/>
          <w:lang w:val="en-US" w:eastAsia="zh-CN"/>
        </w:rPr>
        <w:t>”</w:t>
      </w:r>
    </w:p>
    <w:p w14:paraId="1EA9AF64">
      <w:pPr>
        <w:numPr>
          <w:ilvl w:val="0"/>
          <w:numId w:val="8"/>
        </w:numPr>
        <w:overflowPunct w:val="0"/>
        <w:autoSpaceDE w:val="0"/>
        <w:autoSpaceDN w:val="0"/>
        <w:adjustRightInd w:val="0"/>
        <w:spacing w:after="180"/>
        <w:ind w:left="420" w:leftChars="0" w:hanging="420" w:firstLineChars="0"/>
        <w:textAlignment w:val="baseline"/>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 xml:space="preserve">For requirements of L3 measurement, SMTC is used to drive the measurement delay for at least measurement without measurement gap case. The SMTC is clarified with a NOTE that </w:t>
      </w:r>
      <w:r>
        <w:rPr>
          <w:rFonts w:hint="default" w:ascii="Times New Roman" w:hAnsi="Times New Roman" w:eastAsia="等线" w:cs="Times New Roman"/>
          <w:sz w:val="21"/>
          <w:szCs w:val="21"/>
          <w:lang w:val="en-US" w:eastAsia="zh-CN"/>
        </w:rPr>
        <w:t>“</w:t>
      </w:r>
      <w:r>
        <w:rPr>
          <w:rFonts w:hint="default" w:ascii="Times New Roman" w:hAnsi="Times New Roman" w:eastAsia="Times New Roman" w:cs="Times New Roman"/>
          <w:i/>
          <w:iCs/>
          <w:sz w:val="20"/>
          <w:szCs w:val="20"/>
          <w:lang w:val="en-US" w:eastAsia="en-US" w:bidi="ar"/>
        </w:rPr>
        <w:t>If different SMTC periodicities are configured for different cells, the SMTC period in the requirement is the one used by the cell being identified</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sz w:val="21"/>
          <w:szCs w:val="21"/>
          <w:lang w:val="en-US" w:eastAsia="zh-CN"/>
        </w:rPr>
        <w:t xml:space="preserve">. Furthermore, for the requirement of cell identification, when UE does not know the PCI of the target cell, the clarification is </w:t>
      </w:r>
      <w:r>
        <w:rPr>
          <w:rFonts w:hint="default" w:ascii="Times New Roman" w:hAnsi="Times New Roman" w:eastAsia="等线" w:cs="Times New Roman"/>
          <w:sz w:val="21"/>
          <w:szCs w:val="21"/>
          <w:lang w:val="en-US" w:eastAsia="zh-CN"/>
        </w:rPr>
        <w:t>“</w:t>
      </w:r>
      <w:r>
        <w:rPr>
          <w:rFonts w:hint="default" w:ascii="Times New Roman" w:hAnsi="Times New Roman" w:eastAsia="Times New Roman" w:cs="Times New Roman"/>
          <w:i/>
          <w:iCs/>
          <w:sz w:val="20"/>
          <w:szCs w:val="20"/>
          <w:lang w:val="en-US" w:eastAsia="en-US" w:bidi="ar"/>
        </w:rPr>
        <w:t>if the high layer in TS 38.331 [2] signalling of smtc2 is configured, the assumed periodicity of intra-frequency SMTC occasions corresponds to the value of higher layer parameter smtc2; Otherwise the assumed periodicity of intra-frequency SMTC occasions corresponds to the value of higher layer parameter smtc1</w:t>
      </w:r>
      <w:r>
        <w:rPr>
          <w:rFonts w:hint="default" w:ascii="Times New Roman" w:hAnsi="Times New Roman" w:eastAsia="等线" w:cs="Times New Roman"/>
          <w:sz w:val="21"/>
          <w:szCs w:val="21"/>
          <w:lang w:val="en-US" w:eastAsia="zh-CN"/>
        </w:rPr>
        <w:t>”</w:t>
      </w:r>
      <w:r>
        <w:rPr>
          <w:rFonts w:hint="default" w:ascii="Times New Roman" w:hAnsi="Times New Roman" w:eastAsia="Times New Roman" w:cs="Times New Roman"/>
          <w:sz w:val="20"/>
          <w:szCs w:val="20"/>
          <w:lang w:val="en-US" w:eastAsia="en-US" w:bidi="ar"/>
        </w:rPr>
        <w:t>.</w:t>
      </w:r>
      <w:r>
        <w:rPr>
          <w:rFonts w:hint="eastAsia" w:ascii="Times New Roman" w:hAnsi="Times New Roman" w:eastAsia="宋体" w:cs="Times New Roman"/>
          <w:sz w:val="20"/>
          <w:szCs w:val="20"/>
          <w:lang w:val="en-US" w:eastAsia="zh-CN" w:bidi="ar"/>
        </w:rPr>
        <w:t xml:space="preserve"> </w:t>
      </w:r>
    </w:p>
    <w:p w14:paraId="115A7EB8">
      <w:pPr>
        <w:numPr>
          <w:ilvl w:val="0"/>
          <w:numId w:val="0"/>
        </w:numPr>
        <w:spacing w:before="120" w:beforeLines="50" w:after="120" w:afterLines="50"/>
        <w:ind w:leftChars="0"/>
        <w:rPr>
          <w:rFonts w:hint="default" w:ascii="Times New Roman" w:hAnsi="Times New Roman" w:eastAsia="等线" w:cs="Times New Roman"/>
          <w:b/>
          <w:bCs/>
          <w:sz w:val="21"/>
          <w:szCs w:val="21"/>
          <w:lang w:val="en-US" w:eastAsia="zh-CN"/>
        </w:rPr>
      </w:pPr>
      <w:r>
        <w:rPr>
          <w:rFonts w:hint="eastAsia" w:ascii="Times New Roman" w:hAnsi="Times New Roman" w:eastAsia="等线" w:cs="Times New Roman"/>
          <w:b/>
          <w:bCs/>
          <w:sz w:val="21"/>
          <w:szCs w:val="21"/>
          <w:lang w:val="en-US" w:eastAsia="zh-CN"/>
        </w:rPr>
        <w:t xml:space="preserve">Observation </w:t>
      </w:r>
      <w:r>
        <w:rPr>
          <w:rFonts w:hint="eastAsia" w:ascii="Times New Roman" w:hAnsi="Times New Roman" w:eastAsia="等线" w:cs="Times New Roman"/>
          <w:b/>
          <w:bCs/>
          <w:sz w:val="21"/>
          <w:szCs w:val="21"/>
          <w:lang w:val="en-US" w:eastAsia="zh-CN"/>
        </w:rPr>
        <w:fldChar w:fldCharType="begin"/>
      </w:r>
      <w:r>
        <w:rPr>
          <w:rFonts w:hint="eastAsia" w:ascii="Times New Roman" w:hAnsi="Times New Roman" w:eastAsia="等线" w:cs="Times New Roman"/>
          <w:b/>
          <w:bCs/>
          <w:sz w:val="21"/>
          <w:szCs w:val="21"/>
          <w:lang w:val="en-US" w:eastAsia="zh-CN"/>
        </w:rPr>
        <w:instrText xml:space="preserve"> SEQ Observation \* MERGEFORMAT </w:instrText>
      </w:r>
      <w:r>
        <w:rPr>
          <w:rFonts w:hint="eastAsia" w:ascii="Times New Roman" w:hAnsi="Times New Roman" w:eastAsia="等线" w:cs="Times New Roman"/>
          <w:b/>
          <w:bCs/>
          <w:sz w:val="21"/>
          <w:szCs w:val="21"/>
          <w:lang w:val="en-US" w:eastAsia="zh-CN"/>
        </w:rPr>
        <w:fldChar w:fldCharType="separate"/>
      </w:r>
      <w:r>
        <w:rPr>
          <w:rFonts w:hint="eastAsia" w:ascii="Times New Roman" w:hAnsi="Times New Roman" w:eastAsia="等线" w:cs="Times New Roman"/>
          <w:b/>
          <w:bCs/>
          <w:sz w:val="21"/>
          <w:szCs w:val="21"/>
          <w:lang w:val="en-US" w:eastAsia="zh-CN"/>
        </w:rPr>
        <w:t>1</w:t>
      </w:r>
      <w:r>
        <w:rPr>
          <w:rFonts w:hint="eastAsia" w:ascii="Times New Roman" w:hAnsi="Times New Roman" w:eastAsia="等线" w:cs="Times New Roman"/>
          <w:b/>
          <w:bCs/>
          <w:sz w:val="21"/>
          <w:szCs w:val="21"/>
          <w:lang w:val="en-US" w:eastAsia="zh-CN"/>
        </w:rPr>
        <w:fldChar w:fldCharType="end"/>
      </w:r>
      <w:r>
        <w:rPr>
          <w:rFonts w:hint="eastAsia" w:ascii="Times New Roman" w:hAnsi="Times New Roman" w:eastAsia="等线" w:cs="Times New Roman"/>
          <w:b/>
          <w:bCs/>
          <w:sz w:val="21"/>
          <w:szCs w:val="21"/>
          <w:lang w:val="en-US" w:eastAsia="zh-CN"/>
        </w:rPr>
        <w:t>: For the case of dual SMTC configuration in RRC_CONNECTED mode, RAN4 specified the applicability condition to clarify the SMTC periodicity used in the related requirement.</w:t>
      </w:r>
    </w:p>
    <w:p w14:paraId="4DA26C2F">
      <w:pPr>
        <w:numPr>
          <w:ilvl w:val="0"/>
          <w:numId w:val="0"/>
        </w:numPr>
        <w:overflowPunct w:val="0"/>
        <w:autoSpaceDE w:val="0"/>
        <w:autoSpaceDN w:val="0"/>
        <w:adjustRightInd w:val="0"/>
        <w:spacing w:after="180"/>
        <w:ind w:leftChars="0"/>
        <w:textAlignment w:val="baseline"/>
        <w:rPr>
          <w:rFonts w:hint="eastAsia" w:ascii="Times New Roman" w:hAnsi="Times New Roman" w:eastAsia="等线" w:cs="Times New Roman"/>
          <w:b/>
          <w:bCs/>
          <w:sz w:val="21"/>
          <w:szCs w:val="21"/>
          <w:lang w:val="en-US" w:eastAsia="zh-CN"/>
        </w:rPr>
      </w:pPr>
      <w:r>
        <w:rPr>
          <w:rFonts w:hint="eastAsia" w:ascii="Times New Roman" w:hAnsi="Times New Roman" w:eastAsia="等线" w:cs="Times New Roman"/>
          <w:sz w:val="21"/>
          <w:szCs w:val="21"/>
          <w:lang w:val="en-US" w:eastAsia="zh-CN"/>
        </w:rPr>
        <w:t xml:space="preserve">The requirements for NR NTN inherits all the above mentioned requirements. Even though the relationship between the two different SMTCs configured for NR NTN is not clear yet. But from our understanding, if we take the similar logic as for dual SMTC in R15, the spec impact could be similar.  </w:t>
      </w:r>
    </w:p>
    <w:p w14:paraId="56F2F34E">
      <w:pPr>
        <w:numPr>
          <w:ilvl w:val="0"/>
          <w:numId w:val="0"/>
        </w:numPr>
        <w:spacing w:before="120" w:beforeLines="50" w:after="120" w:afterLines="50"/>
        <w:ind w:leftChars="0"/>
        <w:rPr>
          <w:rFonts w:hint="default" w:ascii="Times New Roman" w:hAnsi="Times New Roman" w:eastAsia="等线" w:cs="Times New Roman"/>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1</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To support the SMTC enhancements on two different SMTC periodicities configuration in RRC_CONNECTED mode, RAN4 to update the applicability conditions for SMTC taken the same principle for dual SMTC as baseline.</w:t>
      </w:r>
    </w:p>
    <w:p w14:paraId="2280EA3C">
      <w:pPr>
        <w:numPr>
          <w:ilvl w:val="0"/>
          <w:numId w:val="0"/>
        </w:numPr>
        <w:spacing w:before="120" w:beforeLines="50" w:after="120" w:afterLines="50"/>
        <w:ind w:leftChars="0"/>
        <w:rPr>
          <w:rFonts w:hint="eastAsia" w:ascii="Times New Roman" w:hAnsi="Times New Roman" w:eastAsia="等线" w:cs="Times New Roman"/>
          <w:b/>
          <w:bCs/>
          <w:sz w:val="21"/>
          <w:szCs w:val="21"/>
          <w:u w:val="single"/>
          <w:lang w:val="en-US" w:eastAsia="zh-CN"/>
        </w:rPr>
      </w:pPr>
      <w:r>
        <w:rPr>
          <w:rFonts w:hint="eastAsia" w:ascii="Times New Roman" w:hAnsi="Times New Roman" w:eastAsia="等线" w:cs="Times New Roman"/>
          <w:b/>
          <w:bCs/>
          <w:sz w:val="21"/>
          <w:szCs w:val="21"/>
          <w:u w:val="single"/>
          <w:lang w:val="en-US" w:eastAsia="zh-CN"/>
        </w:rPr>
        <w:t>RRC_IDLE/INACTIVE mode</w:t>
      </w:r>
    </w:p>
    <w:p w14:paraId="0C99F32E">
      <w:pPr>
        <w:numPr>
          <w:ilvl w:val="0"/>
          <w:numId w:val="0"/>
        </w:numPr>
        <w:spacing w:before="120" w:beforeLines="50" w:after="120" w:afterLines="50"/>
        <w:ind w:leftChars="0"/>
        <w:rPr>
          <w:rFonts w:hint="default" w:ascii="Times New Roman" w:hAnsi="Times New Roman" w:eastAsia="等线" w:cs="Times New Roman"/>
          <w:sz w:val="21"/>
          <w:szCs w:val="21"/>
          <w:vertAlign w:val="baseline"/>
          <w:lang w:val="en-US" w:eastAsia="zh-CN"/>
        </w:rPr>
      </w:pPr>
      <w:r>
        <w:rPr>
          <w:rFonts w:hint="default" w:ascii="Times New Roman" w:hAnsi="Times New Roman" w:eastAsia="等线" w:cs="Times New Roman"/>
          <w:sz w:val="21"/>
          <w:szCs w:val="21"/>
          <w:lang w:val="en-US" w:eastAsia="zh-CN"/>
        </w:rPr>
        <w:t xml:space="preserve">In most of RRM requirements for </w:t>
      </w:r>
      <w:r>
        <w:rPr>
          <w:rFonts w:hint="eastAsia" w:ascii="Times New Roman" w:hAnsi="Times New Roman" w:eastAsia="等线" w:cs="Times New Roman"/>
          <w:sz w:val="21"/>
          <w:szCs w:val="21"/>
          <w:lang w:val="en-US" w:eastAsia="zh-CN"/>
        </w:rPr>
        <w:t>RRC_</w:t>
      </w:r>
      <w:r>
        <w:rPr>
          <w:rFonts w:hint="default" w:ascii="Times New Roman" w:hAnsi="Times New Roman" w:eastAsia="等线" w:cs="Times New Roman"/>
          <w:sz w:val="21"/>
          <w:szCs w:val="21"/>
          <w:lang w:val="en-US" w:eastAsia="zh-CN"/>
        </w:rPr>
        <w:t>IDLE/INACTIVE</w:t>
      </w:r>
      <w:r>
        <w:rPr>
          <w:rFonts w:hint="eastAsia" w:ascii="Times New Roman" w:hAnsi="Times New Roman" w:eastAsia="等线" w:cs="Times New Roman"/>
          <w:sz w:val="21"/>
          <w:szCs w:val="21"/>
          <w:lang w:val="en-US" w:eastAsia="zh-CN"/>
        </w:rPr>
        <w:t xml:space="preserve"> mode</w:t>
      </w:r>
      <w:r>
        <w:rPr>
          <w:rFonts w:hint="default" w:ascii="Times New Roman" w:hAnsi="Times New Roman" w:eastAsia="等线" w:cs="Times New Roman"/>
          <w:sz w:val="21"/>
          <w:szCs w:val="21"/>
          <w:lang w:val="en-US" w:eastAsia="zh-CN"/>
        </w:rPr>
        <w:t xml:space="preserve">, DRX cycle </w:t>
      </w:r>
      <w:r>
        <w:rPr>
          <w:rFonts w:hint="eastAsia" w:ascii="Times New Roman" w:hAnsi="Times New Roman" w:eastAsia="等线" w:cs="Times New Roman"/>
          <w:sz w:val="21"/>
          <w:szCs w:val="21"/>
          <w:lang w:val="en-US" w:eastAsia="zh-CN"/>
        </w:rPr>
        <w:t xml:space="preserve">is used </w:t>
      </w:r>
      <w:r>
        <w:rPr>
          <w:rFonts w:hint="default" w:ascii="Times New Roman" w:hAnsi="Times New Roman" w:eastAsia="等线" w:cs="Times New Roman"/>
          <w:sz w:val="21"/>
          <w:szCs w:val="21"/>
          <w:lang w:val="en-US" w:eastAsia="zh-CN"/>
        </w:rPr>
        <w:t xml:space="preserve">to define the </w:t>
      </w:r>
      <w:r>
        <w:rPr>
          <w:rFonts w:hint="eastAsia" w:ascii="Times New Roman" w:hAnsi="Times New Roman" w:eastAsia="等线" w:cs="Times New Roman"/>
          <w:sz w:val="21"/>
          <w:szCs w:val="21"/>
          <w:lang w:val="en-US" w:eastAsia="zh-CN"/>
        </w:rPr>
        <w:t xml:space="preserve">measurement </w:t>
      </w:r>
      <w:r>
        <w:rPr>
          <w:rFonts w:hint="default" w:ascii="Times New Roman" w:hAnsi="Times New Roman" w:eastAsia="等线" w:cs="Times New Roman"/>
          <w:sz w:val="21"/>
          <w:szCs w:val="21"/>
          <w:lang w:val="en-US" w:eastAsia="zh-CN"/>
        </w:rPr>
        <w:t>delay</w:t>
      </w:r>
      <w:r>
        <w:rPr>
          <w:rFonts w:hint="eastAsia" w:ascii="Times New Roman" w:hAnsi="Times New Roman" w:eastAsia="等线" w:cs="Times New Roman"/>
          <w:sz w:val="21"/>
          <w:szCs w:val="21"/>
          <w:lang w:val="en-US" w:eastAsia="zh-CN"/>
        </w:rPr>
        <w:t xml:space="preserve">. The SMTC periodicity is only used under some cases. Based on the statement in the LS, we can see that the configuration of </w:t>
      </w:r>
      <w:r>
        <w:rPr>
          <w:rFonts w:hint="default" w:ascii="Times New Roman" w:hAnsi="Times New Roman" w:eastAsia="等线" w:cs="Times New Roman"/>
          <w:sz w:val="21"/>
          <w:szCs w:val="21"/>
          <w:lang w:val="en-US" w:eastAsia="zh-CN"/>
        </w:rPr>
        <w:t>two different SMTC periodicities (with different offsets) in one frequency layer</w:t>
      </w:r>
      <w:r>
        <w:rPr>
          <w:rFonts w:hint="eastAsia" w:ascii="Times New Roman" w:hAnsi="Times New Roman" w:eastAsia="等线" w:cs="Times New Roman"/>
          <w:sz w:val="21"/>
          <w:szCs w:val="21"/>
          <w:lang w:val="en-US" w:eastAsia="zh-CN"/>
        </w:rPr>
        <w:t xml:space="preserve"> is only for </w:t>
      </w:r>
      <w:r>
        <w:rPr>
          <w:rFonts w:hint="default" w:ascii="Times New Roman" w:hAnsi="Times New Roman" w:eastAsia="等线" w:cs="Times New Roman"/>
          <w:sz w:val="21"/>
          <w:szCs w:val="21"/>
          <w:lang w:val="en-US" w:eastAsia="zh-CN"/>
        </w:rPr>
        <w:t>neighbor cell measurements</w:t>
      </w:r>
      <w:r>
        <w:rPr>
          <w:rFonts w:hint="eastAsia" w:ascii="Times New Roman" w:hAnsi="Times New Roman" w:eastAsia="等线" w:cs="Times New Roman"/>
          <w:sz w:val="21"/>
          <w:szCs w:val="21"/>
          <w:lang w:val="en-US" w:eastAsia="zh-CN"/>
        </w:rPr>
        <w:t xml:space="preserve">. So, we go through the </w:t>
      </w:r>
      <w:r>
        <w:rPr>
          <w:rFonts w:hint="default" w:ascii="Times New Roman" w:hAnsi="Times New Roman" w:eastAsia="等线" w:cs="Times New Roman"/>
          <w:sz w:val="21"/>
          <w:szCs w:val="21"/>
          <w:lang w:val="en-US" w:eastAsia="zh-CN"/>
        </w:rPr>
        <w:t xml:space="preserve">requirements for </w:t>
      </w:r>
      <w:r>
        <w:rPr>
          <w:rFonts w:hint="eastAsia" w:ascii="Times New Roman" w:hAnsi="Times New Roman" w:eastAsia="等线" w:cs="Times New Roman"/>
          <w:sz w:val="21"/>
          <w:szCs w:val="21"/>
          <w:lang w:val="en-US" w:eastAsia="zh-CN"/>
        </w:rPr>
        <w:t>RRC_</w:t>
      </w:r>
      <w:r>
        <w:rPr>
          <w:rFonts w:hint="default" w:ascii="Times New Roman" w:hAnsi="Times New Roman" w:eastAsia="等线" w:cs="Times New Roman"/>
          <w:sz w:val="21"/>
          <w:szCs w:val="21"/>
          <w:lang w:val="en-US" w:eastAsia="zh-CN"/>
        </w:rPr>
        <w:t>IDLE</w:t>
      </w:r>
      <w:r>
        <w:rPr>
          <w:rFonts w:hint="eastAsia" w:ascii="Times New Roman" w:hAnsi="Times New Roman" w:eastAsia="等线" w:cs="Times New Roman"/>
          <w:sz w:val="21"/>
          <w:szCs w:val="21"/>
          <w:lang w:val="en-US" w:eastAsia="zh-CN"/>
        </w:rPr>
        <w:t xml:space="preserve"> mode, and capture the related text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F1A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93270CD">
            <w:pPr>
              <w:keepNext/>
              <w:keepLines/>
              <w:widowControl/>
              <w:suppressLineNumbers w:val="0"/>
              <w:pBdr>
                <w:top w:val="none" w:color="auto" w:sz="0" w:space="0"/>
              </w:pBdr>
              <w:overflowPunct w:val="0"/>
              <w:autoSpaceDE w:val="0"/>
              <w:autoSpaceDN w:val="0"/>
              <w:adjustRightInd w:val="0"/>
              <w:spacing w:before="120" w:beforeAutospacing="0" w:after="180" w:afterAutospacing="0"/>
              <w:ind w:left="1418" w:right="0" w:hanging="1418"/>
              <w:textAlignment w:val="baseline"/>
              <w:outlineLvl w:val="3"/>
              <w:rPr>
                <w:rFonts w:hint="eastAsia" w:ascii="Arial" w:hAnsi="Arial" w:eastAsia="Times New Roman" w:cs="Times New Roman"/>
                <w:sz w:val="24"/>
                <w:lang w:val="en-GB" w:eastAsia="zh-CN" w:bidi="ar-SA"/>
              </w:rPr>
            </w:pPr>
            <w:r>
              <w:rPr>
                <w:rFonts w:hint="eastAsia" w:ascii="Arial" w:hAnsi="Arial" w:eastAsia="Times New Roman" w:cs="Times New Roman"/>
                <w:sz w:val="24"/>
                <w:lang w:val="en-GB" w:eastAsia="zh-CN" w:bidi="ar-SA"/>
              </w:rPr>
              <w:t>4.2C.2.3</w:t>
            </w:r>
            <w:r>
              <w:rPr>
                <w:rFonts w:hint="eastAsia" w:ascii="Arial" w:hAnsi="Arial" w:eastAsia="Times New Roman" w:cs="Times New Roman"/>
                <w:sz w:val="24"/>
                <w:lang w:val="en-GB" w:eastAsia="zh-CN" w:bidi="ar-SA"/>
              </w:rPr>
              <w:tab/>
            </w:r>
            <w:r>
              <w:rPr>
                <w:rFonts w:hint="eastAsia" w:ascii="Arial" w:hAnsi="Arial" w:eastAsia="Times New Roman" w:cs="Times New Roman"/>
                <w:sz w:val="24"/>
                <w:lang w:val="en-GB" w:eastAsia="zh-CN" w:bidi="ar-SA"/>
              </w:rPr>
              <w:t>Measurements of intra-frequency NR cells</w:t>
            </w:r>
          </w:p>
          <w:p w14:paraId="1E5BCB45">
            <w:pPr>
              <w:keepNext/>
              <w:keepLines/>
              <w:widowControl/>
              <w:suppressLineNumbers w:val="0"/>
              <w:overflowPunct w:val="0"/>
              <w:autoSpaceDE w:val="0"/>
              <w:autoSpaceDN w:val="0"/>
              <w:adjustRightInd w:val="0"/>
              <w:spacing w:before="60" w:beforeAutospacing="0" w:after="180" w:afterAutospacing="0"/>
              <w:ind w:left="0" w:right="0"/>
              <w:jc w:val="center"/>
              <w:textAlignment w:val="baseline"/>
              <w:rPr>
                <w:rFonts w:hint="eastAsia" w:ascii="Arial" w:hAnsi="Arial" w:eastAsia="Times New Roman" w:cs="Times New Roman"/>
                <w:b/>
                <w:lang w:val="en-GB" w:eastAsia="en-US" w:bidi="ar-SA"/>
              </w:rPr>
            </w:pPr>
            <w:r>
              <w:rPr>
                <w:rFonts w:hint="eastAsia" w:ascii="Arial" w:hAnsi="Arial" w:eastAsia="Times New Roman" w:cs="Times New Roman"/>
                <w:b/>
                <w:lang w:val="en-GB" w:eastAsia="en-US" w:bidi="ar-SA"/>
              </w:rPr>
              <w:t>Table 4.2C.2.3-1: T</w:t>
            </w:r>
            <w:r>
              <w:rPr>
                <w:rFonts w:hint="eastAsia" w:ascii="Arial" w:hAnsi="Arial" w:eastAsia="Times New Roman" w:cs="Times New Roman"/>
                <w:b/>
                <w:vertAlign w:val="subscript"/>
                <w:lang w:val="en-GB" w:eastAsia="en-US" w:bidi="ar-SA"/>
              </w:rPr>
              <w:t>detect,NR_Intra,</w:t>
            </w:r>
            <w:r>
              <w:rPr>
                <w:rFonts w:hint="eastAsia" w:ascii="Arial" w:hAnsi="Arial" w:eastAsia="Times New Roman" w:cs="Times New Roman"/>
                <w:b/>
                <w:lang w:val="en-GB" w:eastAsia="en-US" w:bidi="ar-SA"/>
              </w:rPr>
              <w:t xml:space="preserve"> T</w:t>
            </w:r>
            <w:r>
              <w:rPr>
                <w:rFonts w:hint="eastAsia" w:ascii="Arial" w:hAnsi="Arial" w:eastAsia="Times New Roman" w:cs="Times New Roman"/>
                <w:b/>
                <w:vertAlign w:val="subscript"/>
                <w:lang w:val="en-GB" w:eastAsia="en-US" w:bidi="ar-SA"/>
              </w:rPr>
              <w:t>measure,NR_Intra</w:t>
            </w:r>
            <w:r>
              <w:rPr>
                <w:rFonts w:hint="eastAsia" w:ascii="Arial" w:hAnsi="Arial" w:eastAsia="Times New Roman" w:cs="Times New Roman"/>
                <w:b/>
                <w:lang w:val="en-GB" w:eastAsia="en-US" w:bidi="ar-SA"/>
              </w:rPr>
              <w:t xml:space="preserve"> and T</w:t>
            </w:r>
            <w:r>
              <w:rPr>
                <w:rFonts w:hint="eastAsia" w:ascii="Arial" w:hAnsi="Arial" w:eastAsia="Times New Roman" w:cs="Times New Roman"/>
                <w:b/>
                <w:vertAlign w:val="subscript"/>
                <w:lang w:val="en-GB" w:eastAsia="en-US" w:bidi="ar-SA"/>
              </w:rPr>
              <w:t>evaluate,NR_Intra</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63"/>
              <w:gridCol w:w="2043"/>
              <w:gridCol w:w="2139"/>
              <w:gridCol w:w="2141"/>
              <w:gridCol w:w="2142"/>
            </w:tblGrid>
            <w:tr w14:paraId="1AC92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tcPr>
                <w:p w14:paraId="60694923">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lang w:val="en-GB" w:eastAsia="en-US" w:bidi="ar-SA"/>
                    </w:rPr>
                  </w:pPr>
                  <w:r>
                    <w:rPr>
                      <w:rFonts w:hint="eastAsia" w:ascii="Arial" w:hAnsi="Arial" w:eastAsia="Times New Roman" w:cs="Times New Roman"/>
                      <w:b/>
                      <w:sz w:val="18"/>
                      <w:lang w:val="en-GB" w:eastAsia="en-US" w:bidi="ar-SA"/>
                    </w:rPr>
                    <w:t>DRX cycle length [s]</w:t>
                  </w:r>
                </w:p>
              </w:tc>
              <w:tc>
                <w:tcPr>
                  <w:tcW w:w="1061" w:type="pct"/>
                  <w:tcBorders>
                    <w:top w:val="single" w:color="auto" w:sz="4" w:space="0"/>
                    <w:left w:val="single" w:color="auto" w:sz="4" w:space="0"/>
                    <w:bottom w:val="single" w:color="auto" w:sz="4" w:space="0"/>
                    <w:right w:val="single" w:color="auto" w:sz="4" w:space="0"/>
                  </w:tcBorders>
                </w:tcPr>
                <w:p w14:paraId="1A26552E">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lang w:val="en-GB" w:eastAsia="en-US" w:bidi="ar-SA"/>
                    </w:rPr>
                  </w:pPr>
                  <w:r>
                    <w:rPr>
                      <w:rFonts w:hint="eastAsia" w:ascii="Arial" w:hAnsi="Arial" w:eastAsia="Times New Roman" w:cs="Times New Roman"/>
                      <w:b/>
                      <w:sz w:val="18"/>
                      <w:lang w:val="en-GB" w:eastAsia="en-US" w:bidi="ar-SA"/>
                    </w:rPr>
                    <w:t>Scaling Factor (N1)</w:t>
                  </w:r>
                </w:p>
              </w:tc>
              <w:tc>
                <w:tcPr>
                  <w:tcW w:w="1111" w:type="pct"/>
                  <w:tcBorders>
                    <w:top w:val="single" w:color="auto" w:sz="4" w:space="0"/>
                    <w:left w:val="single" w:color="auto" w:sz="4" w:space="0"/>
                    <w:bottom w:val="nil"/>
                    <w:right w:val="single" w:color="auto" w:sz="4" w:space="0"/>
                  </w:tcBorders>
                </w:tcPr>
                <w:p w14:paraId="6A2A98A7">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lang w:val="en-GB" w:eastAsia="en-US" w:bidi="ar-SA"/>
                    </w:rPr>
                  </w:pPr>
                  <w:r>
                    <w:rPr>
                      <w:rFonts w:hint="eastAsia" w:ascii="Arial" w:hAnsi="Arial" w:eastAsia="Times New Roman" w:cs="Times New Roman"/>
                      <w:b/>
                      <w:sz w:val="18"/>
                      <w:lang w:val="en-GB" w:eastAsia="en-US" w:bidi="ar-SA"/>
                    </w:rPr>
                    <w:t>T</w:t>
                  </w:r>
                  <w:r>
                    <w:rPr>
                      <w:rFonts w:hint="eastAsia" w:ascii="Arial" w:hAnsi="Arial" w:eastAsia="Times New Roman" w:cs="Times New Roman"/>
                      <w:b/>
                      <w:sz w:val="18"/>
                      <w:vertAlign w:val="subscript"/>
                      <w:lang w:val="en-GB" w:eastAsia="en-US" w:bidi="ar-SA"/>
                    </w:rPr>
                    <w:t>detect,NR_Intra</w:t>
                  </w:r>
                  <w:r>
                    <w:rPr>
                      <w:rFonts w:hint="eastAsia" w:ascii="Arial" w:hAnsi="Arial" w:eastAsia="Times New Roman" w:cs="Times New Roman"/>
                      <w:b/>
                      <w:sz w:val="18"/>
                      <w:lang w:val="en-GB" w:eastAsia="en-US" w:bidi="ar-SA"/>
                    </w:rPr>
                    <w:t xml:space="preserve"> [s] (number of DRX cycles)</w:t>
                  </w:r>
                </w:p>
              </w:tc>
              <w:tc>
                <w:tcPr>
                  <w:tcW w:w="1112" w:type="pct"/>
                  <w:tcBorders>
                    <w:top w:val="single" w:color="auto" w:sz="4" w:space="0"/>
                    <w:left w:val="single" w:color="auto" w:sz="4" w:space="0"/>
                    <w:bottom w:val="nil"/>
                    <w:right w:val="single" w:color="auto" w:sz="4" w:space="0"/>
                  </w:tcBorders>
                </w:tcPr>
                <w:p w14:paraId="6582ADB8">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lang w:val="en-GB" w:eastAsia="en-US" w:bidi="ar-SA"/>
                    </w:rPr>
                  </w:pPr>
                  <w:r>
                    <w:rPr>
                      <w:rFonts w:hint="eastAsia" w:ascii="Arial" w:hAnsi="Arial" w:eastAsia="Times New Roman" w:cs="Times New Roman"/>
                      <w:b/>
                      <w:sz w:val="18"/>
                      <w:lang w:val="en-GB" w:eastAsia="en-US" w:bidi="ar-SA"/>
                    </w:rPr>
                    <w:t>T</w:t>
                  </w:r>
                  <w:r>
                    <w:rPr>
                      <w:rFonts w:hint="eastAsia" w:ascii="Arial" w:hAnsi="Arial" w:eastAsia="Times New Roman" w:cs="Times New Roman"/>
                      <w:b/>
                      <w:sz w:val="18"/>
                      <w:vertAlign w:val="subscript"/>
                      <w:lang w:val="en-GB" w:eastAsia="en-US" w:bidi="ar-SA"/>
                    </w:rPr>
                    <w:t>measure,NR_Intra</w:t>
                  </w:r>
                  <w:r>
                    <w:rPr>
                      <w:rFonts w:hint="eastAsia" w:ascii="Arial" w:hAnsi="Arial" w:eastAsia="Times New Roman" w:cs="Times New Roman"/>
                      <w:b/>
                      <w:sz w:val="18"/>
                      <w:lang w:val="en-GB" w:eastAsia="en-US" w:bidi="ar-SA"/>
                    </w:rPr>
                    <w:t xml:space="preserve"> [s] (number of DRX cycles)</w:t>
                  </w:r>
                </w:p>
              </w:tc>
              <w:tc>
                <w:tcPr>
                  <w:tcW w:w="1112" w:type="pct"/>
                  <w:tcBorders>
                    <w:top w:val="single" w:color="auto" w:sz="4" w:space="0"/>
                    <w:left w:val="single" w:color="auto" w:sz="4" w:space="0"/>
                    <w:bottom w:val="nil"/>
                    <w:right w:val="single" w:color="auto" w:sz="4" w:space="0"/>
                  </w:tcBorders>
                </w:tcPr>
                <w:p w14:paraId="594D00D9">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vertAlign w:val="subscript"/>
                      <w:lang w:val="en-GB" w:eastAsia="en-US" w:bidi="ar-SA"/>
                    </w:rPr>
                  </w:pPr>
                  <w:r>
                    <w:rPr>
                      <w:rFonts w:hint="eastAsia" w:ascii="Arial" w:hAnsi="Arial" w:eastAsia="Times New Roman" w:cs="Times New Roman"/>
                      <w:b/>
                      <w:sz w:val="18"/>
                      <w:lang w:val="en-GB" w:eastAsia="en-US" w:bidi="ar-SA"/>
                    </w:rPr>
                    <w:t>T</w:t>
                  </w:r>
                  <w:r>
                    <w:rPr>
                      <w:rFonts w:hint="eastAsia" w:ascii="Arial" w:hAnsi="Arial" w:eastAsia="Times New Roman" w:cs="Times New Roman"/>
                      <w:b/>
                      <w:sz w:val="18"/>
                      <w:vertAlign w:val="subscript"/>
                      <w:lang w:val="en-GB" w:eastAsia="en-US" w:bidi="ar-SA"/>
                    </w:rPr>
                    <w:t>evaluate,NR_</w:t>
                  </w:r>
                  <w:r>
                    <w:rPr>
                      <w:rFonts w:hint="eastAsia" w:ascii="Arial" w:hAnsi="Arial" w:eastAsia="Times New Roman" w:cs="v4.2.0"/>
                      <w:b/>
                      <w:sz w:val="18"/>
                      <w:vertAlign w:val="subscript"/>
                      <w:lang w:val="en-GB" w:eastAsia="en-US" w:bidi="ar-SA"/>
                    </w:rPr>
                    <w:t>Intra</w:t>
                  </w:r>
                </w:p>
                <w:p w14:paraId="0B8D0B12">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lang w:val="en-GB" w:eastAsia="en-US" w:bidi="ar-SA"/>
                    </w:rPr>
                  </w:pPr>
                  <w:r>
                    <w:rPr>
                      <w:rFonts w:hint="eastAsia" w:ascii="Arial" w:hAnsi="Arial" w:eastAsia="Times New Roman" w:cs="Times New Roman"/>
                      <w:b/>
                      <w:sz w:val="18"/>
                      <w:lang w:val="en-GB" w:eastAsia="en-US" w:bidi="ar-SA"/>
                    </w:rPr>
                    <w:t>[s] (number of DRX cycles)</w:t>
                  </w:r>
                </w:p>
              </w:tc>
            </w:tr>
            <w:tr w14:paraId="6FBF8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tcBorders>
                    <w:top w:val="nil"/>
                    <w:left w:val="single" w:color="auto" w:sz="4" w:space="0"/>
                    <w:bottom w:val="single" w:color="auto" w:sz="4" w:space="0"/>
                    <w:right w:val="single" w:color="auto" w:sz="4" w:space="0"/>
                  </w:tcBorders>
                  <w:vAlign w:val="center"/>
                </w:tcPr>
                <w:p w14:paraId="742A8B24">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lang w:val="en-GB" w:eastAsia="en-US" w:bidi="ar-SA"/>
                    </w:rPr>
                  </w:pPr>
                </w:p>
              </w:tc>
              <w:tc>
                <w:tcPr>
                  <w:tcW w:w="1061" w:type="pct"/>
                  <w:tcBorders>
                    <w:top w:val="single" w:color="auto" w:sz="4" w:space="0"/>
                    <w:left w:val="single" w:color="auto" w:sz="4" w:space="0"/>
                    <w:bottom w:val="single" w:color="auto" w:sz="4" w:space="0"/>
                    <w:right w:val="single" w:color="auto" w:sz="4" w:space="0"/>
                  </w:tcBorders>
                </w:tcPr>
                <w:p w14:paraId="1668B871">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vertAlign w:val="superscript"/>
                      <w:lang w:val="en-GB" w:eastAsia="en-US" w:bidi="ar-SA"/>
                    </w:rPr>
                  </w:pPr>
                  <w:r>
                    <w:rPr>
                      <w:rFonts w:hint="eastAsia" w:ascii="Arial" w:hAnsi="Arial" w:eastAsia="Times New Roman" w:cs="Times New Roman"/>
                      <w:b/>
                      <w:sz w:val="18"/>
                      <w:lang w:val="en-GB" w:eastAsia="en-US" w:bidi="ar-SA"/>
                    </w:rPr>
                    <w:t>FR1</w:t>
                  </w:r>
                  <w:r>
                    <w:rPr>
                      <w:rFonts w:hint="eastAsia" w:ascii="Arial" w:hAnsi="Arial" w:eastAsia="Times New Roman" w:cs="Times New Roman"/>
                      <w:b/>
                      <w:sz w:val="18"/>
                      <w:lang w:val="en-GB" w:eastAsia="ko-KR" w:bidi="ar-SA"/>
                    </w:rPr>
                    <w:t xml:space="preserve"> and FR2-NTN</w:t>
                  </w:r>
                </w:p>
              </w:tc>
              <w:tc>
                <w:tcPr>
                  <w:tcW w:w="2140" w:type="dxa"/>
                  <w:tcBorders>
                    <w:top w:val="nil"/>
                    <w:left w:val="single" w:color="auto" w:sz="4" w:space="0"/>
                    <w:bottom w:val="single" w:color="auto" w:sz="4" w:space="0"/>
                    <w:right w:val="single" w:color="auto" w:sz="4" w:space="0"/>
                  </w:tcBorders>
                  <w:vAlign w:val="center"/>
                </w:tcPr>
                <w:p w14:paraId="6EADD9CB">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vertAlign w:val="superscript"/>
                      <w:lang w:val="en-GB" w:eastAsia="en-US" w:bidi="ar-SA"/>
                    </w:rPr>
                  </w:pPr>
                </w:p>
              </w:tc>
              <w:tc>
                <w:tcPr>
                  <w:tcW w:w="2141" w:type="dxa"/>
                  <w:tcBorders>
                    <w:top w:val="nil"/>
                    <w:left w:val="single" w:color="auto" w:sz="4" w:space="0"/>
                    <w:bottom w:val="single" w:color="auto" w:sz="4" w:space="0"/>
                    <w:right w:val="single" w:color="auto" w:sz="4" w:space="0"/>
                  </w:tcBorders>
                  <w:vAlign w:val="center"/>
                </w:tcPr>
                <w:p w14:paraId="55CB3247">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CG Times (WN)" w:hAnsi="CG Times (WN)" w:eastAsia="Times New Roman" w:cs="Times New Roman"/>
                      <w:b/>
                      <w:sz w:val="18"/>
                      <w:lang w:val="en-GB" w:eastAsia="zh-CN" w:bidi="ar-SA"/>
                    </w:rPr>
                  </w:pPr>
                </w:p>
              </w:tc>
              <w:tc>
                <w:tcPr>
                  <w:tcW w:w="2141" w:type="dxa"/>
                  <w:tcBorders>
                    <w:top w:val="nil"/>
                    <w:left w:val="single" w:color="auto" w:sz="4" w:space="0"/>
                    <w:bottom w:val="single" w:color="auto" w:sz="4" w:space="0"/>
                    <w:right w:val="single" w:color="auto" w:sz="4" w:space="0"/>
                  </w:tcBorders>
                  <w:vAlign w:val="center"/>
                </w:tcPr>
                <w:p w14:paraId="5A6C6047">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CG Times (WN)" w:hAnsi="CG Times (WN)" w:eastAsia="Times New Roman" w:cs="Times New Roman"/>
                      <w:b/>
                      <w:sz w:val="18"/>
                      <w:lang w:val="en-GB" w:eastAsia="zh-CN" w:bidi="ar-SA"/>
                    </w:rPr>
                  </w:pPr>
                </w:p>
              </w:tc>
            </w:tr>
            <w:tr w14:paraId="7025A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6BCAF6F5">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14:paraId="39E9ED33">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1</w:t>
                  </w:r>
                </w:p>
              </w:tc>
              <w:tc>
                <w:tcPr>
                  <w:tcW w:w="1111" w:type="pct"/>
                  <w:tcBorders>
                    <w:top w:val="single" w:color="auto" w:sz="4" w:space="0"/>
                    <w:left w:val="single" w:color="auto" w:sz="4" w:space="0"/>
                    <w:bottom w:val="single" w:color="auto" w:sz="4" w:space="0"/>
                    <w:right w:val="single" w:color="auto" w:sz="4" w:space="0"/>
                  </w:tcBorders>
                </w:tcPr>
                <w:p w14:paraId="27B8A29E">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 xml:space="preserve">11.52 x N1 </w:t>
                  </w:r>
                  <w:r>
                    <w:rPr>
                      <w:rFonts w:hint="eastAsia" w:ascii="Arial" w:hAnsi="Arial" w:eastAsia="Times New Roman" w:cs="Arial"/>
                      <w:sz w:val="18"/>
                      <w:lang w:val="en-GB" w:eastAsia="zh-CN" w:bidi="ar-SA"/>
                    </w:rPr>
                    <w:t xml:space="preserve">x </w:t>
                  </w:r>
                  <w:r>
                    <w:rPr>
                      <w:rFonts w:hint="eastAsia" w:ascii="Arial" w:hAnsi="Arial" w:eastAsia="Times New Roman" w:cs="Arial"/>
                      <w:sz w:val="18"/>
                      <w:highlight w:val="yellow"/>
                      <w:lang w:val="en-GB" w:eastAsia="zh-CN" w:bidi="ar-SA"/>
                    </w:rPr>
                    <w:t xml:space="preserve">M2 </w:t>
                  </w:r>
                  <w:r>
                    <w:rPr>
                      <w:rFonts w:hint="eastAsia" w:ascii="Arial" w:hAnsi="Arial" w:eastAsia="Times New Roman" w:cs="Times New Roman"/>
                      <w:sz w:val="18"/>
                      <w:lang w:val="en-GB" w:eastAsia="en-US" w:bidi="ar-SA"/>
                    </w:rPr>
                    <w:t>(36 x N1</w:t>
                  </w:r>
                  <w:r>
                    <w:rPr>
                      <w:rFonts w:hint="eastAsia" w:ascii="Arial" w:hAnsi="Arial" w:eastAsia="Times New Roman" w:cs="Arial"/>
                      <w:sz w:val="18"/>
                      <w:lang w:val="en-GB" w:eastAsia="zh-CN" w:bidi="ar-SA"/>
                    </w:rPr>
                    <w:t xml:space="preserve"> x M2</w:t>
                  </w:r>
                  <w:r>
                    <w:rPr>
                      <w:rFonts w:hint="eastAsia" w:ascii="Arial" w:hAnsi="Arial" w:eastAsia="Times New Roman" w:cs="Times New Roman"/>
                      <w:sz w:val="18"/>
                      <w:lang w:val="en-GB" w:eastAsia="en-US" w:bidi="ar-SA"/>
                    </w:rPr>
                    <w:t>)</w:t>
                  </w:r>
                </w:p>
              </w:tc>
              <w:tc>
                <w:tcPr>
                  <w:tcW w:w="1112" w:type="pct"/>
                  <w:tcBorders>
                    <w:top w:val="single" w:color="auto" w:sz="4" w:space="0"/>
                    <w:left w:val="single" w:color="auto" w:sz="4" w:space="0"/>
                    <w:bottom w:val="single" w:color="auto" w:sz="4" w:space="0"/>
                    <w:right w:val="single" w:color="auto" w:sz="4" w:space="0"/>
                  </w:tcBorders>
                </w:tcPr>
                <w:p w14:paraId="0E72D9ED">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 xml:space="preserve">1.28 x N1 </w:t>
                  </w:r>
                  <w:r>
                    <w:rPr>
                      <w:rFonts w:hint="eastAsia" w:ascii="Arial" w:hAnsi="Arial" w:eastAsia="Times New Roman" w:cs="Arial"/>
                      <w:sz w:val="18"/>
                      <w:lang w:val="en-GB" w:eastAsia="zh-CN" w:bidi="ar-SA"/>
                    </w:rPr>
                    <w:t xml:space="preserve">x </w:t>
                  </w:r>
                  <w:r>
                    <w:rPr>
                      <w:rFonts w:hint="eastAsia" w:ascii="Arial" w:hAnsi="Arial" w:eastAsia="Times New Roman" w:cs="Arial"/>
                      <w:sz w:val="18"/>
                      <w:highlight w:val="yellow"/>
                      <w:lang w:val="en-GB" w:eastAsia="zh-CN" w:bidi="ar-SA"/>
                    </w:rPr>
                    <w:t>M2</w:t>
                  </w:r>
                  <w:r>
                    <w:rPr>
                      <w:rFonts w:hint="eastAsia" w:ascii="Arial" w:hAnsi="Arial" w:eastAsia="Times New Roman" w:cs="Arial"/>
                      <w:sz w:val="18"/>
                      <w:highlight w:val="yellow"/>
                      <w:lang w:val="en-GB" w:eastAsia="en-US" w:bidi="ar-SA"/>
                    </w:rPr>
                    <w:t xml:space="preserve"> </w:t>
                  </w:r>
                  <w:r>
                    <w:rPr>
                      <w:rFonts w:hint="eastAsia" w:ascii="Arial" w:hAnsi="Arial" w:eastAsia="Times New Roman" w:cs="Times New Roman"/>
                      <w:sz w:val="18"/>
                      <w:lang w:val="en-GB" w:eastAsia="en-US" w:bidi="ar-SA"/>
                    </w:rPr>
                    <w:t>(4 x N1</w:t>
                  </w:r>
                  <w:r>
                    <w:rPr>
                      <w:rFonts w:hint="eastAsia" w:ascii="Arial" w:hAnsi="Arial" w:eastAsia="Times New Roman" w:cs="Arial"/>
                      <w:sz w:val="18"/>
                      <w:lang w:val="en-GB" w:eastAsia="zh-CN" w:bidi="ar-SA"/>
                    </w:rPr>
                    <w:t xml:space="preserve"> x M2</w:t>
                  </w:r>
                  <w:r>
                    <w:rPr>
                      <w:rFonts w:hint="eastAsia" w:ascii="Arial" w:hAnsi="Arial" w:eastAsia="Times New Roman" w:cs="Times New Roman"/>
                      <w:sz w:val="18"/>
                      <w:lang w:val="en-GB" w:eastAsia="en-US" w:bidi="ar-SA"/>
                    </w:rPr>
                    <w:t>)</w:t>
                  </w:r>
                </w:p>
              </w:tc>
              <w:tc>
                <w:tcPr>
                  <w:tcW w:w="1112" w:type="pct"/>
                  <w:tcBorders>
                    <w:top w:val="single" w:color="auto" w:sz="4" w:space="0"/>
                    <w:left w:val="single" w:color="auto" w:sz="4" w:space="0"/>
                    <w:bottom w:val="single" w:color="auto" w:sz="4" w:space="0"/>
                    <w:right w:val="single" w:color="auto" w:sz="4" w:space="0"/>
                  </w:tcBorders>
                </w:tcPr>
                <w:p w14:paraId="7B781AC5">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 xml:space="preserve">5.12 x N1 </w:t>
                  </w:r>
                  <w:r>
                    <w:rPr>
                      <w:rFonts w:hint="eastAsia" w:ascii="Arial" w:hAnsi="Arial" w:eastAsia="Times New Roman" w:cs="Arial"/>
                      <w:sz w:val="18"/>
                      <w:lang w:val="en-GB" w:eastAsia="zh-CN" w:bidi="ar-SA"/>
                    </w:rPr>
                    <w:t xml:space="preserve">x </w:t>
                  </w:r>
                  <w:r>
                    <w:rPr>
                      <w:rFonts w:hint="eastAsia" w:ascii="Arial" w:hAnsi="Arial" w:eastAsia="Times New Roman" w:cs="Arial"/>
                      <w:sz w:val="18"/>
                      <w:highlight w:val="yellow"/>
                      <w:lang w:val="en-GB" w:eastAsia="zh-CN" w:bidi="ar-SA"/>
                    </w:rPr>
                    <w:t>M2</w:t>
                  </w:r>
                  <w:r>
                    <w:rPr>
                      <w:rFonts w:hint="eastAsia" w:ascii="Arial" w:hAnsi="Arial" w:eastAsia="Times New Roman" w:cs="Arial"/>
                      <w:sz w:val="18"/>
                      <w:highlight w:val="yellow"/>
                      <w:lang w:val="en-GB" w:eastAsia="en-US" w:bidi="ar-SA"/>
                    </w:rPr>
                    <w:t xml:space="preserve"> </w:t>
                  </w:r>
                  <w:r>
                    <w:rPr>
                      <w:rFonts w:hint="eastAsia" w:ascii="Arial" w:hAnsi="Arial" w:eastAsia="Times New Roman" w:cs="Times New Roman"/>
                      <w:sz w:val="18"/>
                      <w:lang w:val="en-GB" w:eastAsia="en-US" w:bidi="ar-SA"/>
                    </w:rPr>
                    <w:t>(16 x N1</w:t>
                  </w:r>
                  <w:r>
                    <w:rPr>
                      <w:rFonts w:hint="eastAsia" w:ascii="Arial" w:hAnsi="Arial" w:eastAsia="Times New Roman" w:cs="Arial"/>
                      <w:sz w:val="18"/>
                      <w:lang w:val="en-GB" w:eastAsia="zh-CN" w:bidi="ar-SA"/>
                    </w:rPr>
                    <w:t xml:space="preserve"> x M2</w:t>
                  </w:r>
                  <w:r>
                    <w:rPr>
                      <w:rFonts w:hint="eastAsia" w:ascii="Arial" w:hAnsi="Arial" w:eastAsia="Times New Roman" w:cs="Times New Roman"/>
                      <w:sz w:val="18"/>
                      <w:lang w:val="en-GB" w:eastAsia="en-US" w:bidi="ar-SA"/>
                    </w:rPr>
                    <w:t>)</w:t>
                  </w:r>
                </w:p>
              </w:tc>
            </w:tr>
            <w:tr w14:paraId="220B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3F6F91BF">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0.64</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10DBA5E8">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p>
              </w:tc>
              <w:tc>
                <w:tcPr>
                  <w:tcW w:w="1111" w:type="pct"/>
                  <w:tcBorders>
                    <w:top w:val="single" w:color="auto" w:sz="4" w:space="0"/>
                    <w:left w:val="single" w:color="auto" w:sz="4" w:space="0"/>
                    <w:bottom w:val="single" w:color="auto" w:sz="4" w:space="0"/>
                    <w:right w:val="single" w:color="auto" w:sz="4" w:space="0"/>
                  </w:tcBorders>
                </w:tcPr>
                <w:p w14:paraId="2CA63919">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17.92 x N1 (28 x N1)</w:t>
                  </w:r>
                </w:p>
              </w:tc>
              <w:tc>
                <w:tcPr>
                  <w:tcW w:w="1112" w:type="pct"/>
                  <w:tcBorders>
                    <w:top w:val="single" w:color="auto" w:sz="4" w:space="0"/>
                    <w:left w:val="single" w:color="auto" w:sz="4" w:space="0"/>
                    <w:bottom w:val="single" w:color="auto" w:sz="4" w:space="0"/>
                    <w:right w:val="single" w:color="auto" w:sz="4" w:space="0"/>
                  </w:tcBorders>
                </w:tcPr>
                <w:p w14:paraId="4F9F9CCD">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1.28 x N1 (2 x N1)</w:t>
                  </w:r>
                </w:p>
              </w:tc>
              <w:tc>
                <w:tcPr>
                  <w:tcW w:w="1112" w:type="pct"/>
                  <w:tcBorders>
                    <w:top w:val="single" w:color="auto" w:sz="4" w:space="0"/>
                    <w:left w:val="single" w:color="auto" w:sz="4" w:space="0"/>
                    <w:bottom w:val="single" w:color="auto" w:sz="4" w:space="0"/>
                    <w:right w:val="single" w:color="auto" w:sz="4" w:space="0"/>
                  </w:tcBorders>
                </w:tcPr>
                <w:p w14:paraId="2FDAAC8A">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5.12 x N1 (8 x N1)</w:t>
                  </w:r>
                </w:p>
              </w:tc>
            </w:tr>
            <w:tr w14:paraId="44B6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3F39D0FD">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1.28</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7D6BFED2">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p>
              </w:tc>
              <w:tc>
                <w:tcPr>
                  <w:tcW w:w="1111" w:type="pct"/>
                  <w:tcBorders>
                    <w:top w:val="single" w:color="auto" w:sz="4" w:space="0"/>
                    <w:left w:val="single" w:color="auto" w:sz="4" w:space="0"/>
                    <w:bottom w:val="single" w:color="auto" w:sz="4" w:space="0"/>
                    <w:right w:val="single" w:color="auto" w:sz="4" w:space="0"/>
                  </w:tcBorders>
                </w:tcPr>
                <w:p w14:paraId="7E5F8F98">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32 x N1 (25 x N1)</w:t>
                  </w:r>
                </w:p>
              </w:tc>
              <w:tc>
                <w:tcPr>
                  <w:tcW w:w="1112" w:type="pct"/>
                  <w:tcBorders>
                    <w:top w:val="single" w:color="auto" w:sz="4" w:space="0"/>
                    <w:left w:val="single" w:color="auto" w:sz="4" w:space="0"/>
                    <w:bottom w:val="single" w:color="auto" w:sz="4" w:space="0"/>
                    <w:right w:val="single" w:color="auto" w:sz="4" w:space="0"/>
                  </w:tcBorders>
                </w:tcPr>
                <w:p w14:paraId="06835969">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1.28 x N1 (1 x N1)</w:t>
                  </w:r>
                </w:p>
              </w:tc>
              <w:tc>
                <w:tcPr>
                  <w:tcW w:w="1112" w:type="pct"/>
                  <w:tcBorders>
                    <w:top w:val="single" w:color="auto" w:sz="4" w:space="0"/>
                    <w:left w:val="single" w:color="auto" w:sz="4" w:space="0"/>
                    <w:bottom w:val="single" w:color="auto" w:sz="4" w:space="0"/>
                    <w:right w:val="single" w:color="auto" w:sz="4" w:space="0"/>
                  </w:tcBorders>
                </w:tcPr>
                <w:p w14:paraId="3F7E1C7E">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6.4 x N1 (5 x N1)</w:t>
                  </w:r>
                </w:p>
              </w:tc>
            </w:tr>
            <w:tr w14:paraId="164B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22015587">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2.56</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0AE2F437">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p>
              </w:tc>
              <w:tc>
                <w:tcPr>
                  <w:tcW w:w="1111" w:type="pct"/>
                  <w:tcBorders>
                    <w:top w:val="single" w:color="auto" w:sz="4" w:space="0"/>
                    <w:left w:val="single" w:color="auto" w:sz="4" w:space="0"/>
                    <w:bottom w:val="single" w:color="auto" w:sz="4" w:space="0"/>
                    <w:right w:val="single" w:color="auto" w:sz="4" w:space="0"/>
                  </w:tcBorders>
                </w:tcPr>
                <w:p w14:paraId="0504C1ED">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Arial"/>
                      <w:sz w:val="18"/>
                      <w:lang w:val="en-GB" w:eastAsia="zh-CN" w:bidi="ar-SA"/>
                    </w:rPr>
                    <w:t>58.88</w:t>
                  </w:r>
                  <w:r>
                    <w:rPr>
                      <w:rFonts w:hint="eastAsia" w:ascii="Arial" w:hAnsi="Arial" w:eastAsia="Times New Roman" w:cs="Times New Roman"/>
                      <w:sz w:val="18"/>
                      <w:lang w:val="en-GB" w:eastAsia="en-US" w:bidi="ar-SA"/>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14:paraId="7BB47226">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2.56 x N1 (1 x N1)</w:t>
                  </w:r>
                </w:p>
              </w:tc>
              <w:tc>
                <w:tcPr>
                  <w:tcW w:w="1112" w:type="pct"/>
                  <w:tcBorders>
                    <w:top w:val="single" w:color="auto" w:sz="4" w:space="0"/>
                    <w:left w:val="single" w:color="auto" w:sz="4" w:space="0"/>
                    <w:bottom w:val="single" w:color="auto" w:sz="4" w:space="0"/>
                    <w:right w:val="single" w:color="auto" w:sz="4" w:space="0"/>
                  </w:tcBorders>
                </w:tcPr>
                <w:p w14:paraId="1A82D8C6">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z w:val="18"/>
                      <w:lang w:val="en-GB" w:eastAsia="en-US" w:bidi="ar-SA"/>
                    </w:rPr>
                    <w:t>7.68 x N1 (3 x N1)</w:t>
                  </w:r>
                </w:p>
              </w:tc>
            </w:tr>
            <w:tr w14:paraId="5AE0C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3AC5AB0A">
                  <w:pPr>
                    <w:keepNext/>
                    <w:keepLines/>
                    <w:widowControl/>
                    <w:suppressLineNumbers w:val="0"/>
                    <w:overflowPunct w:val="0"/>
                    <w:autoSpaceDE w:val="0"/>
                    <w:autoSpaceDN w:val="0"/>
                    <w:adjustRightInd w:val="0"/>
                    <w:spacing w:before="0" w:beforeAutospacing="0" w:after="0" w:afterAutospacing="0"/>
                    <w:ind w:left="851" w:right="0" w:hanging="851"/>
                    <w:textAlignment w:val="baseline"/>
                    <w:rPr>
                      <w:rFonts w:hint="eastAsia" w:ascii="Arial" w:hAnsi="Arial" w:eastAsia="Times New Roman" w:cs="Times New Roman"/>
                      <w:snapToGrid w:val="0"/>
                      <w:sz w:val="18"/>
                      <w:lang w:val="en-GB" w:eastAsia="zh-CN" w:bidi="ar-SA"/>
                    </w:rPr>
                  </w:pPr>
                  <w:r>
                    <w:rPr>
                      <w:rFonts w:hint="eastAsia" w:ascii="Arial" w:hAnsi="Arial" w:eastAsia="Times New Roman" w:cs="Times New Roman"/>
                      <w:snapToGrid w:val="0"/>
                      <w:sz w:val="18"/>
                      <w:lang w:val="en-GB" w:eastAsia="zh-CN" w:bidi="ar-SA"/>
                    </w:rPr>
                    <w:t>NOTE 1</w:t>
                  </w:r>
                  <w:r>
                    <w:rPr>
                      <w:rFonts w:hint="eastAsia" w:ascii="Arial" w:hAnsi="Arial" w:eastAsia="Times New Roman" w:cs="Times New Roman"/>
                      <w:sz w:val="18"/>
                      <w:lang w:val="en-GB" w:eastAsia="en-US" w:bidi="ar-SA"/>
                    </w:rPr>
                    <w:t>:</w:t>
                  </w:r>
                  <w:r>
                    <w:rPr>
                      <w:rFonts w:hint="eastAsia" w:ascii="Arial" w:hAnsi="Arial" w:eastAsia="Times New Roman" w:cs="Times New Roman"/>
                      <w:sz w:val="18"/>
                      <w:lang w:val="en-GB" w:eastAsia="en-US" w:bidi="ar-SA"/>
                    </w:rPr>
                    <w:tab/>
                  </w:r>
                  <w:r>
                    <w:rPr>
                      <w:rFonts w:hint="eastAsia" w:ascii="Arial" w:hAnsi="Arial" w:eastAsia="Times New Roman" w:cs="Times New Roman"/>
                      <w:sz w:val="18"/>
                      <w:highlight w:val="none"/>
                      <w:lang w:val="en-GB" w:eastAsia="en-US" w:bidi="ar-SA"/>
                    </w:rPr>
                    <w:t xml:space="preserve">M2 = 2 </w:t>
                  </w:r>
                  <w:r>
                    <w:rPr>
                      <w:rFonts w:hint="eastAsia" w:ascii="Arial" w:hAnsi="Arial" w:eastAsia="Times New Roman" w:cs="Times New Roman"/>
                      <w:snapToGrid w:val="0"/>
                      <w:sz w:val="18"/>
                      <w:highlight w:val="none"/>
                      <w:lang w:val="en-GB" w:eastAsia="zh-CN" w:bidi="ar-SA"/>
                    </w:rPr>
                    <w:t>if SMTC periodicity</w:t>
                  </w:r>
                  <w:r>
                    <w:rPr>
                      <w:rFonts w:hint="eastAsia" w:ascii="Arial" w:hAnsi="Arial" w:eastAsia="Times New Roman" w:cs="Times New Roman"/>
                      <w:sz w:val="18"/>
                      <w:highlight w:val="none"/>
                      <w:lang w:val="en-GB" w:eastAsia="en-US" w:bidi="ar-SA"/>
                    </w:rPr>
                    <w:t xml:space="preserve"> </w:t>
                  </w:r>
                  <w:r>
                    <w:rPr>
                      <w:rFonts w:hint="eastAsia" w:ascii="Arial" w:hAnsi="Arial" w:eastAsia="Times New Roman" w:cs="Times New Roman"/>
                      <w:snapToGrid w:val="0"/>
                      <w:sz w:val="18"/>
                      <w:highlight w:val="none"/>
                      <w:lang w:val="en-GB" w:eastAsia="zh-CN" w:bidi="ar-SA"/>
                    </w:rPr>
                    <w:t>of measured intra-frequency cell &gt; 20 ms and 1&lt;N</w:t>
                  </w:r>
                  <w:r>
                    <w:rPr>
                      <w:rFonts w:hint="eastAsia" w:ascii="Arial" w:hAnsi="Arial" w:eastAsia="Times New Roman" w:cs="Times New Roman"/>
                      <w:snapToGrid w:val="0"/>
                      <w:sz w:val="18"/>
                      <w:highlight w:val="none"/>
                      <w:vertAlign w:val="subscript"/>
                      <w:lang w:val="en-GB" w:eastAsia="zh-CN" w:bidi="ar-SA"/>
                    </w:rPr>
                    <w:t>SMTC</w:t>
                  </w:r>
                  <w:r>
                    <w:rPr>
                      <w:rFonts w:hint="eastAsia" w:ascii="Arial" w:hAnsi="Arial" w:eastAsia="Times New Roman" w:cs="Times New Roman"/>
                      <w:snapToGrid w:val="0"/>
                      <w:sz w:val="18"/>
                      <w:highlight w:val="none"/>
                      <w:lang w:val="en-GB" w:eastAsia="zh-CN" w:bidi="ar-SA"/>
                    </w:rPr>
                    <w:t xml:space="preserve"> </w:t>
                  </w:r>
                  <w:r>
                    <w:rPr>
                      <w:rFonts w:hint="eastAsia" w:ascii="Arial" w:hAnsi="Arial" w:eastAsia="Times New Roman" w:cs="Times New Roman"/>
                      <w:snapToGrid w:val="0"/>
                      <w:sz w:val="18"/>
                      <w:highlight w:val="none"/>
                      <w:lang w:val="en-GB" w:eastAsia="zh-CN" w:bidi="ar-SA"/>
                    </w:rPr>
                    <w:sym w:font="Symbol" w:char="F0A3"/>
                  </w:r>
                  <w:r>
                    <w:rPr>
                      <w:rFonts w:hint="eastAsia" w:ascii="Arial" w:hAnsi="Arial" w:eastAsia="Times New Roman" w:cs="Times New Roman"/>
                      <w:snapToGrid w:val="0"/>
                      <w:sz w:val="18"/>
                      <w:highlight w:val="none"/>
                      <w:lang w:val="en-GB" w:eastAsia="zh-CN" w:bidi="ar-SA"/>
                    </w:rPr>
                    <w:t xml:space="preserve"> 4 upon more than 1 SMTC configured at the UE; M2 = 1.5 if SMTC periodicity</w:t>
                  </w:r>
                  <w:r>
                    <w:rPr>
                      <w:rFonts w:hint="eastAsia" w:ascii="Arial" w:hAnsi="Arial" w:eastAsia="Times New Roman" w:cs="Times New Roman"/>
                      <w:sz w:val="18"/>
                      <w:highlight w:val="none"/>
                      <w:lang w:val="en-GB" w:eastAsia="en-US" w:bidi="ar-SA"/>
                    </w:rPr>
                    <w:t xml:space="preserve"> </w:t>
                  </w:r>
                  <w:r>
                    <w:rPr>
                      <w:rFonts w:hint="eastAsia" w:ascii="Arial" w:hAnsi="Arial" w:eastAsia="Times New Roman" w:cs="Times New Roman"/>
                      <w:snapToGrid w:val="0"/>
                      <w:sz w:val="18"/>
                      <w:highlight w:val="none"/>
                      <w:lang w:val="en-GB" w:eastAsia="zh-CN" w:bidi="ar-SA"/>
                    </w:rPr>
                    <w:t>of measured intra-frequency cell &gt; 20 ms</w:t>
                  </w:r>
                  <w:r>
                    <w:rPr>
                      <w:rFonts w:hint="eastAsia" w:ascii="Arial" w:hAnsi="Arial" w:eastAsia="Times New Roman" w:cs="Times New Roman"/>
                      <w:snapToGrid w:val="0"/>
                      <w:sz w:val="18"/>
                      <w:lang w:val="en-GB" w:eastAsia="zh-CN" w:bidi="ar-SA"/>
                    </w:rPr>
                    <w:t xml:space="preserve"> and N</w:t>
                  </w:r>
                  <w:r>
                    <w:rPr>
                      <w:rFonts w:hint="eastAsia" w:ascii="Arial" w:hAnsi="Arial" w:eastAsia="Times New Roman" w:cs="Times New Roman"/>
                      <w:snapToGrid w:val="0"/>
                      <w:sz w:val="18"/>
                      <w:vertAlign w:val="subscript"/>
                      <w:lang w:val="en-GB" w:eastAsia="zh-CN" w:bidi="ar-SA"/>
                    </w:rPr>
                    <w:t>SMTC</w:t>
                  </w:r>
                  <w:r>
                    <w:rPr>
                      <w:rFonts w:hint="eastAsia" w:ascii="Arial" w:hAnsi="Arial" w:eastAsia="Times New Roman" w:cs="Times New Roman"/>
                      <w:snapToGrid w:val="0"/>
                      <w:sz w:val="18"/>
                      <w:lang w:val="en-GB" w:eastAsia="zh-CN" w:bidi="ar-SA"/>
                    </w:rPr>
                    <w:t>=1 upon 1 SMTC configured at the UE; otherwise M2=1.</w:t>
                  </w:r>
                  <w:r>
                    <w:rPr>
                      <w:rFonts w:hint="eastAsia" w:ascii="Arial" w:hAnsi="Arial" w:eastAsia="Times New Roman" w:cs="Times New Roman"/>
                      <w:sz w:val="18"/>
                      <w:lang w:val="en-GB" w:eastAsia="en-US" w:bidi="ar-SA"/>
                    </w:rPr>
                    <w:t xml:space="preserve"> </w:t>
                  </w:r>
                  <w:r>
                    <w:rPr>
                      <w:rFonts w:hint="eastAsia" w:ascii="Arial" w:hAnsi="Arial" w:eastAsia="Times New Roman" w:cs="Times New Roman"/>
                      <w:snapToGrid w:val="0"/>
                      <w:sz w:val="18"/>
                      <w:lang w:val="en-GB" w:eastAsia="zh-CN" w:bidi="ar-SA"/>
                    </w:rPr>
                    <w:t>Where, N</w:t>
                  </w:r>
                  <w:r>
                    <w:rPr>
                      <w:rFonts w:hint="eastAsia" w:ascii="Arial" w:hAnsi="Arial" w:eastAsia="Times New Roman" w:cs="Times New Roman"/>
                      <w:snapToGrid w:val="0"/>
                      <w:sz w:val="18"/>
                      <w:vertAlign w:val="subscript"/>
                      <w:lang w:val="en-GB" w:eastAsia="zh-CN" w:bidi="ar-SA"/>
                    </w:rPr>
                    <w:t>SMTC</w:t>
                  </w:r>
                  <w:r>
                    <w:rPr>
                      <w:rFonts w:hint="eastAsia" w:ascii="Arial" w:hAnsi="Arial" w:eastAsia="Times New Roman" w:cs="Times New Roman"/>
                      <w:snapToGrid w:val="0"/>
                      <w:sz w:val="18"/>
                      <w:lang w:val="en-GB" w:eastAsia="zh-CN" w:bidi="ar-SA"/>
                    </w:rPr>
                    <w:t xml:space="preserve"> is the number of SMTCs configured by SAN </w:t>
                  </w:r>
                  <w:r>
                    <w:rPr>
                      <w:rFonts w:hint="eastAsia" w:ascii="Arial" w:hAnsi="Arial" w:eastAsia="Times New Roman" w:cs="Times New Roman"/>
                      <w:snapToGrid w:val="0"/>
                      <w:sz w:val="18"/>
                      <w:highlight w:val="yellow"/>
                      <w:lang w:val="en-GB" w:eastAsia="zh-CN" w:bidi="ar-SA"/>
                    </w:rPr>
                    <w:t>If different SMTC periodicities are configured for different cells, the SMTC periodicity in this note is the one used by the cell being identified.</w:t>
                  </w:r>
                  <w:r>
                    <w:rPr>
                      <w:rFonts w:hint="eastAsia" w:ascii="Arial" w:hAnsi="Arial" w:eastAsia="Times New Roman" w:cs="Times New Roman"/>
                      <w:snapToGrid w:val="0"/>
                      <w:sz w:val="18"/>
                      <w:lang w:val="en-GB" w:eastAsia="zh-CN" w:bidi="ar-SA"/>
                    </w:rPr>
                    <w:t xml:space="preserve"> </w:t>
                  </w:r>
                  <w:r>
                    <w:rPr>
                      <w:rFonts w:hint="eastAsia" w:ascii="Arial" w:hAnsi="Arial" w:eastAsia="Times New Roman" w:cs="Times New Roman"/>
                      <w:snapToGrid w:val="0"/>
                      <w:sz w:val="18"/>
                      <w:highlight w:val="yellow"/>
                      <w:lang w:val="en-GB" w:eastAsia="zh-CN" w:bidi="ar-SA"/>
                    </w:rPr>
                    <w:t>During PSS/SSS detection, the periodicity of the SMTC configured for the intra-frequency carrier is assumed, and if the actual SSB transmission periodicity is greater than the SMTC configured for the intra-frequency carrier, longer T</w:t>
                  </w:r>
                  <w:r>
                    <w:rPr>
                      <w:rFonts w:hint="eastAsia" w:ascii="Arial" w:hAnsi="Arial" w:eastAsia="Times New Roman" w:cs="Times New Roman"/>
                      <w:snapToGrid w:val="0"/>
                      <w:sz w:val="18"/>
                      <w:highlight w:val="yellow"/>
                      <w:vertAlign w:val="subscript"/>
                      <w:lang w:val="en-GB" w:eastAsia="zh-CN" w:bidi="ar-SA"/>
                    </w:rPr>
                    <w:t xml:space="preserve">detect, NR_intra </w:t>
                  </w:r>
                  <w:r>
                    <w:rPr>
                      <w:rFonts w:hint="eastAsia" w:ascii="Arial" w:hAnsi="Arial" w:eastAsia="Times New Roman" w:cs="Times New Roman"/>
                      <w:snapToGrid w:val="0"/>
                      <w:sz w:val="18"/>
                      <w:highlight w:val="yellow"/>
                      <w:lang w:val="en-GB" w:eastAsia="zh-CN" w:bidi="ar-SA"/>
                    </w:rPr>
                    <w:t>is expected.</w:t>
                  </w:r>
                </w:p>
                <w:p w14:paraId="25024893">
                  <w:pPr>
                    <w:keepNext/>
                    <w:keepLines/>
                    <w:widowControl/>
                    <w:suppressLineNumbers w:val="0"/>
                    <w:overflowPunct w:val="0"/>
                    <w:autoSpaceDE w:val="0"/>
                    <w:autoSpaceDN w:val="0"/>
                    <w:adjustRightInd w:val="0"/>
                    <w:spacing w:before="0" w:beforeAutospacing="0" w:after="0" w:afterAutospacing="0"/>
                    <w:ind w:left="851" w:right="0" w:hanging="851"/>
                    <w:textAlignment w:val="baseline"/>
                    <w:rPr>
                      <w:rFonts w:hint="eastAsia" w:ascii="Arial" w:hAnsi="Arial" w:eastAsia="Times New Roman" w:cs="Times New Roman"/>
                      <w:sz w:val="18"/>
                      <w:lang w:val="en-GB" w:eastAsia="en-US" w:bidi="ar-SA"/>
                    </w:rPr>
                  </w:pPr>
                  <w:r>
                    <w:rPr>
                      <w:rFonts w:hint="eastAsia" w:ascii="Arial" w:hAnsi="Arial" w:eastAsia="Times New Roman" w:cs="Times New Roman"/>
                      <w:snapToGrid w:val="0"/>
                      <w:sz w:val="18"/>
                      <w:lang w:val="en-GB" w:eastAsia="zh-CN" w:bidi="ar-SA"/>
                    </w:rPr>
                    <w:t>NOTE 2:</w:t>
                  </w:r>
                  <w:r>
                    <w:rPr>
                      <w:rFonts w:hint="eastAsia" w:ascii="Arial" w:hAnsi="Arial" w:eastAsia="Times New Roman" w:cs="Times New Roman"/>
                      <w:sz w:val="18"/>
                      <w:lang w:val="en-GB" w:eastAsia="zh-CN" w:bidi="ar-SA"/>
                    </w:rPr>
                    <w:t xml:space="preserve"> </w:t>
                  </w:r>
                  <w:r>
                    <w:rPr>
                      <w:rFonts w:hint="eastAsia" w:ascii="Arial" w:hAnsi="Arial" w:eastAsia="Times New Roman" w:cs="Times New Roman"/>
                      <w:sz w:val="18"/>
                      <w:lang w:val="en-GB" w:eastAsia="zh-CN" w:bidi="ar-SA"/>
                    </w:rPr>
                    <w:tab/>
                  </w:r>
                  <w:r>
                    <w:rPr>
                      <w:rFonts w:hint="eastAsia" w:ascii="Arial" w:hAnsi="Arial" w:eastAsia="Times New Roman" w:cs="Times New Roman"/>
                      <w:sz w:val="18"/>
                      <w:lang w:val="en-GB" w:eastAsia="zh-CN" w:bidi="ar-SA"/>
                    </w:rPr>
                    <w:t>The UE is not required to meet the requirements for 2.56 s DRX cycle length for earth-moving LEO deployment.</w:t>
                  </w:r>
                </w:p>
              </w:tc>
            </w:tr>
          </w:tbl>
          <w:p w14:paraId="549E83C2">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Times New Roman" w:cs="Times New Roman"/>
                <w:kern w:val="0"/>
                <w:sz w:val="20"/>
                <w:szCs w:val="20"/>
                <w:lang w:val="en-GB" w:eastAsia="en-US"/>
              </w:rPr>
            </w:pPr>
          </w:p>
          <w:p w14:paraId="51B88D45">
            <w:pPr>
              <w:keepNext/>
              <w:keepLines/>
              <w:widowControl/>
              <w:suppressLineNumbers w:val="0"/>
              <w:overflowPunct w:val="0"/>
              <w:autoSpaceDE w:val="0"/>
              <w:autoSpaceDN w:val="0"/>
              <w:adjustRightInd w:val="0"/>
              <w:spacing w:before="60" w:beforeAutospacing="0" w:after="180" w:afterAutospacing="0"/>
              <w:ind w:left="0" w:right="0"/>
              <w:jc w:val="center"/>
              <w:textAlignment w:val="baseline"/>
              <w:rPr>
                <w:rFonts w:hint="eastAsia" w:ascii="Arial" w:hAnsi="Arial" w:eastAsia="Times New Roman" w:cs="Times New Roman"/>
                <w:b/>
                <w:vertAlign w:val="subscript"/>
                <w:lang w:val="en-GB" w:eastAsia="en-US" w:bidi="ar-SA"/>
              </w:rPr>
            </w:pPr>
            <w:r>
              <w:rPr>
                <w:rFonts w:hint="eastAsia" w:ascii="Arial" w:hAnsi="Arial" w:eastAsia="Times New Roman" w:cs="Times New Roman"/>
                <w:b/>
                <w:lang w:val="en-GB" w:eastAsia="en-US" w:bidi="ar-SA"/>
              </w:rPr>
              <w:t>Table 4.2C.2.3-2: T</w:t>
            </w:r>
            <w:r>
              <w:rPr>
                <w:rFonts w:hint="eastAsia" w:ascii="Arial" w:hAnsi="Arial" w:eastAsia="Times New Roman" w:cs="Times New Roman"/>
                <w:b/>
                <w:vertAlign w:val="subscript"/>
                <w:lang w:val="en-GB" w:eastAsia="en-US" w:bidi="ar-SA"/>
              </w:rPr>
              <w:t>detect,NR_Intra_enh,</w:t>
            </w:r>
            <w:r>
              <w:rPr>
                <w:rFonts w:hint="eastAsia" w:ascii="Arial" w:hAnsi="Arial" w:eastAsia="Times New Roman" w:cs="Times New Roman"/>
                <w:b/>
                <w:lang w:val="en-GB" w:eastAsia="en-US" w:bidi="ar-SA"/>
              </w:rPr>
              <w:t xml:space="preserve"> T</w:t>
            </w:r>
            <w:r>
              <w:rPr>
                <w:rFonts w:hint="eastAsia" w:ascii="Arial" w:hAnsi="Arial" w:eastAsia="Times New Roman" w:cs="Times New Roman"/>
                <w:b/>
                <w:vertAlign w:val="subscript"/>
                <w:lang w:val="en-GB" w:eastAsia="en-US" w:bidi="ar-SA"/>
              </w:rPr>
              <w:t>measure,NR_Intra_enh</w:t>
            </w:r>
            <w:r>
              <w:rPr>
                <w:rFonts w:hint="eastAsia" w:ascii="Arial" w:hAnsi="Arial" w:eastAsia="Times New Roman" w:cs="Times New Roman"/>
                <w:b/>
                <w:lang w:val="en-GB" w:eastAsia="en-US" w:bidi="ar-SA"/>
              </w:rPr>
              <w:t xml:space="preserve"> and T</w:t>
            </w:r>
            <w:r>
              <w:rPr>
                <w:rFonts w:hint="eastAsia" w:ascii="Arial" w:hAnsi="Arial" w:eastAsia="Times New Roman" w:cs="Times New Roman"/>
                <w:b/>
                <w:vertAlign w:val="subscript"/>
                <w:lang w:val="en-GB" w:eastAsia="en-US" w:bidi="ar-SA"/>
              </w:rPr>
              <w:t>evaluate,NR_Intra_enh</w:t>
            </w:r>
          </w:p>
          <w:tbl>
            <w:tblPr>
              <w:tblStyle w:val="18"/>
              <w:tblW w:w="43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63"/>
              <w:gridCol w:w="2427"/>
              <w:gridCol w:w="2427"/>
              <w:gridCol w:w="2434"/>
            </w:tblGrid>
            <w:tr w14:paraId="15D2F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688" w:type="pct"/>
                  <w:vMerge w:val="restart"/>
                  <w:tcBorders>
                    <w:top w:val="single" w:color="auto" w:sz="4" w:space="0"/>
                    <w:left w:val="single" w:color="auto" w:sz="4" w:space="0"/>
                    <w:bottom w:val="single" w:color="auto" w:sz="4" w:space="0"/>
                    <w:right w:val="single" w:color="auto" w:sz="4" w:space="0"/>
                  </w:tcBorders>
                </w:tcPr>
                <w:p w14:paraId="1FF41DE5">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kern w:val="0"/>
                      <w:sz w:val="18"/>
                      <w:szCs w:val="20"/>
                      <w:lang w:val="en-GB" w:eastAsia="en-US"/>
                    </w:rPr>
                  </w:pPr>
                  <w:r>
                    <w:rPr>
                      <w:rFonts w:hint="eastAsia" w:ascii="Arial" w:hAnsi="Arial" w:eastAsia="Times New Roman" w:cs="Times New Roman"/>
                      <w:b/>
                      <w:kern w:val="0"/>
                      <w:sz w:val="18"/>
                      <w:szCs w:val="20"/>
                      <w:lang w:val="en-GB" w:eastAsia="en-US"/>
                    </w:rPr>
                    <w:t>DRX cycle length [s]</w:t>
                  </w:r>
                </w:p>
              </w:tc>
              <w:tc>
                <w:tcPr>
                  <w:tcW w:w="1436" w:type="pct"/>
                  <w:vMerge w:val="restart"/>
                  <w:tcBorders>
                    <w:top w:val="single" w:color="auto" w:sz="4" w:space="0"/>
                    <w:left w:val="single" w:color="auto" w:sz="4" w:space="0"/>
                    <w:bottom w:val="single" w:color="auto" w:sz="4" w:space="0"/>
                    <w:right w:val="single" w:color="auto" w:sz="4" w:space="0"/>
                  </w:tcBorders>
                </w:tcPr>
                <w:p w14:paraId="5934A966">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kern w:val="0"/>
                      <w:sz w:val="18"/>
                      <w:szCs w:val="20"/>
                      <w:lang w:val="en-GB" w:eastAsia="en-US"/>
                    </w:rPr>
                  </w:pPr>
                  <w:r>
                    <w:rPr>
                      <w:rFonts w:hint="eastAsia" w:ascii="Arial" w:hAnsi="Arial" w:eastAsia="Times New Roman" w:cs="Times New Roman"/>
                      <w:b/>
                      <w:kern w:val="0"/>
                      <w:sz w:val="18"/>
                      <w:szCs w:val="20"/>
                      <w:lang w:val="en-GB" w:eastAsia="en-US"/>
                    </w:rPr>
                    <w:t>T</w:t>
                  </w:r>
                  <w:r>
                    <w:rPr>
                      <w:rFonts w:hint="eastAsia" w:ascii="Arial" w:hAnsi="Arial" w:eastAsia="Times New Roman" w:cs="Times New Roman"/>
                      <w:b/>
                      <w:kern w:val="0"/>
                      <w:sz w:val="18"/>
                      <w:szCs w:val="20"/>
                      <w:vertAlign w:val="subscript"/>
                      <w:lang w:val="en-GB" w:eastAsia="en-US"/>
                    </w:rPr>
                    <w:t>detect,NR_</w:t>
                  </w:r>
                  <w:r>
                    <w:rPr>
                      <w:rFonts w:hint="eastAsia" w:ascii="Arial" w:hAnsi="Arial" w:eastAsia="Times New Roman" w:cs="v4.2.0"/>
                      <w:b/>
                      <w:kern w:val="0"/>
                      <w:sz w:val="18"/>
                      <w:szCs w:val="20"/>
                      <w:vertAlign w:val="subscript"/>
                      <w:lang w:val="en-GB" w:eastAsia="en-US"/>
                    </w:rPr>
                    <w:t>Intra_enh</w:t>
                  </w:r>
                  <w:r>
                    <w:rPr>
                      <w:rFonts w:hint="eastAsia" w:ascii="Arial" w:hAnsi="Arial" w:eastAsia="Times New Roman" w:cs="Times New Roman"/>
                      <w:b/>
                      <w:kern w:val="0"/>
                      <w:sz w:val="18"/>
                      <w:szCs w:val="20"/>
                      <w:lang w:val="en-GB" w:eastAsia="en-US"/>
                    </w:rPr>
                    <w:t xml:space="preserve"> [s] (number of DRX cycles)</w:t>
                  </w:r>
                </w:p>
              </w:tc>
              <w:tc>
                <w:tcPr>
                  <w:tcW w:w="1436" w:type="pct"/>
                  <w:vMerge w:val="restart"/>
                  <w:tcBorders>
                    <w:top w:val="single" w:color="auto" w:sz="4" w:space="0"/>
                    <w:left w:val="single" w:color="auto" w:sz="4" w:space="0"/>
                    <w:bottom w:val="single" w:color="auto" w:sz="4" w:space="0"/>
                    <w:right w:val="single" w:color="auto" w:sz="4" w:space="0"/>
                  </w:tcBorders>
                </w:tcPr>
                <w:p w14:paraId="06F4AC43">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kern w:val="0"/>
                      <w:sz w:val="18"/>
                      <w:szCs w:val="20"/>
                      <w:lang w:val="en-GB" w:eastAsia="en-US"/>
                    </w:rPr>
                  </w:pPr>
                  <w:r>
                    <w:rPr>
                      <w:rFonts w:hint="eastAsia" w:ascii="Arial" w:hAnsi="Arial" w:eastAsia="Times New Roman" w:cs="Times New Roman"/>
                      <w:b/>
                      <w:kern w:val="0"/>
                      <w:sz w:val="18"/>
                      <w:szCs w:val="20"/>
                      <w:lang w:val="en-GB" w:eastAsia="en-US"/>
                    </w:rPr>
                    <w:t>T</w:t>
                  </w:r>
                  <w:r>
                    <w:rPr>
                      <w:rFonts w:hint="eastAsia" w:ascii="Arial" w:hAnsi="Arial" w:eastAsia="Times New Roman" w:cs="Times New Roman"/>
                      <w:b/>
                      <w:kern w:val="0"/>
                      <w:sz w:val="18"/>
                      <w:szCs w:val="20"/>
                      <w:vertAlign w:val="subscript"/>
                      <w:lang w:val="en-GB" w:eastAsia="en-US"/>
                    </w:rPr>
                    <w:t>measure,NR_</w:t>
                  </w:r>
                  <w:r>
                    <w:rPr>
                      <w:rFonts w:hint="eastAsia" w:ascii="Arial" w:hAnsi="Arial" w:eastAsia="Times New Roman" w:cs="v4.2.0"/>
                      <w:b/>
                      <w:kern w:val="0"/>
                      <w:sz w:val="18"/>
                      <w:szCs w:val="20"/>
                      <w:vertAlign w:val="subscript"/>
                      <w:lang w:val="en-GB" w:eastAsia="en-US"/>
                    </w:rPr>
                    <w:t>Intra_enh</w:t>
                  </w:r>
                  <w:r>
                    <w:rPr>
                      <w:rFonts w:hint="eastAsia" w:ascii="Arial" w:hAnsi="Arial" w:eastAsia="Times New Roman" w:cs="Times New Roman"/>
                      <w:b/>
                      <w:kern w:val="0"/>
                      <w:sz w:val="18"/>
                      <w:szCs w:val="20"/>
                      <w:lang w:val="en-GB" w:eastAsia="en-US"/>
                    </w:rPr>
                    <w:t xml:space="preserve"> [s] (number of DRX cycles)</w:t>
                  </w:r>
                </w:p>
              </w:tc>
              <w:tc>
                <w:tcPr>
                  <w:tcW w:w="1437" w:type="pct"/>
                  <w:vMerge w:val="restart"/>
                  <w:tcBorders>
                    <w:top w:val="single" w:color="auto" w:sz="4" w:space="0"/>
                    <w:left w:val="single" w:color="auto" w:sz="4" w:space="0"/>
                    <w:bottom w:val="single" w:color="auto" w:sz="4" w:space="0"/>
                    <w:right w:val="single" w:color="auto" w:sz="4" w:space="0"/>
                  </w:tcBorders>
                </w:tcPr>
                <w:p w14:paraId="7F1B2CA4">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kern w:val="0"/>
                      <w:sz w:val="18"/>
                      <w:szCs w:val="20"/>
                      <w:lang w:val="en-GB" w:eastAsia="en-US"/>
                    </w:rPr>
                  </w:pPr>
                  <w:r>
                    <w:rPr>
                      <w:rFonts w:hint="eastAsia" w:ascii="Arial" w:hAnsi="Arial" w:eastAsia="Times New Roman" w:cs="Times New Roman"/>
                      <w:b/>
                      <w:kern w:val="0"/>
                      <w:sz w:val="18"/>
                      <w:szCs w:val="20"/>
                      <w:lang w:val="en-GB" w:eastAsia="en-US"/>
                    </w:rPr>
                    <w:t>T</w:t>
                  </w:r>
                  <w:r>
                    <w:rPr>
                      <w:rFonts w:hint="eastAsia" w:ascii="Arial" w:hAnsi="Arial" w:eastAsia="Times New Roman" w:cs="Times New Roman"/>
                      <w:b/>
                      <w:kern w:val="0"/>
                      <w:sz w:val="18"/>
                      <w:szCs w:val="20"/>
                      <w:vertAlign w:val="subscript"/>
                      <w:lang w:val="en-GB" w:eastAsia="en-US"/>
                    </w:rPr>
                    <w:t>evaluate,NR_</w:t>
                  </w:r>
                  <w:r>
                    <w:rPr>
                      <w:rFonts w:hint="eastAsia" w:ascii="Arial" w:hAnsi="Arial" w:eastAsia="Times New Roman" w:cs="v4.2.0"/>
                      <w:b/>
                      <w:kern w:val="0"/>
                      <w:sz w:val="18"/>
                      <w:szCs w:val="20"/>
                      <w:vertAlign w:val="subscript"/>
                      <w:lang w:val="en-GB" w:eastAsia="en-US"/>
                    </w:rPr>
                    <w:t>Intra_enh</w:t>
                  </w:r>
                  <w:r>
                    <w:rPr>
                      <w:rFonts w:hint="eastAsia" w:ascii="Arial" w:hAnsi="Arial" w:eastAsia="Times New Roman" w:cs="Arial"/>
                      <w:b/>
                      <w:kern w:val="0"/>
                      <w:sz w:val="18"/>
                      <w:szCs w:val="20"/>
                      <w:lang w:val="en-GB" w:eastAsia="en-US"/>
                    </w:rPr>
                    <w:t xml:space="preserve"> </w:t>
                  </w:r>
                  <w:r>
                    <w:rPr>
                      <w:rFonts w:hint="eastAsia" w:ascii="Arial" w:hAnsi="Arial" w:eastAsia="Times New Roman" w:cs="Times New Roman"/>
                      <w:b/>
                      <w:kern w:val="0"/>
                      <w:sz w:val="18"/>
                      <w:szCs w:val="20"/>
                      <w:lang w:val="en-GB" w:eastAsia="en-US"/>
                    </w:rPr>
                    <w:t xml:space="preserve">[s] </w:t>
                  </w:r>
                </w:p>
                <w:p w14:paraId="11CE2A1E">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kern w:val="0"/>
                      <w:sz w:val="18"/>
                      <w:szCs w:val="20"/>
                      <w:lang w:val="en-GB" w:eastAsia="en-US"/>
                    </w:rPr>
                  </w:pPr>
                  <w:r>
                    <w:rPr>
                      <w:rFonts w:hint="eastAsia" w:ascii="Arial" w:hAnsi="Arial" w:eastAsia="Times New Roman" w:cs="Times New Roman"/>
                      <w:b/>
                      <w:kern w:val="0"/>
                      <w:sz w:val="18"/>
                      <w:szCs w:val="20"/>
                      <w:lang w:val="en-GB" w:eastAsia="en-US"/>
                    </w:rPr>
                    <w:t>(number of DRX cycles)</w:t>
                  </w:r>
                </w:p>
              </w:tc>
            </w:tr>
            <w:tr w14:paraId="6E764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688" w:type="pct"/>
                  <w:vMerge w:val="continue"/>
                  <w:tcBorders>
                    <w:top w:val="single" w:color="auto" w:sz="4" w:space="0"/>
                    <w:left w:val="single" w:color="auto" w:sz="4" w:space="0"/>
                    <w:bottom w:val="single" w:color="auto" w:sz="4" w:space="0"/>
                    <w:right w:val="single" w:color="auto" w:sz="4" w:space="0"/>
                  </w:tcBorders>
                  <w:vAlign w:val="center"/>
                </w:tcPr>
                <w:p w14:paraId="2473A996">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b/>
                      <w:kern w:val="0"/>
                      <w:sz w:val="18"/>
                      <w:szCs w:val="20"/>
                      <w:lang w:val="en-GB" w:eastAsia="en-US"/>
                    </w:rPr>
                  </w:pPr>
                </w:p>
              </w:tc>
              <w:tc>
                <w:tcPr>
                  <w:tcW w:w="1436" w:type="pct"/>
                  <w:vMerge w:val="continue"/>
                  <w:tcBorders>
                    <w:top w:val="single" w:color="auto" w:sz="4" w:space="0"/>
                    <w:left w:val="single" w:color="auto" w:sz="4" w:space="0"/>
                    <w:bottom w:val="single" w:color="auto" w:sz="4" w:space="0"/>
                    <w:right w:val="single" w:color="auto" w:sz="4" w:space="0"/>
                  </w:tcBorders>
                  <w:vAlign w:val="center"/>
                </w:tcPr>
                <w:p w14:paraId="3DB13916">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b/>
                      <w:kern w:val="0"/>
                      <w:sz w:val="18"/>
                      <w:szCs w:val="20"/>
                      <w:lang w:val="en-GB" w:eastAsia="en-US"/>
                    </w:rPr>
                  </w:pPr>
                </w:p>
              </w:tc>
              <w:tc>
                <w:tcPr>
                  <w:tcW w:w="1436" w:type="pct"/>
                  <w:vMerge w:val="continue"/>
                  <w:tcBorders>
                    <w:top w:val="single" w:color="auto" w:sz="4" w:space="0"/>
                    <w:left w:val="single" w:color="auto" w:sz="4" w:space="0"/>
                    <w:bottom w:val="single" w:color="auto" w:sz="4" w:space="0"/>
                    <w:right w:val="single" w:color="auto" w:sz="4" w:space="0"/>
                  </w:tcBorders>
                  <w:vAlign w:val="center"/>
                </w:tcPr>
                <w:p w14:paraId="07735E1F">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b/>
                      <w:kern w:val="0"/>
                      <w:sz w:val="18"/>
                      <w:szCs w:val="20"/>
                      <w:lang w:val="en-GB" w:eastAsia="en-US"/>
                    </w:rPr>
                  </w:pPr>
                </w:p>
              </w:tc>
              <w:tc>
                <w:tcPr>
                  <w:tcW w:w="1437" w:type="pct"/>
                  <w:vMerge w:val="continue"/>
                  <w:tcBorders>
                    <w:top w:val="single" w:color="auto" w:sz="4" w:space="0"/>
                    <w:left w:val="single" w:color="auto" w:sz="4" w:space="0"/>
                    <w:bottom w:val="single" w:color="auto" w:sz="4" w:space="0"/>
                    <w:right w:val="single" w:color="auto" w:sz="4" w:space="0"/>
                  </w:tcBorders>
                  <w:vAlign w:val="center"/>
                </w:tcPr>
                <w:p w14:paraId="648257A2">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b/>
                      <w:kern w:val="0"/>
                      <w:sz w:val="18"/>
                      <w:szCs w:val="20"/>
                      <w:lang w:val="en-GB" w:eastAsia="en-US"/>
                    </w:rPr>
                  </w:pPr>
                </w:p>
              </w:tc>
            </w:tr>
            <w:tr w14:paraId="140E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8" w:type="pct"/>
                  <w:tcBorders>
                    <w:top w:val="single" w:color="auto" w:sz="4" w:space="0"/>
                    <w:left w:val="single" w:color="auto" w:sz="4" w:space="0"/>
                    <w:bottom w:val="single" w:color="auto" w:sz="4" w:space="0"/>
                    <w:right w:val="single" w:color="auto" w:sz="4" w:space="0"/>
                  </w:tcBorders>
                </w:tcPr>
                <w:p w14:paraId="7BEA5269">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0.32</w:t>
                  </w:r>
                </w:p>
              </w:tc>
              <w:tc>
                <w:tcPr>
                  <w:tcW w:w="1436" w:type="pct"/>
                  <w:tcBorders>
                    <w:top w:val="single" w:color="auto" w:sz="4" w:space="0"/>
                    <w:left w:val="single" w:color="auto" w:sz="4" w:space="0"/>
                    <w:bottom w:val="single" w:color="auto" w:sz="4" w:space="0"/>
                    <w:right w:val="single" w:color="auto" w:sz="4" w:space="0"/>
                  </w:tcBorders>
                </w:tcPr>
                <w:p w14:paraId="65200F6C">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 xml:space="preserve"> 2.56 x M2 (8 x M2)</w:t>
                  </w:r>
                  <w:r>
                    <w:rPr>
                      <w:rFonts w:hint="eastAsia" w:ascii="Arial" w:hAnsi="Arial" w:eastAsia="Times New Roman" w:cs="Times New Roman"/>
                      <w:sz w:val="18"/>
                      <w:vertAlign w:val="superscript"/>
                      <w:lang w:val="en-GB" w:eastAsia="en-US" w:bidi="ar-SA"/>
                    </w:rPr>
                    <w:t>Note 1</w:t>
                  </w:r>
                </w:p>
              </w:tc>
              <w:tc>
                <w:tcPr>
                  <w:tcW w:w="1436" w:type="pct"/>
                  <w:tcBorders>
                    <w:top w:val="single" w:color="auto" w:sz="4" w:space="0"/>
                    <w:left w:val="single" w:color="auto" w:sz="4" w:space="0"/>
                    <w:bottom w:val="single" w:color="auto" w:sz="4" w:space="0"/>
                    <w:right w:val="single" w:color="auto" w:sz="4" w:space="0"/>
                  </w:tcBorders>
                </w:tcPr>
                <w:p w14:paraId="222FB5A7">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0.32 x M3 (1 x M3)</w:t>
                  </w:r>
                  <w:r>
                    <w:rPr>
                      <w:rFonts w:hint="eastAsia" w:ascii="Arial" w:hAnsi="Arial" w:eastAsia="Times New Roman" w:cs="Times New Roman"/>
                      <w:sz w:val="18"/>
                      <w:vertAlign w:val="superscript"/>
                      <w:lang w:val="en-GB" w:eastAsia="en-US" w:bidi="ar-SA"/>
                    </w:rPr>
                    <w:t xml:space="preserve"> Note 1</w:t>
                  </w:r>
                </w:p>
              </w:tc>
              <w:tc>
                <w:tcPr>
                  <w:tcW w:w="1437" w:type="pct"/>
                  <w:tcBorders>
                    <w:top w:val="single" w:color="auto" w:sz="4" w:space="0"/>
                    <w:left w:val="single" w:color="auto" w:sz="4" w:space="0"/>
                    <w:bottom w:val="single" w:color="auto" w:sz="4" w:space="0"/>
                    <w:right w:val="single" w:color="auto" w:sz="4" w:space="0"/>
                  </w:tcBorders>
                </w:tcPr>
                <w:p w14:paraId="4293FF1C">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0.96 x M4 (3 x M4)</w:t>
                  </w:r>
                  <w:r>
                    <w:rPr>
                      <w:rFonts w:hint="eastAsia" w:ascii="Arial" w:hAnsi="Arial" w:eastAsia="Times New Roman" w:cs="Times New Roman"/>
                      <w:sz w:val="18"/>
                      <w:vertAlign w:val="superscript"/>
                      <w:lang w:val="en-GB" w:eastAsia="en-US" w:bidi="ar-SA"/>
                    </w:rPr>
                    <w:t xml:space="preserve"> Note 1</w:t>
                  </w:r>
                </w:p>
              </w:tc>
            </w:tr>
            <w:tr w14:paraId="64D1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8" w:type="pct"/>
                  <w:tcBorders>
                    <w:top w:val="single" w:color="auto" w:sz="4" w:space="0"/>
                    <w:left w:val="single" w:color="auto" w:sz="4" w:space="0"/>
                    <w:bottom w:val="single" w:color="auto" w:sz="4" w:space="0"/>
                    <w:right w:val="single" w:color="auto" w:sz="4" w:space="0"/>
                  </w:tcBorders>
                </w:tcPr>
                <w:p w14:paraId="2A95C5C8">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0.64</w:t>
                  </w:r>
                </w:p>
              </w:tc>
              <w:tc>
                <w:tcPr>
                  <w:tcW w:w="1436" w:type="pct"/>
                  <w:tcBorders>
                    <w:top w:val="single" w:color="auto" w:sz="4" w:space="0"/>
                    <w:left w:val="single" w:color="auto" w:sz="4" w:space="0"/>
                    <w:bottom w:val="single" w:color="auto" w:sz="4" w:space="0"/>
                    <w:right w:val="single" w:color="auto" w:sz="4" w:space="0"/>
                  </w:tcBorders>
                </w:tcPr>
                <w:p w14:paraId="19811FF1">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5.12 (8)</w:t>
                  </w:r>
                </w:p>
              </w:tc>
              <w:tc>
                <w:tcPr>
                  <w:tcW w:w="1436" w:type="pct"/>
                  <w:tcBorders>
                    <w:top w:val="single" w:color="auto" w:sz="4" w:space="0"/>
                    <w:left w:val="single" w:color="auto" w:sz="4" w:space="0"/>
                    <w:bottom w:val="single" w:color="auto" w:sz="4" w:space="0"/>
                    <w:right w:val="single" w:color="auto" w:sz="4" w:space="0"/>
                  </w:tcBorders>
                </w:tcPr>
                <w:p w14:paraId="5191D257">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0.64 (1)</w:t>
                  </w:r>
                </w:p>
              </w:tc>
              <w:tc>
                <w:tcPr>
                  <w:tcW w:w="1437" w:type="pct"/>
                  <w:tcBorders>
                    <w:top w:val="single" w:color="auto" w:sz="4" w:space="0"/>
                    <w:left w:val="single" w:color="auto" w:sz="4" w:space="0"/>
                    <w:bottom w:val="single" w:color="auto" w:sz="4" w:space="0"/>
                    <w:right w:val="single" w:color="auto" w:sz="4" w:space="0"/>
                  </w:tcBorders>
                </w:tcPr>
                <w:p w14:paraId="239E4E2E">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1.92 (3)</w:t>
                  </w:r>
                </w:p>
              </w:tc>
            </w:tr>
            <w:tr w14:paraId="2939E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8" w:type="pct"/>
                  <w:tcBorders>
                    <w:top w:val="single" w:color="auto" w:sz="4" w:space="0"/>
                    <w:left w:val="single" w:color="auto" w:sz="4" w:space="0"/>
                    <w:bottom w:val="single" w:color="auto" w:sz="4" w:space="0"/>
                    <w:right w:val="single" w:color="auto" w:sz="4" w:space="0"/>
                  </w:tcBorders>
                </w:tcPr>
                <w:p w14:paraId="26F1FD29">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1.28</w:t>
                  </w:r>
                </w:p>
              </w:tc>
              <w:tc>
                <w:tcPr>
                  <w:tcW w:w="1436" w:type="pct"/>
                  <w:tcBorders>
                    <w:top w:val="single" w:color="auto" w:sz="4" w:space="0"/>
                    <w:left w:val="single" w:color="auto" w:sz="4" w:space="0"/>
                    <w:bottom w:val="single" w:color="auto" w:sz="4" w:space="0"/>
                    <w:right w:val="single" w:color="auto" w:sz="4" w:space="0"/>
                  </w:tcBorders>
                </w:tcPr>
                <w:p w14:paraId="139DBBEB">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8.96 (7)</w:t>
                  </w:r>
                </w:p>
              </w:tc>
              <w:tc>
                <w:tcPr>
                  <w:tcW w:w="1436" w:type="pct"/>
                  <w:tcBorders>
                    <w:top w:val="single" w:color="auto" w:sz="4" w:space="0"/>
                    <w:left w:val="single" w:color="auto" w:sz="4" w:space="0"/>
                    <w:bottom w:val="single" w:color="auto" w:sz="4" w:space="0"/>
                    <w:right w:val="single" w:color="auto" w:sz="4" w:space="0"/>
                  </w:tcBorders>
                </w:tcPr>
                <w:p w14:paraId="443952CB">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Malgun Gothic" w:cs="Times New Roman"/>
                      <w:sz w:val="18"/>
                      <w:szCs w:val="24"/>
                      <w:lang w:val="en-GB" w:eastAsia="zh-CN" w:bidi="ar-SA"/>
                    </w:rPr>
                    <w:t>1.28 (1)</w:t>
                  </w:r>
                </w:p>
              </w:tc>
              <w:tc>
                <w:tcPr>
                  <w:tcW w:w="1437" w:type="pct"/>
                  <w:tcBorders>
                    <w:top w:val="single" w:color="auto" w:sz="4" w:space="0"/>
                    <w:left w:val="single" w:color="auto" w:sz="4" w:space="0"/>
                    <w:bottom w:val="single" w:color="auto" w:sz="4" w:space="0"/>
                    <w:right w:val="single" w:color="auto" w:sz="4" w:space="0"/>
                  </w:tcBorders>
                </w:tcPr>
                <w:p w14:paraId="22F34C7E">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3.84 (3)</w:t>
                  </w:r>
                </w:p>
              </w:tc>
            </w:tr>
            <w:tr w14:paraId="61C2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8" w:type="pct"/>
                  <w:tcBorders>
                    <w:top w:val="single" w:color="auto" w:sz="4" w:space="0"/>
                    <w:left w:val="single" w:color="auto" w:sz="4" w:space="0"/>
                    <w:bottom w:val="single" w:color="auto" w:sz="4" w:space="0"/>
                    <w:right w:val="single" w:color="auto" w:sz="4" w:space="0"/>
                  </w:tcBorders>
                </w:tcPr>
                <w:p w14:paraId="5B551317">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2.56</w:t>
                  </w:r>
                </w:p>
              </w:tc>
              <w:tc>
                <w:tcPr>
                  <w:tcW w:w="1436" w:type="pct"/>
                  <w:tcBorders>
                    <w:top w:val="single" w:color="auto" w:sz="4" w:space="0"/>
                    <w:left w:val="single" w:color="auto" w:sz="4" w:space="0"/>
                    <w:bottom w:val="single" w:color="auto" w:sz="4" w:space="0"/>
                    <w:right w:val="single" w:color="auto" w:sz="4" w:space="0"/>
                  </w:tcBorders>
                </w:tcPr>
                <w:p w14:paraId="110F279C">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58.88 (23)</w:t>
                  </w:r>
                </w:p>
              </w:tc>
              <w:tc>
                <w:tcPr>
                  <w:tcW w:w="1436" w:type="pct"/>
                  <w:tcBorders>
                    <w:top w:val="single" w:color="auto" w:sz="4" w:space="0"/>
                    <w:left w:val="single" w:color="auto" w:sz="4" w:space="0"/>
                    <w:bottom w:val="single" w:color="auto" w:sz="4" w:space="0"/>
                    <w:right w:val="single" w:color="auto" w:sz="4" w:space="0"/>
                  </w:tcBorders>
                </w:tcPr>
                <w:p w14:paraId="68842F9C">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2.56 (1)</w:t>
                  </w:r>
                </w:p>
              </w:tc>
              <w:tc>
                <w:tcPr>
                  <w:tcW w:w="1437" w:type="pct"/>
                  <w:tcBorders>
                    <w:top w:val="single" w:color="auto" w:sz="4" w:space="0"/>
                    <w:left w:val="single" w:color="auto" w:sz="4" w:space="0"/>
                    <w:bottom w:val="single" w:color="auto" w:sz="4" w:space="0"/>
                    <w:right w:val="single" w:color="auto" w:sz="4" w:space="0"/>
                  </w:tcBorders>
                </w:tcPr>
                <w:p w14:paraId="69A11472">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en-US" w:bidi="ar-SA"/>
                    </w:rPr>
                    <w:t>7.68 (3)</w:t>
                  </w:r>
                </w:p>
              </w:tc>
            </w:tr>
            <w:tr w14:paraId="491E1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7FE98384">
                  <w:pPr>
                    <w:keepNext/>
                    <w:keepLines/>
                    <w:widowControl/>
                    <w:suppressLineNumbers w:val="0"/>
                    <w:overflowPunct w:val="0"/>
                    <w:autoSpaceDE w:val="0"/>
                    <w:autoSpaceDN w:val="0"/>
                    <w:adjustRightInd w:val="0"/>
                    <w:spacing w:before="0" w:beforeAutospacing="0" w:after="0" w:afterAutospacing="0"/>
                    <w:ind w:left="851" w:right="0" w:hanging="851"/>
                    <w:textAlignment w:val="baseline"/>
                    <w:rPr>
                      <w:rFonts w:hint="eastAsia" w:ascii="Arial" w:hAnsi="Arial" w:eastAsia="Malgun Gothic" w:cs="Times New Roman"/>
                      <w:sz w:val="18"/>
                      <w:lang w:val="en-GB" w:eastAsia="en-US" w:bidi="ar-SA"/>
                    </w:rPr>
                  </w:pPr>
                  <w:r>
                    <w:rPr>
                      <w:rFonts w:hint="eastAsia" w:ascii="Arial" w:hAnsi="Arial" w:eastAsia="Times New Roman" w:cs="Times New Roman"/>
                      <w:sz w:val="18"/>
                      <w:lang w:val="en-GB" w:eastAsia="zh-CN" w:bidi="ar-SA"/>
                    </w:rPr>
                    <w:t>NOTE 1:</w:t>
                  </w:r>
                  <w:r>
                    <w:rPr>
                      <w:rFonts w:hint="eastAsia" w:ascii="Arial" w:hAnsi="Arial" w:eastAsia="CG Times (WN)" w:cs="Times New Roman"/>
                      <w:sz w:val="18"/>
                      <w:lang w:val="en-GB" w:eastAsia="en-US" w:bidi="ar-SA"/>
                    </w:rPr>
                    <w:tab/>
                  </w:r>
                  <w:r>
                    <w:rPr>
                      <w:rFonts w:hint="eastAsia" w:ascii="Arial" w:hAnsi="Arial" w:eastAsia="Times New Roman" w:cs="Times New Roman"/>
                      <w:sz w:val="18"/>
                      <w:lang w:val="en-GB" w:eastAsia="en-US" w:bidi="ar-SA"/>
                    </w:rPr>
                    <w:t>W</w:t>
                  </w:r>
                  <w:r>
                    <w:rPr>
                      <w:rFonts w:hint="eastAsia" w:ascii="Arial" w:hAnsi="Arial" w:eastAsia="Times New Roman" w:cs="Times New Roman"/>
                      <w:sz w:val="18"/>
                      <w:lang w:val="en-GB" w:eastAsia="zh-CN" w:bidi="ar-SA"/>
                    </w:rPr>
                    <w:t>hen SMTC &lt; = 40 ms, M2 = M3 = M4 = 1; and when SMTC &gt; 40 ms, M2 = 2, M3 = M4 = 2.5</w:t>
                  </w:r>
                </w:p>
              </w:tc>
            </w:tr>
          </w:tbl>
          <w:p w14:paraId="4FCF38FC">
            <w:pPr>
              <w:keepNext w:val="0"/>
              <w:keepLines w:val="0"/>
              <w:widowControl/>
              <w:numPr>
                <w:ilvl w:val="0"/>
                <w:numId w:val="0"/>
              </w:numPr>
              <w:suppressLineNumbers w:val="0"/>
              <w:spacing w:before="120" w:beforeLines="50" w:beforeAutospacing="0" w:after="120" w:afterLines="50" w:afterAutospacing="0"/>
              <w:ind w:left="0" w:right="0"/>
              <w:rPr>
                <w:rFonts w:hint="default" w:ascii="Times New Roman" w:hAnsi="Times New Roman" w:eastAsia="等线" w:cs="Times New Roman"/>
                <w:sz w:val="21"/>
                <w:szCs w:val="21"/>
                <w:vertAlign w:val="baseline"/>
                <w:lang w:val="en-US" w:eastAsia="zh-CN"/>
              </w:rPr>
            </w:pPr>
          </w:p>
        </w:tc>
      </w:tr>
      <w:tr w14:paraId="7551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70B01EA">
            <w:pPr>
              <w:keepNext/>
              <w:keepLines/>
              <w:widowControl/>
              <w:suppressLineNumbers w:val="0"/>
              <w:pBdr>
                <w:top w:val="none" w:color="auto" w:sz="0" w:space="0"/>
              </w:pBdr>
              <w:overflowPunct w:val="0"/>
              <w:autoSpaceDE w:val="0"/>
              <w:autoSpaceDN w:val="0"/>
              <w:adjustRightInd w:val="0"/>
              <w:spacing w:before="120" w:beforeAutospacing="0" w:after="180" w:afterAutospacing="0"/>
              <w:ind w:left="1418" w:right="0" w:hanging="1418"/>
              <w:textAlignment w:val="baseline"/>
              <w:outlineLvl w:val="3"/>
              <w:rPr>
                <w:rFonts w:hint="eastAsia" w:ascii="Arial" w:hAnsi="Arial" w:eastAsia="Times New Roman" w:cs="Times New Roman"/>
                <w:sz w:val="24"/>
                <w:lang w:val="en-GB" w:eastAsia="zh-CN" w:bidi="ar-SA"/>
              </w:rPr>
            </w:pPr>
            <w:r>
              <w:rPr>
                <w:rFonts w:hint="eastAsia" w:ascii="Arial" w:hAnsi="Arial" w:eastAsia="Times New Roman" w:cs="Times New Roman"/>
                <w:sz w:val="24"/>
                <w:lang w:val="en-GB" w:eastAsia="zh-CN" w:bidi="ar-SA"/>
              </w:rPr>
              <w:t>4.2C.2.4</w:t>
            </w:r>
            <w:r>
              <w:rPr>
                <w:rFonts w:hint="eastAsia" w:ascii="Arial" w:hAnsi="Arial" w:eastAsia="Times New Roman" w:cs="Times New Roman"/>
                <w:sz w:val="24"/>
                <w:lang w:val="en-GB" w:eastAsia="zh-CN" w:bidi="ar-SA"/>
              </w:rPr>
              <w:tab/>
            </w:r>
            <w:r>
              <w:rPr>
                <w:rFonts w:hint="eastAsia" w:ascii="Arial" w:hAnsi="Arial" w:eastAsia="Times New Roman" w:cs="Times New Roman"/>
                <w:sz w:val="24"/>
                <w:lang w:val="en-GB" w:eastAsia="zh-CN" w:bidi="ar-SA"/>
              </w:rPr>
              <w:t>Measurements of inter-frequency NR cells</w:t>
            </w:r>
          </w:p>
          <w:p w14:paraId="2C22F4BF">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Times New Roman" w:cs="Times New Roman"/>
                <w:kern w:val="0"/>
                <w:sz w:val="20"/>
                <w:szCs w:val="20"/>
                <w:lang w:val="en-GB" w:eastAsia="en-US"/>
              </w:rPr>
            </w:pPr>
            <w:r>
              <w:rPr>
                <w:rFonts w:hint="eastAsia" w:ascii="Times New Roman" w:hAnsi="Times New Roman" w:eastAsia="Times New Roman" w:cs="Times New Roman"/>
                <w:kern w:val="0"/>
                <w:sz w:val="20"/>
                <w:szCs w:val="20"/>
                <w:lang w:val="en-GB" w:eastAsia="en-US"/>
              </w:rPr>
              <w:t>The UE is not expected to meet the measurement requirements for an inter-frequency carrier under DRX cycle=320 ms defined in table 4.2C.2.4-1 under the following conditions:</w:t>
            </w:r>
          </w:p>
          <w:p w14:paraId="1D69005F">
            <w:pPr>
              <w:keepNext w:val="0"/>
              <w:keepLines w:val="0"/>
              <w:widowControl/>
              <w:suppressLineNumbers w:val="0"/>
              <w:overflowPunct w:val="0"/>
              <w:autoSpaceDE w:val="0"/>
              <w:autoSpaceDN w:val="0"/>
              <w:adjustRightInd w:val="0"/>
              <w:spacing w:before="0" w:beforeAutospacing="0" w:after="180" w:afterAutospacing="0"/>
              <w:ind w:left="568" w:right="0" w:hanging="284"/>
              <w:textAlignment w:val="baseline"/>
              <w:rPr>
                <w:rFonts w:hint="eastAsia" w:ascii="Times New Roman" w:hAnsi="Times New Roman" w:eastAsia="Times New Roman" w:cs="Times New Roman"/>
                <w:kern w:val="0"/>
                <w:sz w:val="20"/>
                <w:szCs w:val="20"/>
                <w:lang w:val="en-GB" w:eastAsia="en-US"/>
              </w:rPr>
            </w:pPr>
            <w:r>
              <w:rPr>
                <w:rFonts w:hint="eastAsia" w:ascii="Times New Roman" w:hAnsi="Times New Roman" w:eastAsia="Times New Roman" w:cs="Times New Roman"/>
                <w:kern w:val="0"/>
                <w:sz w:val="20"/>
                <w:szCs w:val="20"/>
                <w:lang w:val="en-GB" w:eastAsia="en-US"/>
              </w:rPr>
              <w:t>-</w:t>
            </w:r>
            <w:r>
              <w:rPr>
                <w:rFonts w:hint="eastAsia" w:ascii="Times New Roman" w:hAnsi="Times New Roman" w:eastAsia="Times New Roman" w:cs="Times New Roman"/>
                <w:kern w:val="0"/>
                <w:sz w:val="20"/>
                <w:szCs w:val="20"/>
                <w:lang w:val="en-GB" w:eastAsia="en-US"/>
              </w:rPr>
              <w:tab/>
            </w:r>
            <w:r>
              <w:rPr>
                <w:rFonts w:hint="eastAsia" w:ascii="Times New Roman" w:hAnsi="Times New Roman" w:eastAsia="Times New Roman" w:cs="Times New Roman"/>
                <w:kern w:val="0"/>
                <w:sz w:val="20"/>
                <w:szCs w:val="20"/>
                <w:lang w:val="en-GB" w:eastAsia="en-US"/>
              </w:rPr>
              <w:t>T</w:t>
            </w:r>
            <w:r>
              <w:rPr>
                <w:rFonts w:hint="eastAsia" w:ascii="Times New Roman" w:hAnsi="Times New Roman" w:eastAsia="Times New Roman" w:cs="Times New Roman"/>
                <w:kern w:val="0"/>
                <w:sz w:val="20"/>
                <w:szCs w:val="20"/>
                <w:vertAlign w:val="subscript"/>
                <w:lang w:val="en-GB" w:eastAsia="en-US"/>
              </w:rPr>
              <w:t>SMTC_intra</w:t>
            </w:r>
            <w:r>
              <w:rPr>
                <w:rFonts w:hint="eastAsia" w:ascii="Times New Roman" w:hAnsi="Times New Roman" w:eastAsia="Times New Roman" w:cs="Times New Roman"/>
                <w:kern w:val="0"/>
                <w:sz w:val="20"/>
                <w:szCs w:val="20"/>
                <w:lang w:val="en-GB" w:eastAsia="en-US"/>
              </w:rPr>
              <w:t xml:space="preserve"> = T</w:t>
            </w:r>
            <w:r>
              <w:rPr>
                <w:rFonts w:hint="eastAsia" w:ascii="Times New Roman" w:hAnsi="Times New Roman" w:eastAsia="Times New Roman" w:cs="Times New Roman"/>
                <w:kern w:val="0"/>
                <w:sz w:val="20"/>
                <w:szCs w:val="20"/>
                <w:vertAlign w:val="subscript"/>
                <w:lang w:val="en-GB" w:eastAsia="en-US"/>
              </w:rPr>
              <w:t>SMTC_inter</w:t>
            </w:r>
            <w:r>
              <w:rPr>
                <w:rFonts w:hint="eastAsia" w:ascii="Times New Roman" w:hAnsi="Times New Roman" w:eastAsia="Times New Roman" w:cs="Times New Roman"/>
                <w:kern w:val="0"/>
                <w:sz w:val="20"/>
                <w:szCs w:val="20"/>
                <w:lang w:val="en-GB" w:eastAsia="en-US"/>
              </w:rPr>
              <w:t xml:space="preserve"> = 160 ms; where </w:t>
            </w:r>
          </w:p>
          <w:p w14:paraId="575BDD33">
            <w:pPr>
              <w:keepNext w:val="0"/>
              <w:keepLines w:val="0"/>
              <w:widowControl/>
              <w:suppressLineNumbers w:val="0"/>
              <w:overflowPunct w:val="0"/>
              <w:autoSpaceDE w:val="0"/>
              <w:autoSpaceDN w:val="0"/>
              <w:adjustRightInd w:val="0"/>
              <w:spacing w:before="0" w:beforeAutospacing="0" w:after="180" w:afterAutospacing="0"/>
              <w:ind w:left="1135" w:right="0" w:hanging="284"/>
              <w:textAlignment w:val="baseline"/>
              <w:rPr>
                <w:rFonts w:hint="eastAsia"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en-US" w:bidi="ar-SA"/>
              </w:rPr>
              <w:t>-</w:t>
            </w:r>
            <w:r>
              <w:rPr>
                <w:rFonts w:hint="eastAsia" w:ascii="Times New Roman" w:hAnsi="Times New Roman" w:eastAsia="Times New Roman" w:cs="Times New Roman"/>
                <w:lang w:val="en-GB" w:eastAsia="en-US" w:bidi="ar-SA"/>
              </w:rPr>
              <w:tab/>
            </w:r>
            <w:r>
              <w:rPr>
                <w:rFonts w:hint="eastAsia" w:ascii="Times New Roman" w:hAnsi="Times New Roman" w:eastAsia="Times New Roman" w:cs="Times New Roman"/>
                <w:highlight w:val="yellow"/>
                <w:lang w:val="en-GB" w:eastAsia="en-US" w:bidi="ar-SA"/>
              </w:rPr>
              <w:t>T</w:t>
            </w:r>
            <w:r>
              <w:rPr>
                <w:rFonts w:hint="eastAsia" w:ascii="Times New Roman" w:hAnsi="Times New Roman" w:eastAsia="Times New Roman" w:cs="Times New Roman"/>
                <w:highlight w:val="yellow"/>
                <w:vertAlign w:val="subscript"/>
                <w:lang w:val="en-GB" w:eastAsia="en-US" w:bidi="ar-SA"/>
              </w:rPr>
              <w:t>SMTC_intra</w:t>
            </w:r>
            <w:r>
              <w:rPr>
                <w:rFonts w:hint="eastAsia" w:ascii="Times New Roman" w:hAnsi="Times New Roman" w:eastAsia="Times New Roman" w:cs="Times New Roman"/>
                <w:highlight w:val="yellow"/>
                <w:lang w:val="en-GB" w:eastAsia="en-US" w:bidi="ar-SA"/>
              </w:rPr>
              <w:t xml:space="preserve"> is the periodicity of the SMTC configured for the intra-frequency carrier if no identified intra-frequency cell is in the PCI list of </w:t>
            </w:r>
            <w:r>
              <w:rPr>
                <w:rFonts w:hint="eastAsia" w:ascii="Times New Roman" w:hAnsi="Times New Roman" w:eastAsia="Times New Roman" w:cs="Times New Roman"/>
                <w:i/>
                <w:highlight w:val="yellow"/>
                <w:lang w:val="en-GB" w:eastAsia="en-US" w:bidi="ar-SA"/>
              </w:rPr>
              <w:t>smtc2-LP</w:t>
            </w:r>
            <w:r>
              <w:rPr>
                <w:rFonts w:hint="eastAsia" w:ascii="Times New Roman" w:hAnsi="Times New Roman" w:eastAsia="Times New Roman" w:cs="Times New Roman"/>
                <w:highlight w:val="yellow"/>
                <w:lang w:val="en-GB" w:eastAsia="en-US" w:bidi="ar-SA"/>
              </w:rPr>
              <w:t xml:space="preserve"> on this intra-frequency carrier; T</w:t>
            </w:r>
            <w:r>
              <w:rPr>
                <w:rFonts w:hint="eastAsia" w:ascii="Times New Roman" w:hAnsi="Times New Roman" w:eastAsia="Times New Roman" w:cs="Times New Roman"/>
                <w:highlight w:val="yellow"/>
                <w:vertAlign w:val="subscript"/>
                <w:lang w:val="en-GB" w:eastAsia="en-US" w:bidi="ar-SA"/>
              </w:rPr>
              <w:t>SMTC_intra</w:t>
            </w:r>
            <w:r>
              <w:rPr>
                <w:rFonts w:hint="eastAsia" w:ascii="Times New Roman" w:hAnsi="Times New Roman" w:eastAsia="Times New Roman" w:cs="Times New Roman"/>
                <w:highlight w:val="yellow"/>
                <w:lang w:val="en-GB" w:eastAsia="en-US" w:bidi="ar-SA"/>
              </w:rPr>
              <w:t xml:space="preserve"> is the periodicity of the </w:t>
            </w:r>
            <w:r>
              <w:rPr>
                <w:rFonts w:hint="eastAsia" w:ascii="Times New Roman" w:hAnsi="Times New Roman" w:eastAsia="Times New Roman" w:cs="Times New Roman"/>
                <w:i/>
                <w:highlight w:val="yellow"/>
                <w:lang w:val="en-GB" w:eastAsia="en-US" w:bidi="ar-SA"/>
              </w:rPr>
              <w:t>smtc2-LP</w:t>
            </w:r>
            <w:r>
              <w:rPr>
                <w:rFonts w:hint="eastAsia" w:ascii="Times New Roman" w:hAnsi="Times New Roman" w:eastAsia="Times New Roman" w:cs="Times New Roman"/>
                <w:highlight w:val="yellow"/>
                <w:lang w:val="en-GB" w:eastAsia="en-US" w:bidi="ar-SA"/>
              </w:rPr>
              <w:t xml:space="preserve"> configured for the intra-frequency carrier if at least one identified intra-frequency cell is in the PCI list of </w:t>
            </w:r>
            <w:r>
              <w:rPr>
                <w:rFonts w:hint="eastAsia" w:ascii="Times New Roman" w:hAnsi="Times New Roman" w:eastAsia="Times New Roman" w:cs="Times New Roman"/>
                <w:i/>
                <w:highlight w:val="yellow"/>
                <w:lang w:val="en-GB" w:eastAsia="en-US" w:bidi="ar-SA"/>
              </w:rPr>
              <w:t>smtc2-LP</w:t>
            </w:r>
            <w:r>
              <w:rPr>
                <w:rFonts w:hint="eastAsia" w:ascii="Times New Roman" w:hAnsi="Times New Roman" w:eastAsia="Times New Roman" w:cs="Times New Roman"/>
                <w:highlight w:val="yellow"/>
                <w:lang w:val="en-GB" w:eastAsia="en-US" w:bidi="ar-SA"/>
              </w:rPr>
              <w:t xml:space="preserve"> on this intra-frequency carrier.</w:t>
            </w:r>
            <w:r>
              <w:rPr>
                <w:rFonts w:hint="eastAsia" w:ascii="Times New Roman" w:hAnsi="Times New Roman" w:eastAsia="Times New Roman" w:cs="Times New Roman"/>
                <w:lang w:val="en-GB" w:eastAsia="en-US" w:bidi="ar-SA"/>
              </w:rPr>
              <w:t xml:space="preserve"> </w:t>
            </w:r>
            <w:r>
              <w:rPr>
                <w:rFonts w:hint="eastAsia" w:ascii="Times New Roman" w:hAnsi="Times New Roman" w:eastAsia="Times New Roman" w:cs="Times New Roman"/>
                <w:highlight w:val="yellow"/>
                <w:lang w:val="en-GB" w:eastAsia="en-US" w:bidi="ar-SA"/>
              </w:rPr>
              <w:t>During PSS/SSS detection, the periodicity of the SMTC configured for the intra-frequency carrier is assumed for T</w:t>
            </w:r>
            <w:r>
              <w:rPr>
                <w:rFonts w:hint="eastAsia" w:ascii="Times New Roman" w:hAnsi="Times New Roman" w:eastAsia="Times New Roman" w:cs="Times New Roman"/>
                <w:highlight w:val="yellow"/>
                <w:vertAlign w:val="subscript"/>
                <w:lang w:val="en-GB" w:eastAsia="en-US" w:bidi="ar-SA"/>
              </w:rPr>
              <w:t>SMTC_intra</w:t>
            </w:r>
            <w:r>
              <w:rPr>
                <w:rFonts w:hint="eastAsia" w:ascii="Times New Roman" w:hAnsi="Times New Roman" w:eastAsia="Times New Roman" w:cs="Times New Roman"/>
                <w:highlight w:val="yellow"/>
                <w:lang w:val="en-GB" w:eastAsia="en-US" w:bidi="ar-SA"/>
              </w:rPr>
              <w:t>.</w:t>
            </w:r>
            <w:r>
              <w:rPr>
                <w:rFonts w:hint="eastAsia" w:ascii="Times New Roman" w:hAnsi="Times New Roman" w:eastAsia="Times New Roman" w:cs="Times New Roman"/>
                <w:lang w:val="en-GB" w:eastAsia="en-US" w:bidi="ar-SA"/>
              </w:rPr>
              <w:t xml:space="preserve"> If the actual SSB transmission periodicity is greater than the SMTC configured for the intra-frequency carrier, longer T</w:t>
            </w:r>
            <w:r>
              <w:rPr>
                <w:rFonts w:hint="eastAsia" w:ascii="Times New Roman" w:hAnsi="Times New Roman" w:eastAsia="Times New Roman" w:cs="Times New Roman"/>
                <w:vertAlign w:val="subscript"/>
                <w:lang w:val="en-GB" w:eastAsia="en-US" w:bidi="ar-SA"/>
              </w:rPr>
              <w:t>detect, NR_intra</w:t>
            </w:r>
            <w:r>
              <w:rPr>
                <w:rFonts w:hint="eastAsia" w:ascii="Times New Roman" w:hAnsi="Times New Roman" w:eastAsia="Times New Roman" w:cs="Times New Roman"/>
                <w:lang w:val="en-GB" w:eastAsia="en-US" w:bidi="ar-SA"/>
              </w:rPr>
              <w:t xml:space="preserve"> is expected.</w:t>
            </w:r>
          </w:p>
          <w:p w14:paraId="53A5DA7D">
            <w:pPr>
              <w:keepNext w:val="0"/>
              <w:keepLines w:val="0"/>
              <w:widowControl/>
              <w:suppressLineNumbers w:val="0"/>
              <w:overflowPunct w:val="0"/>
              <w:autoSpaceDE w:val="0"/>
              <w:autoSpaceDN w:val="0"/>
              <w:adjustRightInd w:val="0"/>
              <w:spacing w:before="0" w:beforeAutospacing="0" w:after="180" w:afterAutospacing="0"/>
              <w:ind w:left="1135" w:right="0" w:hanging="284"/>
              <w:textAlignment w:val="baseline"/>
              <w:rPr>
                <w:rFonts w:hint="eastAsia"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en-US" w:bidi="ar-SA"/>
              </w:rPr>
              <w:t>-</w:t>
            </w:r>
            <w:r>
              <w:rPr>
                <w:rFonts w:hint="eastAsia" w:ascii="Times New Roman" w:hAnsi="Times New Roman" w:eastAsia="Times New Roman" w:cs="Times New Roman"/>
                <w:lang w:val="en-GB" w:eastAsia="en-US" w:bidi="ar-SA"/>
              </w:rPr>
              <w:tab/>
            </w:r>
            <w:r>
              <w:rPr>
                <w:rFonts w:hint="eastAsia" w:ascii="Times New Roman" w:hAnsi="Times New Roman" w:eastAsia="Times New Roman" w:cs="Times New Roman"/>
                <w:highlight w:val="yellow"/>
                <w:lang w:val="en-GB" w:eastAsia="en-US" w:bidi="ar-SA"/>
              </w:rPr>
              <w:t>T</w:t>
            </w:r>
            <w:r>
              <w:rPr>
                <w:rFonts w:hint="eastAsia" w:ascii="Times New Roman" w:hAnsi="Times New Roman" w:eastAsia="Times New Roman" w:cs="Times New Roman"/>
                <w:highlight w:val="yellow"/>
                <w:vertAlign w:val="subscript"/>
                <w:lang w:val="en-GB" w:eastAsia="en-US" w:bidi="ar-SA"/>
              </w:rPr>
              <w:t>SMTC_inter</w:t>
            </w:r>
            <w:r>
              <w:rPr>
                <w:rFonts w:hint="eastAsia" w:ascii="Times New Roman" w:hAnsi="Times New Roman" w:eastAsia="Times New Roman" w:cs="Times New Roman"/>
                <w:highlight w:val="yellow"/>
                <w:lang w:val="en-GB" w:eastAsia="en-US" w:bidi="ar-SA"/>
              </w:rPr>
              <w:t xml:space="preserve"> is the actual SMTC periodicity used by the inter-frequency cell being identified.</w:t>
            </w:r>
            <w:r>
              <w:rPr>
                <w:rFonts w:hint="eastAsia" w:ascii="Times New Roman" w:hAnsi="Times New Roman" w:eastAsia="Times New Roman" w:cs="Times New Roman"/>
                <w:lang w:val="en-GB" w:eastAsia="en-US" w:bidi="ar-SA"/>
              </w:rPr>
              <w:t xml:space="preserve"> </w:t>
            </w:r>
            <w:r>
              <w:rPr>
                <w:rFonts w:hint="eastAsia" w:ascii="Times New Roman" w:hAnsi="Times New Roman" w:eastAsia="Times New Roman" w:cs="Times New Roman"/>
                <w:highlight w:val="yellow"/>
                <w:lang w:val="en-GB" w:eastAsia="en-US" w:bidi="ar-SA"/>
              </w:rPr>
              <w:t>During PSS/SSS detection, the periodicity of the SMTC configured for the inter-frequency carrier is assumed for T</w:t>
            </w:r>
            <w:r>
              <w:rPr>
                <w:rFonts w:hint="eastAsia" w:ascii="Times New Roman" w:hAnsi="Times New Roman" w:eastAsia="Times New Roman" w:cs="Times New Roman"/>
                <w:highlight w:val="yellow"/>
                <w:vertAlign w:val="subscript"/>
                <w:lang w:val="en-GB" w:eastAsia="en-US" w:bidi="ar-SA"/>
              </w:rPr>
              <w:t>SMTC_inter</w:t>
            </w:r>
            <w:r>
              <w:rPr>
                <w:rFonts w:hint="eastAsia" w:ascii="Times New Roman" w:hAnsi="Times New Roman" w:eastAsia="Times New Roman" w:cs="Times New Roman"/>
                <w:highlight w:val="yellow"/>
                <w:lang w:val="en-GB" w:eastAsia="en-US" w:bidi="ar-SA"/>
              </w:rPr>
              <w:t>.</w:t>
            </w:r>
            <w:r>
              <w:rPr>
                <w:rFonts w:hint="eastAsia" w:ascii="Times New Roman" w:hAnsi="Times New Roman" w:eastAsia="Times New Roman" w:cs="Times New Roman"/>
                <w:lang w:val="en-GB" w:eastAsia="en-US" w:bidi="ar-SA"/>
              </w:rPr>
              <w:t xml:space="preserve"> If the actual SSB transmission periodicity is greater than the SMTC configured for the inter-frequency carrier, longer T</w:t>
            </w:r>
            <w:r>
              <w:rPr>
                <w:rFonts w:hint="eastAsia" w:ascii="Times New Roman" w:hAnsi="Times New Roman" w:eastAsia="Times New Roman" w:cs="Times New Roman"/>
                <w:vertAlign w:val="subscript"/>
                <w:lang w:val="en-GB" w:eastAsia="en-US" w:bidi="ar-SA"/>
              </w:rPr>
              <w:t>detect, NR_inter</w:t>
            </w:r>
            <w:r>
              <w:rPr>
                <w:rFonts w:hint="eastAsia" w:ascii="Times New Roman" w:hAnsi="Times New Roman" w:eastAsia="Times New Roman" w:cs="Times New Roman"/>
                <w:lang w:val="en-GB" w:eastAsia="en-US" w:bidi="ar-SA"/>
              </w:rPr>
              <w:t xml:space="preserve"> is expected.</w:t>
            </w:r>
          </w:p>
          <w:p w14:paraId="4DCA38B4">
            <w:pPr>
              <w:keepNext w:val="0"/>
              <w:keepLines w:val="0"/>
              <w:widowControl/>
              <w:suppressLineNumbers w:val="0"/>
              <w:overflowPunct w:val="0"/>
              <w:autoSpaceDE w:val="0"/>
              <w:autoSpaceDN w:val="0"/>
              <w:adjustRightInd w:val="0"/>
              <w:spacing w:before="0" w:beforeAutospacing="0" w:after="180" w:afterAutospacing="0"/>
              <w:ind w:left="1135" w:right="0" w:hanging="284"/>
              <w:textAlignment w:val="baseline"/>
              <w:rPr>
                <w:rFonts w:hint="eastAsia"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en-US" w:bidi="ar-SA"/>
              </w:rPr>
              <w:t>-</w:t>
            </w:r>
            <w:r>
              <w:rPr>
                <w:rFonts w:hint="eastAsia" w:ascii="Times New Roman" w:hAnsi="Times New Roman" w:eastAsia="Times New Roman" w:cs="Times New Roman"/>
                <w:lang w:val="en-GB" w:eastAsia="en-US" w:bidi="ar-SA"/>
              </w:rPr>
              <w:tab/>
            </w:r>
            <w:r>
              <w:rPr>
                <w:rFonts w:hint="eastAsia" w:ascii="Times New Roman" w:hAnsi="Times New Roman" w:eastAsia="Times New Roman" w:cs="Times New Roman"/>
                <w:lang w:val="en-GB" w:eastAsia="en-US" w:bidi="ar-SA"/>
              </w:rPr>
              <w:t>SMTC occasions configured for the inter-frequency carrier occur up to 1 ms before the start or up to 1 ms after the end of the SMTC occasions configured for the intra-frequency carrier, and</w:t>
            </w:r>
          </w:p>
          <w:p w14:paraId="5D41E89A">
            <w:pPr>
              <w:keepNext w:val="0"/>
              <w:keepLines w:val="0"/>
              <w:widowControl/>
              <w:numPr>
                <w:ilvl w:val="0"/>
                <w:numId w:val="0"/>
              </w:numPr>
              <w:suppressLineNumbers w:val="0"/>
              <w:spacing w:before="120" w:beforeLines="50" w:beforeAutospacing="0" w:after="120" w:afterLines="50" w:afterAutospacing="0"/>
              <w:ind w:left="0" w:right="0"/>
              <w:rPr>
                <w:rFonts w:hint="default" w:ascii="Times New Roman" w:hAnsi="Times New Roman" w:eastAsia="等线" w:cs="Times New Roman"/>
                <w:sz w:val="21"/>
                <w:szCs w:val="21"/>
                <w:vertAlign w:val="baseline"/>
                <w:lang w:val="en-US" w:eastAsia="zh-CN"/>
              </w:rPr>
            </w:pPr>
            <w:r>
              <w:rPr>
                <w:rFonts w:hint="eastAsia" w:ascii="Times New Roman" w:hAnsi="Times New Roman" w:eastAsia="Times New Roman" w:cs="Times New Roman"/>
                <w:lang w:val="en-GB" w:eastAsia="en-US" w:bidi="ar-SA"/>
              </w:rPr>
              <w:t>-</w:t>
            </w:r>
            <w:r>
              <w:rPr>
                <w:rFonts w:hint="eastAsia" w:ascii="Times New Roman" w:hAnsi="Times New Roman" w:eastAsia="Times New Roman" w:cs="Times New Roman"/>
                <w:lang w:val="en-GB" w:eastAsia="en-US" w:bidi="ar-SA"/>
              </w:rPr>
              <w:tab/>
            </w:r>
            <w:r>
              <w:rPr>
                <w:rFonts w:hint="eastAsia" w:ascii="Times New Roman" w:hAnsi="Times New Roman" w:eastAsia="Times New Roman" w:cs="Times New Roman"/>
                <w:lang w:val="en-GB" w:eastAsia="en-US" w:bidi="ar-SA"/>
              </w:rPr>
              <w:t>SMTC occasions configured for the intra-frequency carrier and for the inter-frequency carrier occur up to 1 ms before the start or up to 1 ms after the end of the paging occasion in TS 3</w:t>
            </w:r>
            <w:r>
              <w:rPr>
                <w:rFonts w:hint="eastAsia"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en-US" w:bidi="ar-SA"/>
              </w:rPr>
              <w:t>.304 [1].</w:t>
            </w:r>
          </w:p>
        </w:tc>
      </w:tr>
      <w:tr w14:paraId="3C61F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B301700">
            <w:pPr>
              <w:keepNext/>
              <w:keepLines/>
              <w:widowControl/>
              <w:suppressLineNumbers w:val="0"/>
              <w:pBdr>
                <w:top w:val="none" w:color="auto" w:sz="0" w:space="0"/>
              </w:pBdr>
              <w:overflowPunct w:val="0"/>
              <w:autoSpaceDE w:val="0"/>
              <w:autoSpaceDN w:val="0"/>
              <w:adjustRightInd w:val="0"/>
              <w:spacing w:before="120" w:beforeAutospacing="0" w:after="180" w:afterAutospacing="0"/>
              <w:ind w:left="1418" w:right="0" w:hanging="1418"/>
              <w:textAlignment w:val="baseline"/>
              <w:outlineLvl w:val="3"/>
              <w:rPr>
                <w:rFonts w:hint="eastAsia" w:ascii="Arial" w:hAnsi="Arial" w:eastAsia="Times New Roman" w:cs="Times New Roman"/>
                <w:sz w:val="24"/>
                <w:lang w:val="en-GB" w:eastAsia="zh-CN" w:bidi="ar-SA"/>
              </w:rPr>
            </w:pPr>
            <w:r>
              <w:rPr>
                <w:rFonts w:hint="eastAsia" w:ascii="Arial" w:hAnsi="Arial" w:eastAsia="Times New Roman" w:cs="Times New Roman"/>
                <w:sz w:val="24"/>
                <w:lang w:val="en-GB" w:eastAsia="zh-CN" w:bidi="ar-SA"/>
              </w:rPr>
              <w:t>4.2C.2.5</w:t>
            </w:r>
            <w:r>
              <w:rPr>
                <w:rFonts w:hint="eastAsia" w:ascii="Arial" w:hAnsi="Arial" w:eastAsia="Times New Roman" w:cs="Times New Roman"/>
                <w:sz w:val="24"/>
                <w:lang w:val="en-GB" w:eastAsia="zh-CN" w:bidi="ar-SA"/>
              </w:rPr>
              <w:tab/>
            </w:r>
            <w:r>
              <w:rPr>
                <w:rFonts w:hint="eastAsia" w:ascii="Arial" w:hAnsi="Arial" w:eastAsia="Times New Roman" w:cs="Times New Roman"/>
                <w:sz w:val="24"/>
                <w:lang w:val="en-GB" w:eastAsia="zh-CN" w:bidi="ar-SA"/>
              </w:rPr>
              <w:t>Maximum interruption in paging reception</w:t>
            </w:r>
          </w:p>
          <w:p w14:paraId="2E309372">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Times New Roman" w:cs="Times New Roman"/>
                <w:kern w:val="0"/>
                <w:sz w:val="20"/>
                <w:szCs w:val="20"/>
                <w:lang w:val="en-GB" w:eastAsia="ko-KR"/>
              </w:rPr>
            </w:pPr>
            <w:r>
              <w:rPr>
                <w:rFonts w:hint="eastAsia" w:ascii="Times New Roman" w:hAnsi="Times New Roman" w:eastAsia="Times New Roman" w:cs="Times New Roman"/>
                <w:kern w:val="0"/>
                <w:sz w:val="20"/>
                <w:szCs w:val="20"/>
                <w:lang w:val="en-GB"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rFonts w:hint="eastAsia" w:ascii="Times New Roman" w:hAnsi="Times New Roman" w:eastAsia="Times New Roman" w:cs="Times New Roman"/>
                <w:kern w:val="0"/>
                <w:sz w:val="20"/>
                <w:szCs w:val="20"/>
                <w:vertAlign w:val="subscript"/>
                <w:lang w:val="en-GB" w:eastAsia="ko-KR"/>
              </w:rPr>
              <w:t xml:space="preserve">SI-NR </w:t>
            </w:r>
            <w:r>
              <w:rPr>
                <w:rFonts w:hint="eastAsia" w:ascii="Times New Roman" w:hAnsi="Times New Roman" w:eastAsia="Times New Roman" w:cs="Times New Roman"/>
                <w:kern w:val="0"/>
                <w:sz w:val="20"/>
                <w:szCs w:val="20"/>
                <w:lang w:val="en-GB" w:eastAsia="ko-KR"/>
              </w:rPr>
              <w:t>+ K*</w:t>
            </w:r>
            <w:r>
              <w:rPr>
                <w:rFonts w:hint="eastAsia" w:ascii="Times New Roman" w:hAnsi="Times New Roman" w:eastAsia="Times New Roman" w:cs="Times New Roman"/>
                <w:kern w:val="0"/>
                <w:sz w:val="20"/>
                <w:szCs w:val="20"/>
                <w:lang w:val="en-GB" w:eastAsia="en-US"/>
              </w:rPr>
              <w:t>T</w:t>
            </w:r>
            <w:r>
              <w:rPr>
                <w:rFonts w:hint="eastAsia" w:ascii="Times New Roman" w:hAnsi="Times New Roman" w:eastAsia="Times New Roman" w:cs="Times New Roman"/>
                <w:kern w:val="0"/>
                <w:sz w:val="20"/>
                <w:szCs w:val="20"/>
                <w:vertAlign w:val="subscript"/>
                <w:lang w:val="en-GB" w:eastAsia="en-US"/>
              </w:rPr>
              <w:t xml:space="preserve">target_cell_SMTC_period </w:t>
            </w:r>
            <w:r>
              <w:rPr>
                <w:rFonts w:hint="eastAsia" w:ascii="Times New Roman" w:hAnsi="Times New Roman" w:eastAsia="Times New Roman" w:cs="Times New Roman"/>
                <w:kern w:val="0"/>
                <w:sz w:val="20"/>
                <w:szCs w:val="20"/>
                <w:lang w:val="en-GB" w:eastAsia="ko-KR"/>
              </w:rPr>
              <w:t xml:space="preserve">ms. </w:t>
            </w:r>
          </w:p>
          <w:p w14:paraId="16359B01">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Times New Roman" w:cs="Times New Roman"/>
                <w:kern w:val="0"/>
                <w:sz w:val="20"/>
                <w:szCs w:val="20"/>
                <w:lang w:val="en-GB" w:eastAsia="ko-KR"/>
              </w:rPr>
            </w:pPr>
            <w:r>
              <w:rPr>
                <w:rFonts w:hint="eastAsia" w:ascii="Times New Roman" w:hAnsi="Times New Roman" w:eastAsia="Times New Roman" w:cs="Times New Roman"/>
                <w:kern w:val="0"/>
                <w:sz w:val="20"/>
                <w:szCs w:val="20"/>
                <w:lang w:val="en-GB" w:eastAsia="ko-KR"/>
              </w:rPr>
              <w:t>At inter-frequency cell re-selection</w:t>
            </w:r>
            <w:r>
              <w:rPr>
                <w:rFonts w:hint="eastAsia" w:ascii="Times New Roman" w:hAnsi="Times New Roman" w:eastAsia="Times New Roman" w:cs="Times New Roman"/>
                <w:kern w:val="0"/>
                <w:sz w:val="20"/>
                <w:szCs w:val="20"/>
                <w:lang w:val="en-US" w:eastAsia="zh-CN"/>
              </w:rPr>
              <w:t xml:space="preserve"> with TN carrier</w:t>
            </w:r>
            <w:r>
              <w:rPr>
                <w:rFonts w:hint="eastAsia" w:ascii="Times New Roman" w:hAnsi="Times New Roman" w:eastAsia="Times New Roman" w:cs="Times New Roman"/>
                <w:kern w:val="0"/>
                <w:sz w:val="20"/>
                <w:szCs w:val="20"/>
                <w:lang w:val="en-GB" w:eastAsia="ko-KR"/>
              </w:rPr>
              <w:t>,</w:t>
            </w:r>
            <w:r>
              <w:rPr>
                <w:rFonts w:hint="eastAsia" w:ascii="Times New Roman" w:hAnsi="Times New Roman" w:eastAsia="Times New Roman" w:cs="Times New Roman"/>
                <w:kern w:val="0"/>
                <w:sz w:val="20"/>
                <w:szCs w:val="20"/>
                <w:lang w:val="en-US" w:eastAsia="zh-CN"/>
              </w:rPr>
              <w:t xml:space="preserve"> </w:t>
            </w:r>
            <w:r>
              <w:rPr>
                <w:rFonts w:hint="eastAsia" w:ascii="Times New Roman" w:hAnsi="Times New Roman" w:eastAsia="Times New Roman" w:cs="Times New Roman"/>
                <w:kern w:val="0"/>
                <w:sz w:val="20"/>
                <w:szCs w:val="20"/>
                <w:lang w:val="en-GB" w:eastAsia="ko-KR"/>
              </w:rPr>
              <w:t xml:space="preserve">the UE shall monitor the downlink of serving cell for paging reception until the UE is capable to start monitoring downlink channels of the target inter-frequency cell for paging reception. </w:t>
            </w:r>
            <w:r>
              <w:rPr>
                <w:rFonts w:hint="eastAsia" w:ascii="Times New Roman" w:hAnsi="Times New Roman" w:eastAsia="Times New Roman" w:cs="Times New Roman"/>
                <w:kern w:val="0"/>
                <w:sz w:val="20"/>
                <w:szCs w:val="20"/>
                <w:lang w:val="en-US" w:eastAsia="zh-CN"/>
              </w:rPr>
              <w:t>T</w:t>
            </w:r>
            <w:r>
              <w:rPr>
                <w:rFonts w:hint="eastAsia" w:ascii="Times New Roman" w:hAnsi="Times New Roman" w:eastAsia="Times New Roman" w:cs="Times New Roman"/>
                <w:kern w:val="0"/>
                <w:sz w:val="20"/>
                <w:szCs w:val="20"/>
                <w:lang w:val="en-GB" w:eastAsia="ko-KR"/>
              </w:rPr>
              <w:t>he interruption time shall not exceed T</w:t>
            </w:r>
            <w:r>
              <w:rPr>
                <w:rFonts w:hint="eastAsia" w:ascii="Times New Roman" w:hAnsi="Times New Roman" w:eastAsia="Times New Roman" w:cs="Times New Roman"/>
                <w:kern w:val="0"/>
                <w:sz w:val="20"/>
                <w:szCs w:val="20"/>
                <w:vertAlign w:val="subscript"/>
                <w:lang w:val="en-GB" w:eastAsia="ko-KR"/>
              </w:rPr>
              <w:t>SI-NR</w:t>
            </w:r>
            <w:r>
              <w:rPr>
                <w:rFonts w:hint="eastAsia" w:ascii="Times New Roman" w:hAnsi="Times New Roman" w:eastAsia="Times New Roman" w:cs="Times New Roman"/>
                <w:kern w:val="0"/>
                <w:sz w:val="20"/>
                <w:szCs w:val="20"/>
                <w:lang w:val="en-GB" w:eastAsia="ko-KR"/>
              </w:rPr>
              <w:t xml:space="preserve"> + K*T</w:t>
            </w:r>
            <w:r>
              <w:rPr>
                <w:rFonts w:hint="eastAsia" w:ascii="Times New Roman" w:hAnsi="Times New Roman" w:eastAsia="Times New Roman" w:cs="Times New Roman"/>
                <w:kern w:val="0"/>
                <w:sz w:val="20"/>
                <w:szCs w:val="20"/>
                <w:vertAlign w:val="subscript"/>
                <w:lang w:val="en-GB" w:eastAsia="ko-KR"/>
              </w:rPr>
              <w:t>target_cell_SMTC_period</w:t>
            </w:r>
            <w:r>
              <w:rPr>
                <w:rFonts w:hint="eastAsia" w:ascii="Times New Roman" w:hAnsi="Times New Roman" w:eastAsia="Times New Roman" w:cs="Times New Roman"/>
                <w:kern w:val="0"/>
                <w:sz w:val="20"/>
                <w:szCs w:val="20"/>
                <w:lang w:val="en-GB" w:eastAsia="ko-KR"/>
              </w:rPr>
              <w:t xml:space="preserve"> ms.</w:t>
            </w:r>
          </w:p>
          <w:p w14:paraId="4F044DFE">
            <w:pPr>
              <w:keepNext w:val="0"/>
              <w:keepLines w:val="0"/>
              <w:widowControl/>
              <w:numPr>
                <w:ilvl w:val="0"/>
                <w:numId w:val="0"/>
              </w:numPr>
              <w:suppressLineNumbers w:val="0"/>
              <w:spacing w:before="120" w:beforeLines="50" w:beforeAutospacing="0" w:after="120" w:afterLines="50" w:afterAutospacing="0"/>
              <w:ind w:left="0" w:right="0"/>
              <w:rPr>
                <w:rFonts w:hint="eastAsia" w:ascii="Times New Roman" w:hAnsi="Times New Roman" w:eastAsia="等线" w:cs="Times New Roman"/>
                <w:sz w:val="21"/>
                <w:szCs w:val="21"/>
                <w:vertAlign w:val="baseline"/>
                <w:lang w:val="en-US" w:eastAsia="zh-CN"/>
              </w:rPr>
            </w:pPr>
            <w:r>
              <w:rPr>
                <w:rFonts w:hint="eastAsia" w:ascii="Times New Roman" w:hAnsi="Times New Roman" w:eastAsia="等线" w:cs="Times New Roman"/>
                <w:sz w:val="21"/>
                <w:szCs w:val="21"/>
                <w:vertAlign w:val="baseline"/>
                <w:lang w:val="en-US" w:eastAsia="zh-CN"/>
              </w:rPr>
              <w:t>========omitted the unrelated part=========</w:t>
            </w:r>
          </w:p>
          <w:p w14:paraId="2DC18F04">
            <w:pPr>
              <w:keepNext/>
              <w:keepLines/>
              <w:widowControl/>
              <w:suppressLineNumbers w:val="0"/>
              <w:pBdr>
                <w:top w:val="none" w:color="auto" w:sz="0" w:space="0"/>
              </w:pBdr>
              <w:overflowPunct w:val="0"/>
              <w:autoSpaceDE w:val="0"/>
              <w:autoSpaceDN w:val="0"/>
              <w:adjustRightInd w:val="0"/>
              <w:spacing w:before="120" w:beforeAutospacing="0" w:after="180" w:afterAutospacing="0"/>
              <w:ind w:left="0" w:leftChars="0" w:right="0" w:firstLine="0" w:firstLineChars="0"/>
              <w:textAlignment w:val="baseline"/>
              <w:outlineLvl w:val="3"/>
              <w:rPr>
                <w:rFonts w:hint="default" w:ascii="Arial" w:hAnsi="Arial" w:eastAsia="Times New Roman" w:cs="Times New Roman"/>
                <w:sz w:val="24"/>
                <w:lang w:val="en-US" w:eastAsia="zh-CN" w:bidi="ar-SA"/>
              </w:rPr>
            </w:pPr>
            <w:r>
              <w:rPr>
                <w:rFonts w:hint="eastAsia" w:ascii="Times New Roman" w:hAnsi="Times New Roman" w:eastAsia="Times New Roman" w:cs="Times New Roman"/>
                <w:kern w:val="0"/>
                <w:sz w:val="20"/>
                <w:szCs w:val="20"/>
                <w:highlight w:val="yellow"/>
                <w:lang w:val="en-GB" w:eastAsia="ko-KR"/>
              </w:rPr>
              <w:t>T</w:t>
            </w:r>
            <w:r>
              <w:rPr>
                <w:rFonts w:hint="eastAsia" w:ascii="Times New Roman" w:hAnsi="Times New Roman" w:eastAsia="Times New Roman" w:cs="Times New Roman"/>
                <w:kern w:val="0"/>
                <w:sz w:val="20"/>
                <w:szCs w:val="20"/>
                <w:highlight w:val="yellow"/>
                <w:vertAlign w:val="subscript"/>
                <w:lang w:val="en-GB" w:eastAsia="ko-KR"/>
              </w:rPr>
              <w:t xml:space="preserve">target_cell_SMTC_period </w:t>
            </w:r>
            <w:r>
              <w:rPr>
                <w:rFonts w:hint="eastAsia" w:ascii="Times New Roman" w:hAnsi="Times New Roman" w:eastAsia="Times New Roman" w:cs="Times New Roman"/>
                <w:kern w:val="0"/>
                <w:sz w:val="20"/>
                <w:szCs w:val="20"/>
                <w:highlight w:val="yellow"/>
                <w:lang w:val="en-GB" w:eastAsia="ko-KR"/>
              </w:rPr>
              <w:t>is the periodicity of the SMTC occasions configured for the target NR cell.</w:t>
            </w:r>
            <w:r>
              <w:rPr>
                <w:rFonts w:hint="eastAsia" w:ascii="Times New Roman" w:hAnsi="Times New Roman" w:eastAsia="Times New Roman" w:cs="Times New Roman"/>
                <w:kern w:val="0"/>
                <w:sz w:val="20"/>
                <w:szCs w:val="20"/>
                <w:highlight w:val="yellow"/>
                <w:lang w:val="en-GB" w:eastAsia="en-US"/>
              </w:rPr>
              <w:t xml:space="preserve"> If the target cell is in the PCI list of </w:t>
            </w:r>
            <w:r>
              <w:rPr>
                <w:rFonts w:hint="eastAsia" w:ascii="Times New Roman" w:hAnsi="Times New Roman" w:eastAsia="Times New Roman" w:cs="Times New Roman"/>
                <w:i/>
                <w:iCs/>
                <w:kern w:val="0"/>
                <w:sz w:val="20"/>
                <w:szCs w:val="20"/>
                <w:highlight w:val="yellow"/>
                <w:lang w:val="en-GB" w:eastAsia="en-US"/>
              </w:rPr>
              <w:t>smtc2-LP</w:t>
            </w:r>
            <w:r>
              <w:rPr>
                <w:rFonts w:hint="eastAsia" w:ascii="Times New Roman" w:hAnsi="Times New Roman" w:eastAsia="Times New Roman" w:cs="Times New Roman"/>
                <w:kern w:val="0"/>
                <w:sz w:val="20"/>
                <w:szCs w:val="20"/>
                <w:highlight w:val="yellow"/>
                <w:lang w:val="en-GB" w:eastAsia="en-US"/>
              </w:rPr>
              <w:t>, the SMTC periodicity</w:t>
            </w:r>
            <w:r>
              <w:rPr>
                <w:rFonts w:hint="eastAsia" w:ascii="Times New Roman" w:hAnsi="Times New Roman" w:eastAsia="Times New Roman" w:cs="Times New Roman"/>
                <w:kern w:val="0"/>
                <w:sz w:val="20"/>
                <w:szCs w:val="20"/>
                <w:highlight w:val="yellow"/>
                <w:vertAlign w:val="subscript"/>
                <w:lang w:val="en-GB" w:eastAsia="en-US"/>
              </w:rPr>
              <w:t xml:space="preserve"> </w:t>
            </w:r>
            <w:r>
              <w:rPr>
                <w:rFonts w:hint="eastAsia" w:ascii="Times New Roman" w:hAnsi="Times New Roman" w:eastAsia="Times New Roman" w:cs="Times New Roman"/>
                <w:kern w:val="0"/>
                <w:sz w:val="20"/>
                <w:szCs w:val="20"/>
                <w:highlight w:val="yellow"/>
                <w:lang w:val="en-GB" w:eastAsia="en-US"/>
              </w:rPr>
              <w:t xml:space="preserve">follows </w:t>
            </w:r>
            <w:r>
              <w:rPr>
                <w:rFonts w:hint="eastAsia" w:ascii="Times New Roman" w:hAnsi="Times New Roman" w:eastAsia="Times New Roman" w:cs="Times New Roman"/>
                <w:i/>
                <w:iCs/>
                <w:kern w:val="0"/>
                <w:sz w:val="20"/>
                <w:szCs w:val="20"/>
                <w:highlight w:val="yellow"/>
                <w:lang w:val="en-GB" w:eastAsia="en-US"/>
              </w:rPr>
              <w:t>smtc2-LP</w:t>
            </w:r>
            <w:r>
              <w:rPr>
                <w:rFonts w:hint="eastAsia" w:ascii="Times New Roman" w:hAnsi="Times New Roman" w:eastAsia="Times New Roman" w:cs="Times New Roman"/>
                <w:kern w:val="0"/>
                <w:sz w:val="20"/>
                <w:szCs w:val="20"/>
                <w:highlight w:val="yellow"/>
                <w:lang w:val="en-GB" w:eastAsia="en-US"/>
              </w:rPr>
              <w:t xml:space="preserve">; otherwise, the SMTC periodicity follows </w:t>
            </w:r>
            <w:r>
              <w:rPr>
                <w:rFonts w:hint="eastAsia" w:ascii="Times New Roman" w:hAnsi="Times New Roman" w:eastAsia="Times New Roman" w:cs="Times New Roman"/>
                <w:i/>
                <w:iCs/>
                <w:kern w:val="0"/>
                <w:sz w:val="20"/>
                <w:szCs w:val="20"/>
                <w:highlight w:val="yellow"/>
                <w:lang w:val="en-GB" w:eastAsia="en-US"/>
              </w:rPr>
              <w:t>smtc</w:t>
            </w:r>
            <w:r>
              <w:rPr>
                <w:rFonts w:hint="eastAsia" w:ascii="Times New Roman" w:hAnsi="Times New Roman" w:eastAsia="Times New Roman" w:cs="Times New Roman"/>
                <w:kern w:val="0"/>
                <w:sz w:val="20"/>
                <w:szCs w:val="20"/>
                <w:highlight w:val="yellow"/>
                <w:lang w:val="en-GB" w:eastAsia="en-US"/>
              </w:rPr>
              <w:t>.</w:t>
            </w:r>
          </w:p>
        </w:tc>
      </w:tr>
    </w:tbl>
    <w:p w14:paraId="0B787273">
      <w:pPr>
        <w:numPr>
          <w:ilvl w:val="0"/>
          <w:numId w:val="0"/>
        </w:numPr>
        <w:spacing w:before="120" w:beforeLines="50" w:after="120" w:afterLines="50"/>
        <w:ind w:leftChars="0"/>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As highlighted, in the text, the current spec already clarify UE behavior when UE is configured with different SMTC periodicities. We understand these clarifications are fo</w:t>
      </w:r>
      <w:r>
        <w:rPr>
          <w:rFonts w:hint="eastAsia" w:ascii="Times New Roman" w:hAnsi="Times New Roman" w:eastAsia="等线" w:cs="Times New Roman"/>
          <w:sz w:val="21"/>
          <w:szCs w:val="21"/>
          <w:highlight w:val="none"/>
          <w:lang w:val="en-US" w:eastAsia="zh-CN"/>
        </w:rPr>
        <w:t xml:space="preserve">r </w:t>
      </w:r>
      <w:r>
        <w:rPr>
          <w:rFonts w:hint="eastAsia" w:ascii="Times New Roman" w:hAnsi="Times New Roman" w:eastAsia="Times New Roman" w:cs="Times New Roman"/>
          <w:i/>
          <w:iCs/>
          <w:kern w:val="0"/>
          <w:sz w:val="21"/>
          <w:szCs w:val="21"/>
          <w:highlight w:val="none"/>
          <w:lang w:val="en-GB" w:eastAsia="en-US"/>
        </w:rPr>
        <w:t>smtc2-LP</w:t>
      </w:r>
      <w:r>
        <w:rPr>
          <w:rFonts w:hint="eastAsia" w:ascii="Times New Roman" w:hAnsi="Times New Roman" w:eastAsia="宋体" w:cs="Times New Roman"/>
          <w:i w:val="0"/>
          <w:iCs w:val="0"/>
          <w:kern w:val="0"/>
          <w:sz w:val="21"/>
          <w:szCs w:val="21"/>
          <w:highlight w:val="none"/>
          <w:lang w:val="en-US" w:eastAsia="zh-CN"/>
        </w:rPr>
        <w:t xml:space="preserve">, which is introduced in Rel-16 TEI, at first. </w:t>
      </w:r>
      <w:r>
        <w:rPr>
          <w:rFonts w:hint="eastAsia" w:ascii="Times New Roman" w:hAnsi="Times New Roman" w:eastAsia="等线" w:cs="Times New Roman"/>
          <w:sz w:val="21"/>
          <w:szCs w:val="21"/>
          <w:lang w:val="en-US" w:eastAsia="zh-CN"/>
        </w:rPr>
        <w:t xml:space="preserve">The </w:t>
      </w:r>
      <w:r>
        <w:rPr>
          <w:rFonts w:hint="eastAsia" w:ascii="Times New Roman" w:hAnsi="Times New Roman" w:eastAsia="Times New Roman" w:cs="Times New Roman"/>
          <w:i/>
          <w:iCs/>
          <w:kern w:val="0"/>
          <w:sz w:val="21"/>
          <w:szCs w:val="21"/>
          <w:highlight w:val="none"/>
          <w:lang w:val="en-GB" w:eastAsia="en-US"/>
        </w:rPr>
        <w:t>smtc2-LP</w:t>
      </w:r>
      <w:r>
        <w:rPr>
          <w:rFonts w:hint="eastAsia" w:ascii="Times New Roman" w:hAnsi="Times New Roman" w:eastAsia="宋体" w:cs="Times New Roman"/>
          <w:i/>
          <w:iCs/>
          <w:kern w:val="0"/>
          <w:sz w:val="21"/>
          <w:szCs w:val="21"/>
          <w:highlight w:val="none"/>
          <w:lang w:val="en-US" w:eastAsia="zh-CN"/>
        </w:rPr>
        <w:t xml:space="preserve"> </w:t>
      </w:r>
      <w:r>
        <w:rPr>
          <w:rFonts w:hint="eastAsia" w:ascii="Times New Roman" w:hAnsi="Times New Roman" w:eastAsia="等线" w:cs="Times New Roman"/>
          <w:sz w:val="21"/>
          <w:szCs w:val="21"/>
          <w:lang w:val="en-US" w:eastAsia="zh-CN"/>
        </w:rPr>
        <w:t xml:space="preserve">is configurable to both intra-frequency and inter-frequency measurement. Compare with the legacy </w:t>
      </w:r>
      <w:r>
        <w:rPr>
          <w:rFonts w:hint="eastAsia" w:ascii="Times New Roman" w:hAnsi="Times New Roman" w:eastAsia="等线" w:cs="Times New Roman"/>
          <w:i/>
          <w:iCs/>
          <w:sz w:val="21"/>
          <w:szCs w:val="21"/>
          <w:lang w:val="en-US" w:eastAsia="zh-CN"/>
        </w:rPr>
        <w:t>smtc</w:t>
      </w:r>
      <w:r>
        <w:rPr>
          <w:rFonts w:hint="eastAsia" w:ascii="Times New Roman" w:hAnsi="Times New Roman" w:eastAsia="等线" w:cs="Times New Roman"/>
          <w:sz w:val="21"/>
          <w:szCs w:val="21"/>
          <w:lang w:val="en-US" w:eastAsia="zh-CN"/>
        </w:rPr>
        <w:t xml:space="preserve">, the </w:t>
      </w:r>
      <w:r>
        <w:rPr>
          <w:rFonts w:hint="eastAsia" w:ascii="Times New Roman" w:hAnsi="Times New Roman" w:eastAsia="Times New Roman" w:cs="Times New Roman"/>
          <w:i/>
          <w:iCs/>
          <w:kern w:val="0"/>
          <w:sz w:val="21"/>
          <w:szCs w:val="21"/>
          <w:highlight w:val="none"/>
          <w:lang w:val="en-GB" w:eastAsia="en-US"/>
        </w:rPr>
        <w:t>smtc2-LP</w:t>
      </w:r>
      <w:r>
        <w:rPr>
          <w:rFonts w:hint="eastAsia" w:ascii="Times New Roman" w:hAnsi="Times New Roman" w:eastAsia="等线" w:cs="Times New Roman"/>
          <w:sz w:val="21"/>
          <w:szCs w:val="21"/>
          <w:lang w:val="en-US" w:eastAsia="zh-CN"/>
        </w:rPr>
        <w:t xml:space="preserve"> can only be set with strictly larger periodicity values while same offset. UE will select either </w:t>
      </w:r>
      <w:r>
        <w:rPr>
          <w:rFonts w:hint="eastAsia" w:ascii="Times New Roman" w:hAnsi="Times New Roman" w:eastAsia="等线" w:cs="Times New Roman"/>
          <w:i/>
          <w:iCs/>
          <w:sz w:val="21"/>
          <w:szCs w:val="21"/>
          <w:lang w:val="en-US" w:eastAsia="zh-CN"/>
        </w:rPr>
        <w:t>smtc</w:t>
      </w:r>
      <w:r>
        <w:rPr>
          <w:rFonts w:hint="eastAsia" w:ascii="Times New Roman" w:hAnsi="Times New Roman" w:eastAsia="等线" w:cs="Times New Roman"/>
          <w:sz w:val="21"/>
          <w:szCs w:val="21"/>
          <w:lang w:val="en-US" w:eastAsia="zh-CN"/>
        </w:rPr>
        <w:t xml:space="preserve"> or </w:t>
      </w:r>
      <w:r>
        <w:rPr>
          <w:rFonts w:hint="eastAsia" w:ascii="Times New Roman" w:hAnsi="Times New Roman" w:eastAsia="Times New Roman" w:cs="Times New Roman"/>
          <w:i/>
          <w:iCs/>
          <w:kern w:val="0"/>
          <w:sz w:val="21"/>
          <w:szCs w:val="21"/>
          <w:highlight w:val="none"/>
          <w:lang w:val="en-GB" w:eastAsia="en-US"/>
        </w:rPr>
        <w:t>smtc2-LP</w:t>
      </w:r>
      <w:r>
        <w:rPr>
          <w:rFonts w:hint="eastAsia" w:ascii="Times New Roman" w:hAnsi="Times New Roman" w:eastAsia="等线" w:cs="Times New Roman"/>
          <w:sz w:val="21"/>
          <w:szCs w:val="21"/>
          <w:lang w:val="en-US" w:eastAsia="zh-CN"/>
        </w:rPr>
        <w:t xml:space="preserve"> based on whether a target neighboring cell in the PCI list is detected. Current applicability conditions clarify the specific SMTC which is supposed to be used in the requirements to make sure UE can satisfy the requirements. </w:t>
      </w:r>
    </w:p>
    <w:p w14:paraId="3E5D4CFE">
      <w:pPr>
        <w:numPr>
          <w:ilvl w:val="0"/>
          <w:numId w:val="0"/>
        </w:numPr>
        <w:spacing w:before="120" w:beforeLines="50" w:after="120" w:afterLines="50"/>
        <w:ind w:leftChars="0"/>
        <w:rPr>
          <w:rFonts w:hint="eastAsia" w:ascii="Times New Roman" w:hAnsi="Times New Roman" w:eastAsia="等线" w:cs="Times New Roman"/>
          <w:b/>
          <w:bCs/>
          <w:sz w:val="21"/>
          <w:szCs w:val="21"/>
          <w:lang w:val="en-US" w:eastAsia="zh-CN"/>
        </w:rPr>
      </w:pPr>
      <w:r>
        <w:rPr>
          <w:rFonts w:hint="eastAsia" w:ascii="Times New Roman" w:hAnsi="Times New Roman" w:eastAsia="等线" w:cs="Times New Roman"/>
          <w:b/>
          <w:bCs/>
          <w:sz w:val="21"/>
          <w:szCs w:val="21"/>
          <w:lang w:val="en-US" w:eastAsia="zh-CN"/>
        </w:rPr>
        <w:t xml:space="preserve">Observation </w:t>
      </w:r>
      <w:r>
        <w:rPr>
          <w:rFonts w:hint="eastAsia" w:ascii="Times New Roman" w:hAnsi="Times New Roman" w:eastAsia="等线" w:cs="Times New Roman"/>
          <w:b/>
          <w:bCs/>
          <w:sz w:val="21"/>
          <w:szCs w:val="21"/>
          <w:lang w:val="en-US" w:eastAsia="zh-CN"/>
        </w:rPr>
        <w:fldChar w:fldCharType="begin"/>
      </w:r>
      <w:r>
        <w:rPr>
          <w:rFonts w:hint="eastAsia" w:ascii="Times New Roman" w:hAnsi="Times New Roman" w:eastAsia="等线" w:cs="Times New Roman"/>
          <w:b/>
          <w:bCs/>
          <w:sz w:val="21"/>
          <w:szCs w:val="21"/>
          <w:lang w:val="en-US" w:eastAsia="zh-CN"/>
        </w:rPr>
        <w:instrText xml:space="preserve"> SEQ Observation \* MERGEFORMAT </w:instrText>
      </w:r>
      <w:r>
        <w:rPr>
          <w:rFonts w:hint="eastAsia" w:ascii="Times New Roman" w:hAnsi="Times New Roman" w:eastAsia="等线" w:cs="Times New Roman"/>
          <w:b/>
          <w:bCs/>
          <w:sz w:val="21"/>
          <w:szCs w:val="21"/>
          <w:lang w:val="en-US" w:eastAsia="zh-CN"/>
        </w:rPr>
        <w:fldChar w:fldCharType="separate"/>
      </w:r>
      <w:r>
        <w:rPr>
          <w:rFonts w:hint="eastAsia" w:ascii="Times New Roman" w:hAnsi="Times New Roman" w:eastAsia="等线" w:cs="Times New Roman"/>
          <w:b/>
          <w:bCs/>
          <w:sz w:val="21"/>
          <w:szCs w:val="21"/>
          <w:lang w:val="en-US" w:eastAsia="zh-CN"/>
        </w:rPr>
        <w:t>2</w:t>
      </w:r>
      <w:r>
        <w:rPr>
          <w:rFonts w:hint="eastAsia" w:ascii="Times New Roman" w:hAnsi="Times New Roman" w:eastAsia="等线" w:cs="Times New Roman"/>
          <w:b/>
          <w:bCs/>
          <w:sz w:val="21"/>
          <w:szCs w:val="21"/>
          <w:lang w:val="en-US" w:eastAsia="zh-CN"/>
        </w:rPr>
        <w:fldChar w:fldCharType="end"/>
      </w:r>
      <w:r>
        <w:rPr>
          <w:rFonts w:hint="eastAsia" w:ascii="Times New Roman" w:hAnsi="Times New Roman" w:eastAsia="等线" w:cs="Times New Roman"/>
          <w:b/>
          <w:bCs/>
          <w:sz w:val="21"/>
          <w:szCs w:val="21"/>
          <w:lang w:val="en-US" w:eastAsia="zh-CN"/>
        </w:rPr>
        <w:t xml:space="preserve">: For the case of </w:t>
      </w:r>
      <w:r>
        <w:rPr>
          <w:rFonts w:hint="eastAsia" w:ascii="Times New Roman" w:hAnsi="Times New Roman" w:eastAsia="Times New Roman" w:cs="Times New Roman"/>
          <w:b/>
          <w:bCs/>
          <w:i/>
          <w:iCs/>
          <w:kern w:val="0"/>
          <w:sz w:val="21"/>
          <w:szCs w:val="21"/>
          <w:highlight w:val="none"/>
          <w:lang w:val="en-GB" w:eastAsia="en-US"/>
        </w:rPr>
        <w:t>smtc2-LP</w:t>
      </w:r>
      <w:r>
        <w:rPr>
          <w:rFonts w:hint="eastAsia" w:ascii="Times New Roman" w:hAnsi="Times New Roman" w:eastAsia="等线" w:cs="Times New Roman"/>
          <w:b/>
          <w:bCs/>
          <w:sz w:val="21"/>
          <w:szCs w:val="21"/>
          <w:lang w:val="en-US" w:eastAsia="zh-CN"/>
        </w:rPr>
        <w:t xml:space="preserve"> configuration in RRC_IDLE mode, RAN4 specified the applicability condition to clarify the SMTC periodicity used in the related requirement.</w:t>
      </w:r>
    </w:p>
    <w:p w14:paraId="0738D864">
      <w:pPr>
        <w:numPr>
          <w:ilvl w:val="0"/>
          <w:numId w:val="0"/>
        </w:numPr>
        <w:spacing w:before="120" w:beforeLines="50" w:after="120" w:afterLines="50"/>
        <w:ind w:leftChars="0"/>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 xml:space="preserve">When the </w:t>
      </w:r>
      <w:r>
        <w:rPr>
          <w:rFonts w:hint="eastAsia" w:ascii="Times New Roman" w:hAnsi="Times New Roman" w:eastAsia="Times New Roman" w:cs="Times New Roman"/>
          <w:i/>
          <w:iCs/>
          <w:kern w:val="0"/>
          <w:sz w:val="21"/>
          <w:szCs w:val="21"/>
          <w:highlight w:val="none"/>
          <w:lang w:val="en-GB" w:eastAsia="en-US"/>
        </w:rPr>
        <w:t>smtc2-LP</w:t>
      </w:r>
      <w:r>
        <w:rPr>
          <w:rFonts w:hint="eastAsia" w:ascii="Times New Roman" w:hAnsi="Times New Roman" w:eastAsia="宋体" w:cs="Times New Roman"/>
          <w:i w:val="0"/>
          <w:iCs w:val="0"/>
          <w:kern w:val="0"/>
          <w:sz w:val="21"/>
          <w:szCs w:val="21"/>
          <w:highlight w:val="none"/>
          <w:lang w:val="en-US" w:eastAsia="zh-CN"/>
        </w:rPr>
        <w:t xml:space="preserve"> is configured, UE would get total two sets of SMTC configurations with different periodicities but same offset. </w:t>
      </w:r>
      <w:r>
        <w:rPr>
          <w:rFonts w:hint="eastAsia" w:ascii="Times New Roman" w:hAnsi="Times New Roman" w:eastAsia="等线" w:cs="Times New Roman"/>
          <w:sz w:val="21"/>
          <w:szCs w:val="21"/>
          <w:lang w:val="en-US" w:eastAsia="zh-CN"/>
        </w:rPr>
        <w:t xml:space="preserve">We can see the similarity between the function of </w:t>
      </w:r>
      <w:r>
        <w:rPr>
          <w:rFonts w:hint="eastAsia" w:ascii="Times New Roman" w:hAnsi="Times New Roman" w:eastAsia="Times New Roman" w:cs="Times New Roman"/>
          <w:i/>
          <w:iCs/>
          <w:kern w:val="0"/>
          <w:sz w:val="21"/>
          <w:szCs w:val="21"/>
          <w:highlight w:val="none"/>
          <w:lang w:val="en-GB" w:eastAsia="en-US"/>
        </w:rPr>
        <w:t>smtc2-LP</w:t>
      </w:r>
      <w:r>
        <w:rPr>
          <w:rFonts w:hint="eastAsia" w:ascii="Times New Roman" w:hAnsi="Times New Roman" w:eastAsia="等线" w:cs="Times New Roman"/>
          <w:sz w:val="21"/>
          <w:szCs w:val="21"/>
          <w:lang w:val="en-US" w:eastAsia="zh-CN"/>
        </w:rPr>
        <w:t xml:space="preserve"> and the SMTC enhancements to be introduced in NTN, which support </w:t>
      </w:r>
      <w:r>
        <w:rPr>
          <w:rFonts w:hint="eastAsia" w:ascii="Times New Roman" w:hAnsi="Times New Roman" w:eastAsia="宋体" w:cs="Times New Roman"/>
          <w:i w:val="0"/>
          <w:iCs w:val="0"/>
          <w:kern w:val="0"/>
          <w:sz w:val="21"/>
          <w:szCs w:val="21"/>
          <w:highlight w:val="none"/>
          <w:lang w:val="en-US" w:eastAsia="zh-CN"/>
        </w:rPr>
        <w:t>two sets of SMTCs with different periodicities and different offsets</w:t>
      </w:r>
      <w:r>
        <w:rPr>
          <w:rFonts w:hint="eastAsia" w:ascii="Times New Roman" w:hAnsi="Times New Roman" w:eastAsia="等线" w:cs="Times New Roman"/>
          <w:sz w:val="21"/>
          <w:szCs w:val="21"/>
          <w:lang w:val="en-US" w:eastAsia="zh-CN"/>
        </w:rPr>
        <w:t xml:space="preserve">. From our perspective, to support the SMTC enhancements on </w:t>
      </w:r>
      <w:r>
        <w:rPr>
          <w:rFonts w:hint="eastAsia" w:ascii="Times New Roman" w:hAnsi="Times New Roman" w:eastAsia="宋体" w:cs="Times New Roman"/>
          <w:sz w:val="20"/>
          <w:szCs w:val="20"/>
          <w:lang w:val="en-US" w:eastAsia="zh-CN" w:bidi="ar-SA"/>
        </w:rPr>
        <w:t xml:space="preserve">two different SMTC periodicities configuration, RAN4 can follow the </w:t>
      </w:r>
      <w:r>
        <w:rPr>
          <w:rFonts w:hint="eastAsia" w:ascii="Times New Roman" w:hAnsi="Times New Roman" w:eastAsia="等线" w:cs="Times New Roman"/>
          <w:sz w:val="21"/>
          <w:szCs w:val="21"/>
          <w:lang w:val="en-US" w:eastAsia="zh-CN"/>
        </w:rPr>
        <w:t xml:space="preserve">similar logic as for </w:t>
      </w:r>
      <w:r>
        <w:rPr>
          <w:rFonts w:hint="eastAsia" w:ascii="Times New Roman" w:hAnsi="Times New Roman" w:eastAsia="Times New Roman" w:cs="Times New Roman"/>
          <w:i/>
          <w:iCs/>
          <w:kern w:val="0"/>
          <w:sz w:val="21"/>
          <w:szCs w:val="21"/>
          <w:highlight w:val="none"/>
          <w:lang w:val="en-GB" w:eastAsia="en-US"/>
        </w:rPr>
        <w:t>smtc2-LP</w:t>
      </w:r>
      <w:r>
        <w:rPr>
          <w:rFonts w:hint="eastAsia" w:ascii="Times New Roman" w:hAnsi="Times New Roman" w:eastAsia="等线" w:cs="Times New Roman"/>
          <w:sz w:val="21"/>
          <w:szCs w:val="21"/>
          <w:lang w:val="en-US" w:eastAsia="zh-CN"/>
        </w:rPr>
        <w:t xml:space="preserve"> in Rel-16. The spec impact is clear.</w:t>
      </w:r>
    </w:p>
    <w:p w14:paraId="16AA42CC">
      <w:pPr>
        <w:numPr>
          <w:ilvl w:val="0"/>
          <w:numId w:val="0"/>
        </w:numPr>
        <w:spacing w:before="120" w:beforeLines="50" w:after="120" w:afterLines="50"/>
        <w:ind w:leftChars="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2</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To support the SMTC enhancements on two different SMTC periodicities configuration </w:t>
      </w:r>
      <w:r>
        <w:rPr>
          <w:rFonts w:hint="eastAsia" w:ascii="Times New Roman" w:hAnsi="Times New Roman" w:eastAsia="等线" w:cs="Times New Roman"/>
          <w:b/>
          <w:bCs/>
          <w:sz w:val="21"/>
          <w:szCs w:val="21"/>
          <w:lang w:val="en-US" w:eastAsia="zh-CN"/>
        </w:rPr>
        <w:t>in RRC_IDLE/INACTIVE mode</w:t>
      </w:r>
      <w:r>
        <w:rPr>
          <w:rFonts w:hint="eastAsia" w:ascii="Times New Roman" w:hAnsi="Times New Roman" w:eastAsia="宋体" w:cs="Times New Roman"/>
          <w:b/>
          <w:kern w:val="0"/>
          <w:sz w:val="21"/>
          <w:szCs w:val="21"/>
          <w:lang w:val="en-US" w:eastAsia="zh-CN"/>
        </w:rPr>
        <w:t xml:space="preserve">, RAN4 to update the applicability conditions for SMTC taken the same principle for </w:t>
      </w:r>
      <w:r>
        <w:rPr>
          <w:rFonts w:hint="eastAsia" w:ascii="Times New Roman" w:hAnsi="Times New Roman" w:eastAsia="Times New Roman" w:cs="Times New Roman"/>
          <w:b/>
          <w:bCs/>
          <w:i/>
          <w:iCs/>
          <w:kern w:val="0"/>
          <w:sz w:val="21"/>
          <w:szCs w:val="21"/>
          <w:highlight w:val="none"/>
          <w:lang w:val="en-GB" w:eastAsia="en-US"/>
        </w:rPr>
        <w:t>smtc2-LP</w:t>
      </w:r>
      <w:r>
        <w:rPr>
          <w:rFonts w:hint="eastAsia" w:ascii="Times New Roman" w:hAnsi="Times New Roman" w:eastAsia="等线" w:cs="Times New Roman"/>
          <w:b/>
          <w:bCs/>
          <w:sz w:val="21"/>
          <w:szCs w:val="21"/>
          <w:lang w:val="en-US" w:eastAsia="zh-CN"/>
        </w:rPr>
        <w:t xml:space="preserve"> as baseline.</w:t>
      </w:r>
    </w:p>
    <w:p w14:paraId="4F31C294">
      <w:pPr>
        <w:numPr>
          <w:ilvl w:val="0"/>
          <w:numId w:val="0"/>
        </w:numPr>
        <w:spacing w:before="120" w:beforeLines="50" w:after="120" w:afterLines="50"/>
        <w:ind w:leftChars="0"/>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The LS also mentioned that RAN2 agreed to support configuring more than 4 SMTCs per frequency (i.e. 6) for idle/inactive UEs. Based on current UE capability, UE can at most support 4 SMTCs per frequency. Going back to R17 discussion, RAN4 already considered the case that the number of configured SMTCs per Frequency layer is beyond UE capability. And the agreement was achieved for RRC_IDLE/INACTIVE mode that: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CC88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8E86FFC">
            <w:pPr>
              <w:keepNext w:val="0"/>
              <w:keepLines w:val="0"/>
              <w:widowControl/>
              <w:numPr>
                <w:ilvl w:val="0"/>
                <w:numId w:val="4"/>
              </w:numPr>
              <w:suppressLineNumbers w:val="0"/>
              <w:overflowPunct w:val="0"/>
              <w:autoSpaceDE w:val="0"/>
              <w:autoSpaceDN w:val="0"/>
              <w:adjustRightInd w:val="0"/>
              <w:spacing w:before="0" w:beforeAutospacing="0" w:after="180" w:afterAutospacing="0" w:line="240" w:lineRule="auto"/>
              <w:ind w:left="0" w:leftChars="0" w:right="0" w:firstLine="420" w:firstLineChars="0"/>
              <w:textAlignment w:val="baseline"/>
              <w:rPr>
                <w:rFonts w:hint="eastAsia" w:ascii="Times New Roman" w:hAnsi="Times New Roman" w:eastAsia="MS Mincho" w:cs="Times New Roman"/>
                <w:szCs w:val="24"/>
                <w:lang w:val="en-GB" w:eastAsia="zh-CN" w:bidi="ar-SA"/>
              </w:rPr>
            </w:pPr>
            <w:r>
              <w:rPr>
                <w:rFonts w:hint="eastAsia" w:ascii="Times New Roman" w:hAnsi="Times New Roman" w:eastAsia="MS Mincho" w:cs="Times New Roman"/>
                <w:szCs w:val="24"/>
                <w:lang w:val="en-GB" w:eastAsia="zh-CN" w:bidi="ar-SA"/>
              </w:rPr>
              <w:t>For RRC Idle/Inactive mode:</w:t>
            </w:r>
          </w:p>
          <w:p w14:paraId="68143CC9">
            <w:pPr>
              <w:keepNext w:val="0"/>
              <w:keepLines w:val="0"/>
              <w:widowControl/>
              <w:numPr>
                <w:ilvl w:val="1"/>
                <w:numId w:val="4"/>
              </w:numPr>
              <w:suppressLineNumbers w:val="0"/>
              <w:overflowPunct w:val="0"/>
              <w:autoSpaceDE w:val="0"/>
              <w:autoSpaceDN w:val="0"/>
              <w:adjustRightInd w:val="0"/>
              <w:spacing w:before="0" w:beforeAutospacing="0" w:after="180" w:afterAutospacing="0" w:line="240" w:lineRule="auto"/>
              <w:ind w:left="420" w:leftChars="0" w:right="0" w:firstLine="420" w:firstLineChars="0"/>
              <w:textAlignment w:val="baseline"/>
              <w:rPr>
                <w:rFonts w:hint="eastAsia" w:ascii="Times New Roman" w:hAnsi="Times New Roman" w:eastAsia="MS Mincho" w:cs="Times New Roman"/>
                <w:szCs w:val="24"/>
                <w:lang w:val="en-GB" w:eastAsia="zh-CN" w:bidi="ar-SA"/>
              </w:rPr>
            </w:pPr>
            <w:r>
              <w:rPr>
                <w:rFonts w:hint="eastAsia" w:ascii="Times New Roman" w:hAnsi="Times New Roman" w:eastAsia="MS Mincho" w:cs="Times New Roman"/>
                <w:szCs w:val="24"/>
                <w:lang w:val="en-GB" w:eastAsia="zh-CN" w:bidi="ar-SA"/>
              </w:rPr>
              <w:t xml:space="preserve">UE can be configured with more SMTCs than its capability.  </w:t>
            </w:r>
          </w:p>
          <w:p w14:paraId="70D33F61">
            <w:pPr>
              <w:keepNext w:val="0"/>
              <w:keepLines w:val="0"/>
              <w:widowControl/>
              <w:numPr>
                <w:ilvl w:val="1"/>
                <w:numId w:val="4"/>
              </w:numPr>
              <w:suppressLineNumbers w:val="0"/>
              <w:overflowPunct w:val="0"/>
              <w:autoSpaceDE w:val="0"/>
              <w:autoSpaceDN w:val="0"/>
              <w:adjustRightInd w:val="0"/>
              <w:spacing w:before="0" w:beforeAutospacing="0" w:after="180" w:afterAutospacing="0" w:line="240" w:lineRule="auto"/>
              <w:ind w:left="420" w:leftChars="0" w:right="0" w:firstLine="420" w:firstLineChars="0"/>
              <w:textAlignment w:val="baseline"/>
              <w:rPr>
                <w:rFonts w:hint="eastAsia" w:ascii="Times New Roman" w:hAnsi="Times New Roman" w:eastAsia="MS Mincho" w:cs="Times New Roman"/>
                <w:szCs w:val="24"/>
                <w:lang w:val="en-GB" w:eastAsia="zh-CN" w:bidi="ar-SA"/>
              </w:rPr>
            </w:pPr>
            <w:r>
              <w:rPr>
                <w:rFonts w:hint="eastAsia" w:ascii="Times New Roman" w:hAnsi="Times New Roman" w:eastAsia="MS Mincho" w:cs="Times New Roman"/>
                <w:szCs w:val="24"/>
                <w:lang w:val="en-GB" w:eastAsia="zh-CN" w:bidi="ar-SA"/>
              </w:rPr>
              <w:t>UE performs RRM measurement for the broadcasted SMTCs up to its capability in terms of the number of supporting SMTCs at a given period of time.</w:t>
            </w:r>
          </w:p>
          <w:p w14:paraId="1C66612C">
            <w:pPr>
              <w:keepNext w:val="0"/>
              <w:keepLines w:val="0"/>
              <w:widowControl/>
              <w:numPr>
                <w:ilvl w:val="1"/>
                <w:numId w:val="4"/>
              </w:numPr>
              <w:suppressLineNumbers w:val="0"/>
              <w:overflowPunct w:val="0"/>
              <w:autoSpaceDE w:val="0"/>
              <w:autoSpaceDN w:val="0"/>
              <w:adjustRightInd w:val="0"/>
              <w:spacing w:before="0" w:beforeAutospacing="0" w:after="180" w:afterAutospacing="0" w:line="240" w:lineRule="auto"/>
              <w:ind w:left="420" w:leftChars="0" w:right="0" w:firstLine="420" w:firstLineChars="0"/>
              <w:textAlignment w:val="baseline"/>
              <w:rPr>
                <w:rFonts w:hint="eastAsia" w:ascii="Times New Roman" w:hAnsi="Times New Roman" w:eastAsia="MS Mincho" w:cs="Times New Roman"/>
                <w:szCs w:val="24"/>
                <w:lang w:val="en-GB" w:eastAsia="zh-CN" w:bidi="ar-SA"/>
              </w:rPr>
            </w:pPr>
            <w:r>
              <w:rPr>
                <w:rFonts w:hint="eastAsia" w:ascii="Times New Roman" w:hAnsi="Times New Roman" w:eastAsia="MS Mincho" w:cs="Times New Roman"/>
                <w:szCs w:val="24"/>
                <w:lang w:val="en-GB" w:eastAsia="zh-CN" w:bidi="ar-SA"/>
              </w:rPr>
              <w:t>If the number of SMTCs broadcasted by NW is beyond the UE capability, UE may select SMTCs sequentially until all of the SMTCs can be measured .</w:t>
            </w:r>
          </w:p>
          <w:p w14:paraId="5A778940">
            <w:pPr>
              <w:keepNext w:val="0"/>
              <w:keepLines w:val="0"/>
              <w:widowControl/>
              <w:numPr>
                <w:ilvl w:val="1"/>
                <w:numId w:val="4"/>
              </w:numPr>
              <w:suppressLineNumbers w:val="0"/>
              <w:overflowPunct w:val="0"/>
              <w:autoSpaceDE w:val="0"/>
              <w:autoSpaceDN w:val="0"/>
              <w:adjustRightInd w:val="0"/>
              <w:spacing w:before="0" w:beforeAutospacing="0" w:after="180" w:afterAutospacing="0" w:line="240" w:lineRule="auto"/>
              <w:ind w:left="420" w:leftChars="0" w:right="0" w:firstLine="420" w:firstLineChars="0"/>
              <w:textAlignment w:val="baseline"/>
              <w:rPr>
                <w:rFonts w:hint="eastAsia" w:ascii="Times New Roman" w:hAnsi="Times New Roman" w:eastAsia="MS Mincho" w:cs="Times New Roman"/>
                <w:szCs w:val="24"/>
                <w:lang w:val="en-GB" w:eastAsia="zh-CN" w:bidi="ar-SA"/>
              </w:rPr>
            </w:pPr>
            <w:r>
              <w:rPr>
                <w:rFonts w:hint="eastAsia" w:ascii="Times New Roman" w:hAnsi="Times New Roman" w:eastAsia="MS Mincho" w:cs="Times New Roman"/>
                <w:szCs w:val="24"/>
                <w:lang w:val="en-GB" w:eastAsia="zh-CN" w:bidi="ar-SA"/>
              </w:rPr>
              <w:t>The selection of SMTCs to be used is up to UE implementation, e.g. RSRP, equal priority, etc.</w:t>
            </w:r>
          </w:p>
          <w:p w14:paraId="418F48CC">
            <w:pPr>
              <w:keepNext w:val="0"/>
              <w:keepLines w:val="0"/>
              <w:widowControl/>
              <w:numPr>
                <w:ilvl w:val="1"/>
                <w:numId w:val="4"/>
              </w:numPr>
              <w:suppressLineNumbers w:val="0"/>
              <w:overflowPunct w:val="0"/>
              <w:autoSpaceDE w:val="0"/>
              <w:autoSpaceDN w:val="0"/>
              <w:adjustRightInd w:val="0"/>
              <w:spacing w:before="0" w:beforeAutospacing="0" w:after="180" w:afterAutospacing="0" w:line="240" w:lineRule="auto"/>
              <w:ind w:left="420" w:leftChars="0" w:right="0" w:firstLine="420" w:firstLineChars="0"/>
              <w:textAlignment w:val="baseline"/>
              <w:rPr>
                <w:rFonts w:hint="default" w:ascii="Times New Roman" w:hAnsi="Times New Roman" w:eastAsia="等线" w:cs="Times New Roman"/>
                <w:sz w:val="21"/>
                <w:szCs w:val="21"/>
                <w:vertAlign w:val="baseline"/>
                <w:lang w:val="en-US" w:eastAsia="zh-CN"/>
              </w:rPr>
            </w:pPr>
            <w:r>
              <w:rPr>
                <w:rFonts w:hint="eastAsia" w:ascii="Times New Roman" w:hAnsi="Times New Roman" w:eastAsia="MS Mincho" w:cs="Times New Roman"/>
                <w:szCs w:val="24"/>
                <w:lang w:val="en-GB" w:eastAsia="zh-CN" w:bidi="ar-SA"/>
              </w:rPr>
              <w:t>(note) longer measurement delay is expected, if UE is configured with more SMTCs than its capability</w:t>
            </w:r>
          </w:p>
        </w:tc>
      </w:tr>
    </w:tbl>
    <w:p w14:paraId="49540970">
      <w:pPr>
        <w:numPr>
          <w:ilvl w:val="0"/>
          <w:numId w:val="0"/>
        </w:numPr>
        <w:spacing w:before="120" w:beforeLines="50" w:after="120" w:afterLines="50"/>
        <w:ind w:leftChars="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3</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The current TS 38.133 has already cover the scenario when UE is configured more SMTCs than UE capability for RRC_IDLE/INACTIVE mode. </w:t>
      </w:r>
    </w:p>
    <w:p w14:paraId="6BF9DC96">
      <w:pPr>
        <w:numPr>
          <w:ilvl w:val="0"/>
          <w:numId w:val="0"/>
        </w:numPr>
        <w:spacing w:before="120" w:beforeLines="50" w:after="120" w:afterLines="50"/>
        <w:ind w:leftChars="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 xml:space="preserve">All in all, to support the SMTC enhancements, although many RRM requirements can be influenced, if we follow the same principle applied for </w:t>
      </w:r>
      <w:r>
        <w:rPr>
          <w:rFonts w:hint="eastAsia" w:ascii="Times New Roman" w:hAnsi="Times New Roman" w:eastAsia="Times New Roman" w:cs="Times New Roman"/>
          <w:i/>
          <w:iCs/>
          <w:kern w:val="0"/>
          <w:sz w:val="21"/>
          <w:szCs w:val="21"/>
          <w:highlight w:val="none"/>
          <w:lang w:val="en-GB" w:eastAsia="en-US"/>
        </w:rPr>
        <w:t>smtc2-LP</w:t>
      </w:r>
      <w:r>
        <w:rPr>
          <w:rFonts w:hint="eastAsia" w:ascii="Times New Roman" w:hAnsi="Times New Roman" w:eastAsia="宋体" w:cs="Times New Roman"/>
          <w:i w:val="0"/>
          <w:iCs w:val="0"/>
          <w:kern w:val="0"/>
          <w:sz w:val="21"/>
          <w:szCs w:val="21"/>
          <w:highlight w:val="none"/>
          <w:lang w:val="en-US" w:eastAsia="zh-CN"/>
        </w:rPr>
        <w:t xml:space="preserve"> and </w:t>
      </w:r>
      <w:r>
        <w:rPr>
          <w:rFonts w:hint="eastAsia" w:ascii="Times New Roman" w:hAnsi="Times New Roman" w:eastAsia="宋体" w:cs="Times New Roman"/>
          <w:i/>
          <w:iCs/>
          <w:kern w:val="0"/>
          <w:sz w:val="21"/>
          <w:szCs w:val="21"/>
          <w:highlight w:val="none"/>
          <w:lang w:val="en-US" w:eastAsia="zh-CN"/>
        </w:rPr>
        <w:t>smtc2</w:t>
      </w:r>
      <w:r>
        <w:rPr>
          <w:rFonts w:hint="eastAsia" w:ascii="Times New Roman" w:hAnsi="Times New Roman" w:eastAsia="宋体" w:cs="Times New Roman"/>
          <w:i w:val="0"/>
          <w:iCs w:val="0"/>
          <w:kern w:val="0"/>
          <w:sz w:val="21"/>
          <w:szCs w:val="21"/>
          <w:highlight w:val="none"/>
          <w:u w:val="none"/>
          <w:lang w:val="en-US" w:eastAsia="zh-CN"/>
        </w:rPr>
        <w:t>, we think the work load in RRM is not very high. Also, to support cells in the same frequency layer with different SSB periodicity in DL CE scenario, we think the different SMTC periodicities is a reasonable solution. If go with single SMTC configuration, we think the SMTC will be configured to match the lowest SSB periodicity or the longest SSB periodicity. For the case SMTC periodicity shorter than the SSB periodicity, there might be no SSB available for some SMTC occasion, which would lead to UE cannot meet the requirement because UE cannot obtain enough measurement samples. For the case SMTC periodicity longer than the SSB periodicity, it would decrease the measurement efficiency and has no good for UE power consumption.</w:t>
      </w:r>
    </w:p>
    <w:p w14:paraId="7C0FA0A9">
      <w:pPr>
        <w:numPr>
          <w:ilvl w:val="0"/>
          <w:numId w:val="0"/>
        </w:numPr>
        <w:spacing w:before="120" w:beforeLines="50" w:after="120" w:afterLines="50"/>
        <w:ind w:leftChars="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4</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RAN4 to confirm the feasibility to support the agreements on SMTC enhancements in Rel-19 timeframe</w:t>
      </w:r>
      <w:r>
        <w:rPr>
          <w:rFonts w:hint="eastAsia" w:ascii="Times New Roman" w:hAnsi="Times New Roman" w:eastAsia="宋体" w:cs="Times New Roman"/>
          <w:b/>
          <w:kern w:val="0"/>
          <w:sz w:val="21"/>
          <w:szCs w:val="21"/>
          <w:lang w:val="en-US" w:eastAsia="en-US"/>
        </w:rPr>
        <w:t>.</w:t>
      </w:r>
    </w:p>
    <w:p w14:paraId="3E18F94E">
      <w:pPr>
        <w:numPr>
          <w:ilvl w:val="0"/>
          <w:numId w:val="0"/>
        </w:numPr>
        <w:spacing w:before="120" w:beforeLines="50" w:after="120" w:afterLines="50"/>
        <w:ind w:leftChars="0"/>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In last meeting, company raised concern that NTN UE configured with same SMTCs periodicity but different SSB periodicity could have impact on UE behavior. Based on the latest RAN2 agreements, SMTCs with different periodicities could be supported and also NW can provide assistance information on the association between SMTC and location to help UE to perform SMTC selection for idle/inactive mode. From our side, it could solve the concern. For the number of SMTCs UE mandatory to support, we prefer to keep the legacy number, i.e. 2. RAN2 already agreed that the number of SMTC/gaps a UE needs to consider at any time will not be increased further, and is working on how to handle the coverage issue with limited UE capability. So, we prefer not to enforce UE to support 4 SMTCs per frequency layer.</w:t>
      </w:r>
    </w:p>
    <w:p w14:paraId="397FA0D2">
      <w:pPr>
        <w:numPr>
          <w:ilvl w:val="0"/>
          <w:numId w:val="0"/>
        </w:numPr>
        <w:spacing w:before="120" w:beforeLines="50" w:after="120" w:afterLines="50"/>
        <w:ind w:leftChars="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5</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UEs supporting DL-CE feature in NR Rel-19 is not mandatory the support to 4 SMTCs per frequency layer.</w:t>
      </w:r>
    </w:p>
    <w:p w14:paraId="558B7271">
      <w:pPr>
        <w:pStyle w:val="28"/>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1"/>
        <w:rPr>
          <w:rFonts w:hint="eastAsia" w:ascii="Times New Roman" w:hAnsi="Times New Roman" w:eastAsia="等线" w:cs="Times New Roman"/>
          <w:sz w:val="21"/>
          <w:szCs w:val="21"/>
          <w:lang w:val="en-US" w:eastAsia="zh-CN"/>
        </w:rPr>
      </w:pPr>
      <w:r>
        <w:rPr>
          <w:rFonts w:hint="eastAsia" w:ascii="Times New Roman" w:hAnsi="Times New Roman" w:cs="Times New Roman"/>
          <w:b/>
          <w:bCs/>
          <w:kern w:val="0"/>
          <w:sz w:val="20"/>
          <w:szCs w:val="20"/>
          <w:u w:val="single"/>
          <w:lang w:val="en-US" w:eastAsia="zh-CN"/>
        </w:rPr>
        <w:t>Other issues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D3C0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6F92DB3">
            <w:pPr>
              <w:keepNext w:val="0"/>
              <w:keepLines w:val="0"/>
              <w:widowControl/>
              <w:suppressLineNumbers w:val="0"/>
              <w:spacing w:before="0" w:beforeAutospacing="0" w:after="180" w:afterAutospacing="0" w:line="276" w:lineRule="auto"/>
              <w:ind w:left="0" w:right="0"/>
              <w:outlineLvl w:val="1"/>
              <w:rPr>
                <w:rFonts w:hint="eastAsia" w:ascii="Times New Roman" w:hAnsi="Times New Roman" w:eastAsia="宋体" w:cs="Times New Roman"/>
                <w:b/>
                <w:bCs/>
                <w:kern w:val="0"/>
                <w:sz w:val="20"/>
                <w:szCs w:val="20"/>
                <w:u w:val="single"/>
                <w:lang w:val="en-US" w:eastAsia="zh-CN"/>
              </w:rPr>
            </w:pPr>
            <w:r>
              <w:rPr>
                <w:rFonts w:hint="eastAsia" w:ascii="Times New Roman" w:hAnsi="Times New Roman" w:eastAsia="宋体" w:cs="Times New Roman"/>
                <w:b/>
                <w:kern w:val="0"/>
                <w:sz w:val="20"/>
                <w:szCs w:val="20"/>
                <w:u w:val="single"/>
                <w:lang w:val="en-GB" w:eastAsia="ko-KR"/>
              </w:rPr>
              <w:t xml:space="preserve">Issue 1-2-A: </w:t>
            </w:r>
            <w:r>
              <w:rPr>
                <w:rFonts w:hint="eastAsia" w:ascii="Times New Roman" w:hAnsi="Times New Roman" w:eastAsia="宋体" w:cs="Times New Roman"/>
                <w:b/>
                <w:bCs/>
                <w:kern w:val="0"/>
                <w:sz w:val="20"/>
                <w:szCs w:val="20"/>
                <w:u w:val="single"/>
                <w:lang w:val="en-US" w:eastAsia="zh-CN"/>
              </w:rPr>
              <w:t>RRC Re-establishment (default TSMTC,i)</w:t>
            </w:r>
          </w:p>
          <w:p w14:paraId="357A5F2B">
            <w:pPr>
              <w:keepNext w:val="0"/>
              <w:keepLines w:val="0"/>
              <w:widowControl/>
              <w:suppressLineNumbers w:val="0"/>
              <w:spacing w:before="0" w:beforeAutospacing="0" w:after="120" w:afterAutospacing="0" w:line="252" w:lineRule="auto"/>
              <w:ind w:left="0" w:right="0"/>
              <w:rPr>
                <w:rFonts w:hint="eastAsia" w:ascii="Times New Roman" w:hAnsi="Times New Roman" w:eastAsia="Malgun Gothic" w:cs="Times New Roman"/>
                <w:b/>
                <w:bCs/>
                <w:kern w:val="0"/>
                <w:sz w:val="20"/>
                <w:szCs w:val="20"/>
                <w:lang w:val="en-GB" w:eastAsia="ko-KR"/>
              </w:rPr>
            </w:pPr>
            <w:bookmarkStart w:id="6" w:name="_Hlk195164568"/>
            <w:r>
              <w:rPr>
                <w:rFonts w:hint="eastAsia" w:ascii="Times New Roman" w:hAnsi="Times New Roman" w:eastAsia="Malgun Gothic" w:cs="Times New Roman"/>
                <w:b/>
                <w:bCs/>
                <w:kern w:val="0"/>
                <w:sz w:val="20"/>
                <w:szCs w:val="20"/>
                <w:highlight w:val="green"/>
                <w:lang w:val="en-GB" w:eastAsia="ko-KR"/>
              </w:rPr>
              <w:t>Agreement (online):</w:t>
            </w:r>
          </w:p>
          <w:bookmarkEnd w:id="6"/>
          <w:p w14:paraId="16CAD62C">
            <w:pPr>
              <w:keepNext w:val="0"/>
              <w:keepLines w:val="0"/>
              <w:widowControl/>
              <w:numPr>
                <w:ilvl w:val="0"/>
                <w:numId w:val="4"/>
              </w:numPr>
              <w:suppressLineNumbers w:val="0"/>
              <w:overflowPunct/>
              <w:autoSpaceDE/>
              <w:autoSpaceDN/>
              <w:adjustRightInd/>
              <w:snapToGrid w:val="0"/>
              <w:spacing w:before="0" w:beforeAutospacing="0" w:after="120" w:afterAutospacing="0" w:line="240" w:lineRule="auto"/>
              <w:ind w:left="360" w:right="0" w:firstLine="420" w:firstLineChars="0"/>
              <w:textAlignment w:val="auto"/>
              <w:rPr>
                <w:rFonts w:hint="eastAsia" w:ascii="Times New Roman" w:hAnsi="Times New Roman" w:eastAsia="MS Mincho" w:cs="Times New Roman"/>
                <w:szCs w:val="21"/>
                <w:lang w:val="en-GB" w:eastAsia="ja-JP" w:bidi="ar-SA"/>
              </w:rPr>
            </w:pPr>
            <w:r>
              <w:rPr>
                <w:rFonts w:hint="eastAsia" w:ascii="Times New Roman" w:hAnsi="Times New Roman" w:eastAsia="MS Mincho" w:cs="Times New Roman"/>
                <w:szCs w:val="21"/>
                <w:lang w:val="en-GB" w:eastAsia="ja-JP" w:bidi="ar-SA"/>
              </w:rPr>
              <w:t>In RRC re-establishment requirements, for case where the SMTC for the inter-frequency carrier is not provided, the value of TSMTC,i is assumed to be 160ms:</w:t>
            </w:r>
          </w:p>
          <w:p w14:paraId="7302B603">
            <w:pPr>
              <w:keepNext w:val="0"/>
              <w:keepLines w:val="0"/>
              <w:widowControl/>
              <w:numPr>
                <w:ilvl w:val="1"/>
                <w:numId w:val="4"/>
              </w:numPr>
              <w:suppressLineNumbers w:val="0"/>
              <w:snapToGrid w:val="0"/>
              <w:spacing w:before="0" w:beforeAutospacing="0" w:after="120" w:afterAutospacing="0" w:line="240" w:lineRule="auto"/>
              <w:ind w:left="1080" w:right="0" w:hanging="284"/>
              <w:rPr>
                <w:rFonts w:hint="eastAsia" w:ascii="Times New Roman" w:hAnsi="Times New Roman" w:eastAsia="宋体" w:cs="Times New Roman"/>
                <w:sz w:val="21"/>
                <w:szCs w:val="21"/>
                <w:lang w:val="en-GB" w:eastAsia="ja-JP" w:bidi="ar-SA"/>
              </w:rPr>
            </w:pPr>
            <w:r>
              <w:rPr>
                <w:rFonts w:hint="eastAsia" w:ascii="Times New Roman" w:hAnsi="Times New Roman" w:eastAsia="宋体" w:cs="Times New Roman"/>
                <w:sz w:val="21"/>
                <w:szCs w:val="21"/>
                <w:lang w:val="en-GB" w:eastAsia="ja-JP" w:bidi="ar-SA"/>
              </w:rPr>
              <w:t>Discuss the applicability of the requirement for with the updated value of TSMTC,i to 160ms after the related RAN1/2 agreement.</w:t>
            </w:r>
          </w:p>
          <w:p w14:paraId="1D0988D8">
            <w:pPr>
              <w:keepNext w:val="0"/>
              <w:keepLines w:val="0"/>
              <w:widowControl/>
              <w:suppressLineNumbers w:val="0"/>
              <w:snapToGrid w:val="0"/>
              <w:spacing w:before="0" w:beforeAutospacing="0" w:after="120" w:afterAutospacing="0" w:line="240" w:lineRule="auto"/>
              <w:ind w:left="0" w:right="0"/>
              <w:rPr>
                <w:rFonts w:hint="eastAsia" w:ascii="Times New Roman" w:hAnsi="Times New Roman" w:eastAsia="宋体" w:cs="Times New Roman"/>
                <w:kern w:val="0"/>
                <w:sz w:val="20"/>
                <w:szCs w:val="21"/>
                <w:lang w:val="en-GB" w:eastAsia="ja-JP"/>
              </w:rPr>
            </w:pPr>
          </w:p>
          <w:p w14:paraId="64B7AAB9">
            <w:pPr>
              <w:keepNext w:val="0"/>
              <w:keepLines w:val="0"/>
              <w:widowControl/>
              <w:suppressLineNumbers w:val="0"/>
              <w:spacing w:before="0" w:beforeAutospacing="0" w:after="180" w:afterAutospacing="0" w:line="276" w:lineRule="auto"/>
              <w:ind w:left="0" w:right="0" w:firstLine="0"/>
              <w:rPr>
                <w:rFonts w:hint="eastAsia" w:ascii="Times New Roman" w:hAnsi="Times New Roman" w:eastAsia="宋体" w:cs="Times New Roman"/>
                <w:lang w:val="en-GB" w:eastAsia="ja-JP" w:bidi="ar-SA"/>
              </w:rPr>
            </w:pPr>
            <w:r>
              <w:rPr>
                <w:rFonts w:hint="eastAsia" w:ascii="Times New Roman" w:hAnsi="Times New Roman" w:eastAsia="宋体" w:cs="Times New Roman"/>
                <w:highlight w:val="yellow"/>
                <w:lang w:val="en-GB" w:eastAsia="ja-JP" w:bidi="ar-SA"/>
              </w:rPr>
              <w:t>FFS:</w:t>
            </w:r>
            <w:r>
              <w:rPr>
                <w:rFonts w:hint="eastAsia" w:ascii="Times New Roman" w:hAnsi="Times New Roman" w:eastAsia="宋体" w:cs="Times New Roman"/>
                <w:lang w:val="en-GB" w:eastAsia="ja-JP" w:bidi="ar-SA"/>
              </w:rPr>
              <w:t xml:space="preserve"> Wait for RAN2 progress and discuss the following</w:t>
            </w:r>
          </w:p>
          <w:p w14:paraId="480ECCBB">
            <w:pPr>
              <w:keepNext w:val="0"/>
              <w:keepLines w:val="0"/>
              <w:widowControl/>
              <w:numPr>
                <w:ilvl w:val="0"/>
                <w:numId w:val="4"/>
              </w:numPr>
              <w:suppressLineNumbers w:val="0"/>
              <w:spacing w:before="0" w:beforeAutospacing="0" w:after="180" w:afterAutospacing="0" w:line="276" w:lineRule="auto"/>
              <w:ind w:left="360" w:right="0" w:hanging="284"/>
              <w:rPr>
                <w:rFonts w:hint="eastAsia" w:ascii="Times New Roman" w:hAnsi="Times New Roman" w:eastAsia="宋体" w:cs="Times New Roman"/>
                <w:kern w:val="0"/>
                <w:sz w:val="20"/>
                <w:szCs w:val="21"/>
                <w:lang w:val="en-GB" w:eastAsia="ja-JP"/>
              </w:rPr>
            </w:pPr>
            <w:r>
              <w:rPr>
                <w:rFonts w:hint="eastAsia" w:ascii="Times New Roman" w:hAnsi="Times New Roman" w:eastAsia="宋体" w:cs="Times New Roman"/>
                <w:lang w:val="en-GB" w:eastAsia="ja-JP" w:bidi="ar-SA"/>
              </w:rPr>
              <w:t>The requirements for intra-frequency and inter-frequency RRC re-establishment are applicable provided that the configured SMTC period is not shorter than the periodicity of the actual SSB transmission of the target cell.</w:t>
            </w:r>
          </w:p>
          <w:p w14:paraId="53C34352">
            <w:pPr>
              <w:keepNext w:val="0"/>
              <w:keepLines w:val="0"/>
              <w:widowControl/>
              <w:suppressLineNumbers w:val="0"/>
              <w:spacing w:before="0" w:beforeAutospacing="0" w:after="180" w:afterAutospacing="0" w:line="276" w:lineRule="auto"/>
              <w:ind w:left="0" w:right="0"/>
              <w:outlineLvl w:val="1"/>
              <w:rPr>
                <w:rFonts w:hint="eastAsia" w:ascii="Times New Roman" w:hAnsi="Times New Roman" w:eastAsia="宋体" w:cs="Times New Roman"/>
                <w:b/>
                <w:bCs/>
                <w:kern w:val="0"/>
                <w:sz w:val="20"/>
                <w:szCs w:val="20"/>
                <w:u w:val="single"/>
                <w:lang w:val="en-US" w:eastAsia="zh-CN"/>
              </w:rPr>
            </w:pPr>
            <w:r>
              <w:rPr>
                <w:rFonts w:hint="eastAsia" w:ascii="Times New Roman" w:hAnsi="Times New Roman" w:eastAsia="宋体" w:cs="Times New Roman"/>
                <w:b/>
                <w:kern w:val="0"/>
                <w:sz w:val="20"/>
                <w:szCs w:val="20"/>
                <w:u w:val="single"/>
                <w:lang w:val="en-GB" w:eastAsia="ko-KR"/>
              </w:rPr>
              <w:t xml:space="preserve">Issue 1-2-B: </w:t>
            </w:r>
            <w:r>
              <w:rPr>
                <w:rFonts w:hint="eastAsia" w:ascii="Times New Roman" w:hAnsi="Times New Roman" w:eastAsia="宋体" w:cs="Times New Roman"/>
                <w:b/>
                <w:bCs/>
                <w:kern w:val="0"/>
                <w:sz w:val="20"/>
                <w:szCs w:val="20"/>
                <w:u w:val="single"/>
                <w:lang w:val="en-US" w:eastAsia="zh-CN"/>
              </w:rPr>
              <w:t>RRC Re-establishment (</w:t>
            </w:r>
            <w:r>
              <w:rPr>
                <w:rFonts w:hint="eastAsia" w:ascii="Times New Roman" w:hAnsi="Times New Roman" w:eastAsia="宋体" w:cs="Times New Roman"/>
                <w:b/>
                <w:bCs/>
                <w:kern w:val="0"/>
                <w:sz w:val="20"/>
                <w:szCs w:val="20"/>
                <w:u w:val="single"/>
                <w:lang w:val="en-GB" w:eastAsia="zh-CN"/>
              </w:rPr>
              <w:t>SSB Ês/Iot &lt; -8dB and SSB periodicity &gt;20 ms</w:t>
            </w:r>
            <w:r>
              <w:rPr>
                <w:rFonts w:hint="eastAsia" w:ascii="Times New Roman" w:hAnsi="Times New Roman" w:eastAsia="宋体" w:cs="Times New Roman"/>
                <w:b/>
                <w:bCs/>
                <w:kern w:val="0"/>
                <w:sz w:val="20"/>
                <w:szCs w:val="20"/>
                <w:u w:val="single"/>
                <w:lang w:val="en-US" w:eastAsia="zh-CN"/>
              </w:rPr>
              <w:t>)</w:t>
            </w:r>
          </w:p>
          <w:p w14:paraId="5F81056A">
            <w:pPr>
              <w:keepNext w:val="0"/>
              <w:keepLines w:val="0"/>
              <w:widowControl/>
              <w:suppressLineNumbers w:val="0"/>
              <w:spacing w:before="0" w:beforeAutospacing="0" w:after="120" w:afterAutospacing="0" w:line="252" w:lineRule="auto"/>
              <w:ind w:left="0" w:right="0"/>
              <w:rPr>
                <w:rFonts w:hint="eastAsia" w:ascii="Times New Roman" w:hAnsi="Times New Roman" w:eastAsia="Malgun Gothic" w:cs="Times New Roman"/>
                <w:b/>
                <w:bCs/>
                <w:kern w:val="0"/>
                <w:sz w:val="20"/>
                <w:szCs w:val="20"/>
                <w:lang w:val="en-GB" w:eastAsia="ko-KR"/>
              </w:rPr>
            </w:pPr>
            <w:r>
              <w:rPr>
                <w:rFonts w:hint="eastAsia" w:ascii="Times New Roman" w:hAnsi="Times New Roman" w:eastAsia="Malgun Gothic" w:cs="Times New Roman"/>
                <w:b/>
                <w:bCs/>
                <w:kern w:val="0"/>
                <w:sz w:val="20"/>
                <w:szCs w:val="20"/>
                <w:highlight w:val="green"/>
                <w:lang w:val="en-GB" w:eastAsia="ko-KR"/>
              </w:rPr>
              <w:t>Agreement (online):</w:t>
            </w:r>
          </w:p>
          <w:p w14:paraId="4A055E18">
            <w:pPr>
              <w:keepNext w:val="0"/>
              <w:keepLines w:val="0"/>
              <w:widowControl/>
              <w:numPr>
                <w:ilvl w:val="0"/>
                <w:numId w:val="4"/>
              </w:numPr>
              <w:suppressLineNumbers w:val="0"/>
              <w:overflowPunct/>
              <w:autoSpaceDE/>
              <w:autoSpaceDN/>
              <w:adjustRightInd/>
              <w:snapToGrid w:val="0"/>
              <w:spacing w:before="0" w:beforeAutospacing="0" w:after="120" w:afterAutospacing="0" w:line="240" w:lineRule="auto"/>
              <w:ind w:left="360" w:right="0" w:firstLine="420" w:firstLineChars="0"/>
              <w:textAlignment w:val="auto"/>
              <w:rPr>
                <w:rFonts w:hint="eastAsia" w:ascii="Times New Roman" w:hAnsi="Times New Roman" w:eastAsia="MS Mincho" w:cs="Times New Roman"/>
                <w:szCs w:val="21"/>
                <w:lang w:val="en-GB" w:eastAsia="ja-JP" w:bidi="ar-SA"/>
              </w:rPr>
            </w:pPr>
            <w:r>
              <w:rPr>
                <w:rFonts w:hint="eastAsia" w:ascii="Times New Roman" w:hAnsi="Times New Roman" w:eastAsia="MS Mincho" w:cs="Times New Roman"/>
                <w:szCs w:val="21"/>
                <w:lang w:val="en-GB" w:eastAsia="ja-JP" w:bidi="ar-SA"/>
              </w:rPr>
              <w:t>In RRC re-establishment requirements, for the case SSB Ês/Iot &lt; -8dB and unknown NR cell,</w:t>
            </w:r>
          </w:p>
          <w:p w14:paraId="6CF2D3E3">
            <w:pPr>
              <w:keepNext w:val="0"/>
              <w:keepLines w:val="0"/>
              <w:widowControl/>
              <w:numPr>
                <w:ilvl w:val="1"/>
                <w:numId w:val="4"/>
              </w:numPr>
              <w:suppressLineNumbers w:val="0"/>
              <w:snapToGrid w:val="0"/>
              <w:spacing w:before="0" w:beforeAutospacing="0" w:after="120" w:afterAutospacing="0" w:line="240" w:lineRule="auto"/>
              <w:ind w:left="1080" w:right="0" w:hanging="284"/>
              <w:rPr>
                <w:rFonts w:hint="eastAsia" w:ascii="Times New Roman" w:hAnsi="Times New Roman" w:eastAsia="宋体" w:cs="Times New Roman"/>
                <w:sz w:val="21"/>
                <w:szCs w:val="21"/>
                <w:lang w:val="en-GB" w:eastAsia="ja-JP" w:bidi="ar-SA"/>
              </w:rPr>
            </w:pPr>
            <w:r>
              <w:rPr>
                <w:rFonts w:hint="eastAsia" w:ascii="Times New Roman" w:hAnsi="Times New Roman" w:eastAsia="宋体" w:cs="Times New Roman"/>
                <w:sz w:val="21"/>
                <w:szCs w:val="21"/>
                <w:lang w:val="en-GB" w:eastAsia="ja-JP" w:bidi="ar-SA"/>
              </w:rPr>
              <w:t>Make the following updates</w:t>
            </w:r>
          </w:p>
          <w:p w14:paraId="53205B0E">
            <w:pPr>
              <w:keepNext w:val="0"/>
              <w:keepLines w:val="0"/>
              <w:widowControl/>
              <w:numPr>
                <w:ilvl w:val="2"/>
                <w:numId w:val="4"/>
              </w:numPr>
              <w:suppressLineNumbers w:val="0"/>
              <w:snapToGrid w:val="0"/>
              <w:spacing w:before="0" w:beforeAutospacing="0" w:after="120" w:afterAutospacing="0" w:line="240" w:lineRule="auto"/>
              <w:ind w:left="1800" w:right="0" w:hanging="284"/>
              <w:rPr>
                <w:rFonts w:hint="eastAsia" w:ascii="Times New Roman" w:hAnsi="Times New Roman" w:eastAsia="宋体" w:cs="Times New Roman"/>
                <w:sz w:val="21"/>
                <w:szCs w:val="21"/>
                <w:lang w:val="en-GB" w:eastAsia="ja-JP" w:bidi="ar-SA"/>
              </w:rPr>
            </w:pPr>
            <w:r>
              <w:rPr>
                <w:rFonts w:hint="eastAsia" w:ascii="Times New Roman" w:hAnsi="Times New Roman" w:eastAsia="宋体" w:cs="Times New Roman"/>
                <w:sz w:val="21"/>
                <w:szCs w:val="21"/>
                <w:lang w:val="en-GB" w:eastAsia="ja-JP" w:bidi="ar-SA"/>
              </w:rPr>
              <w:t xml:space="preserve">Remove Note 1 in Table 6.2C.1.2.1-1 and Table 6.2C.1.2.1-2 for the applicable scenarios, and the value of TSMTC and TSMTC,i is FFS </w:t>
            </w:r>
          </w:p>
          <w:p w14:paraId="209E6B1F">
            <w:pPr>
              <w:keepNext w:val="0"/>
              <w:keepLines w:val="0"/>
              <w:widowControl/>
              <w:numPr>
                <w:ilvl w:val="2"/>
                <w:numId w:val="4"/>
              </w:numPr>
              <w:suppressLineNumbers w:val="0"/>
              <w:snapToGrid w:val="0"/>
              <w:spacing w:before="0" w:beforeAutospacing="0" w:after="120" w:afterAutospacing="0" w:line="240" w:lineRule="auto"/>
              <w:ind w:left="1800" w:right="0" w:hanging="284"/>
              <w:rPr>
                <w:rFonts w:hint="eastAsia" w:ascii="Times New Roman" w:hAnsi="Times New Roman" w:eastAsia="宋体" w:cs="Times New Roman"/>
                <w:sz w:val="21"/>
                <w:szCs w:val="21"/>
                <w:lang w:val="en-GB" w:eastAsia="ja-JP" w:bidi="ar-SA"/>
              </w:rPr>
            </w:pPr>
            <w:r>
              <w:rPr>
                <w:rFonts w:hint="eastAsia" w:ascii="Times New Roman" w:hAnsi="Times New Roman" w:eastAsia="宋体" w:cs="Times New Roman"/>
                <w:sz w:val="21"/>
                <w:szCs w:val="21"/>
                <w:lang w:val="en-GB" w:eastAsia="ja-JP" w:bidi="ar-SA"/>
              </w:rPr>
              <w:t>Tidentify_intra_NR: MAX (800 ms, [22] x TSMTC) for intra-frequency carrier</w:t>
            </w:r>
          </w:p>
          <w:p w14:paraId="44C01FC0">
            <w:pPr>
              <w:keepNext w:val="0"/>
              <w:keepLines w:val="0"/>
              <w:widowControl/>
              <w:numPr>
                <w:ilvl w:val="2"/>
                <w:numId w:val="4"/>
              </w:numPr>
              <w:suppressLineNumbers w:val="0"/>
              <w:snapToGrid w:val="0"/>
              <w:spacing w:before="0" w:beforeAutospacing="0" w:after="120" w:afterAutospacing="0" w:line="240" w:lineRule="auto"/>
              <w:ind w:left="1800" w:right="0" w:hanging="284"/>
              <w:rPr>
                <w:rFonts w:hint="eastAsia" w:ascii="Times New Roman" w:hAnsi="Times New Roman" w:eastAsia="宋体" w:cs="Times New Roman"/>
                <w:kern w:val="0"/>
                <w:sz w:val="20"/>
                <w:szCs w:val="20"/>
                <w:lang w:val="en-GB" w:eastAsia="ja-JP"/>
              </w:rPr>
            </w:pPr>
            <w:r>
              <w:rPr>
                <w:rFonts w:hint="eastAsia" w:ascii="Times New Roman" w:hAnsi="Times New Roman" w:eastAsia="宋体" w:cs="Times New Roman"/>
                <w:sz w:val="21"/>
                <w:szCs w:val="21"/>
                <w:lang w:val="en-GB" w:eastAsia="ja-JP" w:bidi="ar-SA"/>
              </w:rPr>
              <w:t>Tidentify_inter_NR,i: MAX (800 ms, [22] x TSMTC,i) for inter-frequency carrier</w:t>
            </w:r>
          </w:p>
          <w:p w14:paraId="2A3310CE">
            <w:pPr>
              <w:keepNext w:val="0"/>
              <w:keepLines w:val="0"/>
              <w:widowControl/>
              <w:suppressLineNumbers w:val="0"/>
              <w:spacing w:before="0" w:beforeAutospacing="0" w:after="180" w:afterAutospacing="0" w:line="276" w:lineRule="auto"/>
              <w:ind w:left="0" w:right="0"/>
              <w:outlineLvl w:val="1"/>
              <w:rPr>
                <w:rFonts w:hint="eastAsia" w:ascii="Times New Roman" w:hAnsi="Times New Roman" w:eastAsia="宋体" w:cs="Times New Roman"/>
                <w:b/>
                <w:bCs/>
                <w:kern w:val="0"/>
                <w:sz w:val="20"/>
                <w:szCs w:val="20"/>
                <w:u w:val="single"/>
                <w:lang w:val="en-US" w:eastAsia="zh-CN"/>
              </w:rPr>
            </w:pPr>
            <w:r>
              <w:rPr>
                <w:rFonts w:hint="eastAsia" w:ascii="Times New Roman" w:hAnsi="Times New Roman" w:eastAsia="宋体" w:cs="Times New Roman"/>
                <w:b/>
                <w:kern w:val="0"/>
                <w:sz w:val="20"/>
                <w:szCs w:val="20"/>
                <w:u w:val="single"/>
                <w:lang w:val="en-GB" w:eastAsia="ko-KR"/>
              </w:rPr>
              <w:t xml:space="preserve">Issue 1-5: </w:t>
            </w:r>
            <w:r>
              <w:rPr>
                <w:rFonts w:hint="eastAsia" w:ascii="Times New Roman" w:hAnsi="Times New Roman" w:eastAsia="宋体" w:cs="Times New Roman"/>
                <w:b/>
                <w:bCs/>
                <w:kern w:val="0"/>
                <w:sz w:val="20"/>
                <w:szCs w:val="20"/>
                <w:u w:val="single"/>
                <w:lang w:val="en-US" w:eastAsia="zh-CN"/>
              </w:rPr>
              <w:t>Paging</w:t>
            </w:r>
          </w:p>
          <w:p w14:paraId="34654E7F">
            <w:pPr>
              <w:keepNext w:val="0"/>
              <w:keepLines w:val="0"/>
              <w:widowControl/>
              <w:suppressLineNumbers w:val="0"/>
              <w:spacing w:before="0" w:beforeAutospacing="0" w:after="120" w:afterAutospacing="0" w:line="252" w:lineRule="auto"/>
              <w:ind w:left="0" w:right="0"/>
              <w:rPr>
                <w:rFonts w:hint="eastAsia" w:ascii="Times New Roman" w:hAnsi="Times New Roman" w:eastAsia="Malgun Gothic" w:cs="Times New Roman"/>
                <w:b/>
                <w:bCs/>
                <w:kern w:val="0"/>
                <w:sz w:val="20"/>
                <w:szCs w:val="20"/>
                <w:lang w:val="en-GB" w:eastAsia="ko-KR"/>
              </w:rPr>
            </w:pPr>
            <w:r>
              <w:rPr>
                <w:rFonts w:hint="eastAsia" w:ascii="Times New Roman" w:hAnsi="Times New Roman" w:eastAsia="Malgun Gothic" w:cs="Times New Roman"/>
                <w:b/>
                <w:bCs/>
                <w:kern w:val="0"/>
                <w:sz w:val="20"/>
                <w:szCs w:val="20"/>
                <w:highlight w:val="yellow"/>
                <w:lang w:val="en-GB" w:eastAsia="ko-KR"/>
              </w:rPr>
              <w:t>Further discussion:</w:t>
            </w:r>
          </w:p>
          <w:p w14:paraId="473CE932">
            <w:pPr>
              <w:keepNext w:val="0"/>
              <w:keepLines w:val="0"/>
              <w:widowControl/>
              <w:numPr>
                <w:ilvl w:val="0"/>
                <w:numId w:val="4"/>
              </w:numPr>
              <w:suppressLineNumbers w:val="0"/>
              <w:spacing w:before="0" w:beforeAutospacing="0" w:after="180" w:afterAutospacing="0" w:line="276" w:lineRule="auto"/>
              <w:ind w:left="360" w:right="0" w:hanging="284"/>
              <w:rPr>
                <w:rFonts w:hint="eastAsia" w:ascii="Times New Roman" w:hAnsi="Times New Roman" w:eastAsia="宋体" w:cs="Times New Roman"/>
                <w:lang w:val="en-GB" w:eastAsia="ja-JP" w:bidi="ar-SA"/>
              </w:rPr>
            </w:pPr>
            <w:r>
              <w:rPr>
                <w:rFonts w:hint="eastAsia" w:ascii="Times New Roman" w:hAnsi="Times New Roman" w:eastAsia="宋体" w:cs="Times New Roman"/>
                <w:lang w:val="en-GB" w:eastAsia="ja-JP" w:bidi="ar-SA"/>
              </w:rPr>
              <w:t>For the paging interruption requirements for NGSO scenarios when the SSB periods is equal to 160 ms:</w:t>
            </w:r>
          </w:p>
          <w:p w14:paraId="7F3AC2F1">
            <w:pPr>
              <w:keepNext w:val="0"/>
              <w:keepLines w:val="0"/>
              <w:widowControl/>
              <w:numPr>
                <w:ilvl w:val="1"/>
                <w:numId w:val="4"/>
              </w:numPr>
              <w:suppressLineNumbers w:val="0"/>
              <w:spacing w:before="0" w:beforeAutospacing="0" w:after="180" w:afterAutospacing="0" w:line="276" w:lineRule="auto"/>
              <w:ind w:left="1080" w:right="0" w:hanging="284"/>
              <w:rPr>
                <w:rFonts w:hint="eastAsia" w:ascii="Times New Roman" w:hAnsi="Times New Roman" w:eastAsia="等线" w:cs="Times New Roman"/>
                <w:sz w:val="21"/>
                <w:szCs w:val="21"/>
                <w:vertAlign w:val="baseline"/>
                <w:lang w:val="en-US" w:eastAsia="zh-CN"/>
              </w:rPr>
            </w:pPr>
            <w:r>
              <w:rPr>
                <w:rFonts w:hint="eastAsia" w:ascii="Times New Roman" w:hAnsi="Times New Roman" w:eastAsia="宋体" w:cs="Times New Roman"/>
                <w:lang w:val="en-GB" w:eastAsia="ja-JP" w:bidi="ar-SA"/>
              </w:rPr>
              <w:t>No update is needed, and K is 5.</w:t>
            </w:r>
          </w:p>
        </w:tc>
      </w:tr>
    </w:tbl>
    <w:p w14:paraId="7EE4E291">
      <w:pPr>
        <w:numPr>
          <w:ilvl w:val="0"/>
          <w:numId w:val="9"/>
        </w:numPr>
        <w:spacing w:before="120" w:beforeLines="50" w:after="120" w:afterLines="50"/>
        <w:ind w:left="420" w:leftChars="0" w:hanging="420" w:firstLineChars="0"/>
        <w:rPr>
          <w:rFonts w:hint="eastAsia" w:ascii="Times New Roman" w:hAnsi="Times New Roman" w:eastAsia="等线" w:cs="Times New Roman"/>
          <w:sz w:val="21"/>
          <w:szCs w:val="21"/>
          <w:lang w:val="en-US" w:eastAsia="zh-CN"/>
        </w:rPr>
      </w:pPr>
      <w:r>
        <w:rPr>
          <w:rFonts w:ascii="Times New Roman" w:hAnsi="Times New Roman" w:eastAsia="Malgun Gothic" w:cs="Times New Roman"/>
          <w:szCs w:val="21"/>
          <w:lang w:val="en-GB" w:eastAsia="ko-KR" w:bidi="ar-SA"/>
        </w:rPr>
        <w:t>Paging interruption in RRC Idle/Inactive</w:t>
      </w:r>
      <w:r>
        <w:rPr>
          <w:rFonts w:hint="eastAsia" w:ascii="Times New Roman" w:hAnsi="Times New Roman" w:eastAsia="等线" w:cs="Times New Roman"/>
          <w:sz w:val="21"/>
          <w:szCs w:val="21"/>
          <w:lang w:val="en-US" w:eastAsia="zh-CN"/>
        </w:rPr>
        <w:t>:</w:t>
      </w:r>
    </w:p>
    <w:p w14:paraId="2E5C321A">
      <w:pPr>
        <w:numPr>
          <w:ilvl w:val="0"/>
          <w:numId w:val="0"/>
        </w:numPr>
        <w:spacing w:before="120" w:beforeLines="50" w:after="120" w:afterLines="50"/>
        <w:ind w:leftChars="0"/>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In last meeting, some companies propose to reduce the value of K used in the paging interruption requirements. The main concern is on the case K=5 that the total interruption time could be very long consider the SSB periodicity of 160ms. However, we understand that the current requirement, which is defined based on SMTC periodicity, has already support the case SSB periodicity with 160ms. Furthermore, the K=5 only apply for the case that the target cell belongs to a different satellite than the current one and the target cell’s satellite is non-GEO. In this scenario, UE need the time to search the target cell as well as the time to do fine T/F tracking in the new serving cell. We understand the fine T/F tracking time is 2 SMTC periodicity, and the search time is 3 SMTC periodicity which take from Tsearch in HO for AGC settling and PSS/SSS detection. From our perspective, these are all reasonable components for UE implementation. So, we prefer not to reduce the value of factor K in 4.2C.2.5.</w:t>
      </w:r>
    </w:p>
    <w:p w14:paraId="02430402">
      <w:pPr>
        <w:numPr>
          <w:ilvl w:val="0"/>
          <w:numId w:val="0"/>
        </w:numPr>
        <w:spacing w:before="120" w:beforeLines="50" w:after="120" w:afterLines="50"/>
        <w:ind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6</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bCs w:val="0"/>
          <w:kern w:val="0"/>
          <w:sz w:val="21"/>
          <w:szCs w:val="21"/>
          <w:lang w:val="en-US" w:eastAsia="zh-CN"/>
        </w:rPr>
        <w:t xml:space="preserve"> </w:t>
      </w:r>
      <w:r>
        <w:rPr>
          <w:rFonts w:hint="eastAsia" w:ascii="Times New Roman" w:hAnsi="Times New Roman" w:eastAsia="宋体" w:cs="Times New Roman"/>
          <w:b/>
          <w:bCs w:val="0"/>
          <w:lang w:val="en-GB" w:eastAsia="ja-JP" w:bidi="ar-SA"/>
        </w:rPr>
        <w:t>For the paging interruption requirements for NGSO scenarios when the SSB periods is equal to 160 ms</w:t>
      </w:r>
      <w:r>
        <w:rPr>
          <w:rFonts w:hint="eastAsia" w:ascii="Times New Roman" w:hAnsi="Times New Roman" w:eastAsia="宋体" w:cs="Times New Roman"/>
          <w:b/>
          <w:bCs w:val="0"/>
          <w:lang w:val="en-US" w:eastAsia="zh-CN" w:bidi="ar-SA"/>
        </w:rPr>
        <w:t>, n</w:t>
      </w:r>
      <w:r>
        <w:rPr>
          <w:rFonts w:hint="eastAsia" w:ascii="Times New Roman" w:hAnsi="Times New Roman" w:eastAsia="宋体" w:cs="Times New Roman"/>
          <w:b/>
          <w:bCs w:val="0"/>
          <w:lang w:val="en-GB" w:eastAsia="ja-JP" w:bidi="ar-SA"/>
        </w:rPr>
        <w:t>o update is needed</w:t>
      </w:r>
      <w:r>
        <w:rPr>
          <w:rFonts w:hint="eastAsia" w:ascii="Times New Roman" w:hAnsi="Times New Roman" w:eastAsia="宋体" w:cs="Times New Roman"/>
          <w:b/>
          <w:bCs w:val="0"/>
          <w:lang w:val="en-US" w:eastAsia="zh-CN" w:bidi="ar-SA"/>
        </w:rPr>
        <w:t>.</w:t>
      </w:r>
    </w:p>
    <w:p w14:paraId="469C0202">
      <w:pPr>
        <w:pStyle w:val="28"/>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611AF419">
      <w:pPr>
        <w:numPr>
          <w:ilvl w:val="0"/>
          <w:numId w:val="0"/>
        </w:numPr>
        <w:spacing w:before="120" w:beforeLines="50" w:after="120" w:afterLines="50"/>
        <w:ind w:leftChars="0"/>
        <w:rPr>
          <w:rFonts w:hint="default" w:ascii="Times New Roman" w:hAnsi="Times New Roman" w:eastAsia="等线" w:cs="Times New Roman"/>
          <w:b/>
          <w:bCs/>
          <w:sz w:val="21"/>
          <w:szCs w:val="21"/>
          <w:lang w:val="en-US" w:eastAsia="zh-CN"/>
        </w:rPr>
      </w:pPr>
      <w:r>
        <w:rPr>
          <w:rFonts w:hint="eastAsia" w:ascii="Times New Roman" w:hAnsi="Times New Roman" w:eastAsia="等线" w:cs="Times New Roman"/>
          <w:b/>
          <w:bCs/>
          <w:sz w:val="21"/>
          <w:szCs w:val="21"/>
          <w:lang w:val="en-US" w:eastAsia="zh-CN"/>
        </w:rPr>
        <w:t xml:space="preserve">Observation </w:t>
      </w:r>
      <w:r>
        <w:rPr>
          <w:rFonts w:hint="eastAsia" w:ascii="Times New Roman" w:hAnsi="Times New Roman" w:eastAsia="等线" w:cs="Times New Roman"/>
          <w:b/>
          <w:bCs/>
          <w:sz w:val="21"/>
          <w:szCs w:val="21"/>
          <w:lang w:val="en-US" w:eastAsia="zh-CN"/>
        </w:rPr>
        <w:fldChar w:fldCharType="begin"/>
      </w:r>
      <w:r>
        <w:rPr>
          <w:rFonts w:hint="eastAsia" w:ascii="Times New Roman" w:hAnsi="Times New Roman" w:eastAsia="等线" w:cs="Times New Roman"/>
          <w:b/>
          <w:bCs/>
          <w:sz w:val="21"/>
          <w:szCs w:val="21"/>
          <w:lang w:val="en-US" w:eastAsia="zh-CN"/>
        </w:rPr>
        <w:instrText xml:space="preserve"> SEQ Observation \* MERGEFORMAT </w:instrText>
      </w:r>
      <w:r>
        <w:rPr>
          <w:rFonts w:hint="eastAsia" w:ascii="Times New Roman" w:hAnsi="Times New Roman" w:eastAsia="等线" w:cs="Times New Roman"/>
          <w:b/>
          <w:bCs/>
          <w:sz w:val="21"/>
          <w:szCs w:val="21"/>
          <w:lang w:val="en-US" w:eastAsia="zh-CN"/>
        </w:rPr>
        <w:fldChar w:fldCharType="separate"/>
      </w:r>
      <w:r>
        <w:rPr>
          <w:rFonts w:hint="eastAsia" w:ascii="Times New Roman" w:hAnsi="Times New Roman" w:eastAsia="等线" w:cs="Times New Roman"/>
          <w:b/>
          <w:bCs/>
          <w:sz w:val="21"/>
          <w:szCs w:val="21"/>
          <w:lang w:val="en-US" w:eastAsia="zh-CN"/>
        </w:rPr>
        <w:t>1</w:t>
      </w:r>
      <w:r>
        <w:rPr>
          <w:rFonts w:hint="eastAsia" w:ascii="Times New Roman" w:hAnsi="Times New Roman" w:eastAsia="等线" w:cs="Times New Roman"/>
          <w:b/>
          <w:bCs/>
          <w:sz w:val="21"/>
          <w:szCs w:val="21"/>
          <w:lang w:val="en-US" w:eastAsia="zh-CN"/>
        </w:rPr>
        <w:fldChar w:fldCharType="end"/>
      </w:r>
      <w:r>
        <w:rPr>
          <w:rFonts w:hint="eastAsia" w:ascii="Times New Roman" w:hAnsi="Times New Roman" w:eastAsia="等线" w:cs="Times New Roman"/>
          <w:b/>
          <w:bCs/>
          <w:sz w:val="21"/>
          <w:szCs w:val="21"/>
          <w:lang w:val="en-US" w:eastAsia="zh-CN"/>
        </w:rPr>
        <w:t>: For the case of dual SMTC configuration in RRC_CONNECTED mode, RAN4 specified the applicability condition to clarify the SMTC periodicity used in the related requirement.</w:t>
      </w:r>
    </w:p>
    <w:p w14:paraId="6EA8B522">
      <w:pPr>
        <w:numPr>
          <w:ilvl w:val="0"/>
          <w:numId w:val="0"/>
        </w:numPr>
        <w:spacing w:before="120" w:beforeLines="50" w:after="120" w:afterLines="50"/>
        <w:ind w:leftChars="0"/>
        <w:rPr>
          <w:rFonts w:hint="default" w:ascii="Times New Roman" w:hAnsi="Times New Roman" w:eastAsia="等线" w:cs="Times New Roman"/>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1</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To support the SMTC enhancements on two different SMTC periodicities configuration in RRC_CONNECTED mode, RAN4 to update the applicability conditions for SMTC taken the same principle for dual SMTC as baseline.</w:t>
      </w:r>
    </w:p>
    <w:p w14:paraId="0BEF4FB9">
      <w:pPr>
        <w:numPr>
          <w:ilvl w:val="0"/>
          <w:numId w:val="0"/>
        </w:numPr>
        <w:spacing w:before="120" w:beforeLines="50" w:after="120" w:afterLines="50"/>
        <w:ind w:leftChars="0"/>
        <w:rPr>
          <w:rFonts w:hint="eastAsia" w:ascii="Times New Roman" w:hAnsi="Times New Roman" w:eastAsia="等线" w:cs="Times New Roman"/>
          <w:b/>
          <w:bCs/>
          <w:sz w:val="21"/>
          <w:szCs w:val="21"/>
          <w:lang w:val="en-US" w:eastAsia="zh-CN"/>
        </w:rPr>
      </w:pPr>
      <w:r>
        <w:rPr>
          <w:rFonts w:hint="eastAsia" w:ascii="Times New Roman" w:hAnsi="Times New Roman" w:eastAsia="等线" w:cs="Times New Roman"/>
          <w:b/>
          <w:bCs/>
          <w:sz w:val="21"/>
          <w:szCs w:val="21"/>
          <w:lang w:val="en-US" w:eastAsia="zh-CN"/>
        </w:rPr>
        <w:t xml:space="preserve">Observation </w:t>
      </w:r>
      <w:r>
        <w:rPr>
          <w:rFonts w:hint="eastAsia" w:ascii="Times New Roman" w:hAnsi="Times New Roman" w:eastAsia="等线" w:cs="Times New Roman"/>
          <w:b/>
          <w:bCs/>
          <w:sz w:val="21"/>
          <w:szCs w:val="21"/>
          <w:lang w:val="en-US" w:eastAsia="zh-CN"/>
        </w:rPr>
        <w:fldChar w:fldCharType="begin"/>
      </w:r>
      <w:r>
        <w:rPr>
          <w:rFonts w:hint="eastAsia" w:ascii="Times New Roman" w:hAnsi="Times New Roman" w:eastAsia="等线" w:cs="Times New Roman"/>
          <w:b/>
          <w:bCs/>
          <w:sz w:val="21"/>
          <w:szCs w:val="21"/>
          <w:lang w:val="en-US" w:eastAsia="zh-CN"/>
        </w:rPr>
        <w:instrText xml:space="preserve"> SEQ Observation \* MERGEFORMAT </w:instrText>
      </w:r>
      <w:r>
        <w:rPr>
          <w:rFonts w:hint="eastAsia" w:ascii="Times New Roman" w:hAnsi="Times New Roman" w:eastAsia="等线" w:cs="Times New Roman"/>
          <w:b/>
          <w:bCs/>
          <w:sz w:val="21"/>
          <w:szCs w:val="21"/>
          <w:lang w:val="en-US" w:eastAsia="zh-CN"/>
        </w:rPr>
        <w:fldChar w:fldCharType="separate"/>
      </w:r>
      <w:r>
        <w:rPr>
          <w:rFonts w:hint="eastAsia" w:ascii="Times New Roman" w:hAnsi="Times New Roman" w:eastAsia="等线" w:cs="Times New Roman"/>
          <w:b/>
          <w:bCs/>
          <w:sz w:val="21"/>
          <w:szCs w:val="21"/>
          <w:lang w:val="en-US" w:eastAsia="zh-CN"/>
        </w:rPr>
        <w:t>2</w:t>
      </w:r>
      <w:r>
        <w:rPr>
          <w:rFonts w:hint="eastAsia" w:ascii="Times New Roman" w:hAnsi="Times New Roman" w:eastAsia="等线" w:cs="Times New Roman"/>
          <w:b/>
          <w:bCs/>
          <w:sz w:val="21"/>
          <w:szCs w:val="21"/>
          <w:lang w:val="en-US" w:eastAsia="zh-CN"/>
        </w:rPr>
        <w:fldChar w:fldCharType="end"/>
      </w:r>
      <w:r>
        <w:rPr>
          <w:rFonts w:hint="eastAsia" w:ascii="Times New Roman" w:hAnsi="Times New Roman" w:eastAsia="等线" w:cs="Times New Roman"/>
          <w:b/>
          <w:bCs/>
          <w:sz w:val="21"/>
          <w:szCs w:val="21"/>
          <w:lang w:val="en-US" w:eastAsia="zh-CN"/>
        </w:rPr>
        <w:t xml:space="preserve">: For the case of </w:t>
      </w:r>
      <w:r>
        <w:rPr>
          <w:rFonts w:hint="eastAsia" w:ascii="Times New Roman" w:hAnsi="Times New Roman" w:eastAsia="Times New Roman" w:cs="Times New Roman"/>
          <w:b/>
          <w:bCs/>
          <w:i/>
          <w:iCs/>
          <w:kern w:val="0"/>
          <w:sz w:val="21"/>
          <w:szCs w:val="21"/>
          <w:highlight w:val="none"/>
          <w:lang w:val="en-GB" w:eastAsia="en-US"/>
        </w:rPr>
        <w:t>smtc2-LP</w:t>
      </w:r>
      <w:r>
        <w:rPr>
          <w:rFonts w:hint="eastAsia" w:ascii="Times New Roman" w:hAnsi="Times New Roman" w:eastAsia="等线" w:cs="Times New Roman"/>
          <w:b/>
          <w:bCs/>
          <w:sz w:val="21"/>
          <w:szCs w:val="21"/>
          <w:lang w:val="en-US" w:eastAsia="zh-CN"/>
        </w:rPr>
        <w:t xml:space="preserve"> configuration in RRC_IDLE mode, RAN4 specified the applicability condition to clarify the SMTC periodicity used in the related requirement.</w:t>
      </w:r>
    </w:p>
    <w:p w14:paraId="74D93172">
      <w:pPr>
        <w:numPr>
          <w:ilvl w:val="0"/>
          <w:numId w:val="0"/>
        </w:numPr>
        <w:spacing w:before="120" w:beforeLines="50" w:after="120" w:afterLines="50"/>
        <w:ind w:leftChars="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2</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To support the SMTC enhancements on two different SMTC periodicities configuration </w:t>
      </w:r>
      <w:r>
        <w:rPr>
          <w:rFonts w:hint="eastAsia" w:ascii="Times New Roman" w:hAnsi="Times New Roman" w:eastAsia="等线" w:cs="Times New Roman"/>
          <w:b/>
          <w:bCs/>
          <w:sz w:val="21"/>
          <w:szCs w:val="21"/>
          <w:lang w:val="en-US" w:eastAsia="zh-CN"/>
        </w:rPr>
        <w:t>in RRC_IDLE/INACTIVE mode</w:t>
      </w:r>
      <w:r>
        <w:rPr>
          <w:rFonts w:hint="eastAsia" w:ascii="Times New Roman" w:hAnsi="Times New Roman" w:eastAsia="宋体" w:cs="Times New Roman"/>
          <w:b/>
          <w:kern w:val="0"/>
          <w:sz w:val="21"/>
          <w:szCs w:val="21"/>
          <w:lang w:val="en-US" w:eastAsia="zh-CN"/>
        </w:rPr>
        <w:t xml:space="preserve">, RAN4 to update the applicability conditions for SMTC taken the same principle for </w:t>
      </w:r>
      <w:r>
        <w:rPr>
          <w:rFonts w:hint="eastAsia" w:ascii="Times New Roman" w:hAnsi="Times New Roman" w:eastAsia="Times New Roman" w:cs="Times New Roman"/>
          <w:b/>
          <w:bCs/>
          <w:i/>
          <w:iCs/>
          <w:kern w:val="0"/>
          <w:sz w:val="21"/>
          <w:szCs w:val="21"/>
          <w:highlight w:val="none"/>
          <w:lang w:val="en-GB" w:eastAsia="en-US"/>
        </w:rPr>
        <w:t>smtc2-LP</w:t>
      </w:r>
      <w:r>
        <w:rPr>
          <w:rFonts w:hint="eastAsia" w:ascii="Times New Roman" w:hAnsi="Times New Roman" w:eastAsia="等线" w:cs="Times New Roman"/>
          <w:b/>
          <w:bCs/>
          <w:sz w:val="21"/>
          <w:szCs w:val="21"/>
          <w:lang w:val="en-US" w:eastAsia="zh-CN"/>
        </w:rPr>
        <w:t xml:space="preserve"> as baseline.</w:t>
      </w:r>
    </w:p>
    <w:p w14:paraId="085FD9E5">
      <w:pPr>
        <w:numPr>
          <w:ilvl w:val="0"/>
          <w:numId w:val="0"/>
        </w:numPr>
        <w:spacing w:before="120" w:beforeLines="50" w:after="120" w:afterLines="50"/>
        <w:ind w:leftChars="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3</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The current TS 38.133 has already cover the scenario when UE is configured more SMTCs than UE capability for RRC_IDLE/INACTIVE mode. </w:t>
      </w:r>
    </w:p>
    <w:p w14:paraId="5F465B87">
      <w:pPr>
        <w:numPr>
          <w:ilvl w:val="0"/>
          <w:numId w:val="0"/>
        </w:numPr>
        <w:spacing w:before="120" w:beforeLines="50" w:after="120" w:afterLines="50"/>
        <w:ind w:leftChars="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4</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RAN4 to confirm the feasibility to support the agreements on SMTC enhancements in Rel-19 timeframe</w:t>
      </w:r>
      <w:r>
        <w:rPr>
          <w:rFonts w:hint="eastAsia" w:ascii="Times New Roman" w:hAnsi="Times New Roman" w:eastAsia="宋体" w:cs="Times New Roman"/>
          <w:b/>
          <w:kern w:val="0"/>
          <w:sz w:val="21"/>
          <w:szCs w:val="21"/>
          <w:lang w:val="en-US" w:eastAsia="en-US"/>
        </w:rPr>
        <w:t>.</w:t>
      </w:r>
    </w:p>
    <w:p w14:paraId="7CA612C9">
      <w:pPr>
        <w:numPr>
          <w:ilvl w:val="0"/>
          <w:numId w:val="0"/>
        </w:numPr>
        <w:spacing w:before="120" w:beforeLines="50" w:after="120" w:afterLines="50"/>
        <w:ind w:leftChars="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5</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UEs supporting DL-CE feature in NR Rel-19 is not mandatory the support to 4 SMTCs per frequency layer.</w:t>
      </w:r>
    </w:p>
    <w:p w14:paraId="03F90C9B">
      <w:pPr>
        <w:numPr>
          <w:ilvl w:val="0"/>
          <w:numId w:val="0"/>
        </w:numPr>
        <w:spacing w:before="120" w:beforeLines="50" w:after="120" w:afterLines="50"/>
        <w:ind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6</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bCs w:val="0"/>
          <w:kern w:val="0"/>
          <w:sz w:val="21"/>
          <w:szCs w:val="21"/>
          <w:lang w:val="en-US" w:eastAsia="zh-CN"/>
        </w:rPr>
        <w:t xml:space="preserve"> </w:t>
      </w:r>
      <w:r>
        <w:rPr>
          <w:rFonts w:hint="eastAsia" w:ascii="Times New Roman" w:hAnsi="Times New Roman" w:eastAsia="宋体" w:cs="Times New Roman"/>
          <w:b/>
          <w:bCs w:val="0"/>
          <w:lang w:val="en-GB" w:eastAsia="ja-JP" w:bidi="ar-SA"/>
        </w:rPr>
        <w:t>For the paging interruption requirements for NGSO scenarios when the SSB periods is equal to 160 ms</w:t>
      </w:r>
      <w:r>
        <w:rPr>
          <w:rFonts w:hint="eastAsia" w:ascii="Times New Roman" w:hAnsi="Times New Roman" w:eastAsia="宋体" w:cs="Times New Roman"/>
          <w:b/>
          <w:bCs w:val="0"/>
          <w:lang w:val="en-US" w:eastAsia="zh-CN" w:bidi="ar-SA"/>
        </w:rPr>
        <w:t>, n</w:t>
      </w:r>
      <w:r>
        <w:rPr>
          <w:rFonts w:hint="eastAsia" w:ascii="Times New Roman" w:hAnsi="Times New Roman" w:eastAsia="宋体" w:cs="Times New Roman"/>
          <w:b/>
          <w:bCs w:val="0"/>
          <w:lang w:val="en-GB" w:eastAsia="ja-JP" w:bidi="ar-SA"/>
        </w:rPr>
        <w:t>o update is needed</w:t>
      </w:r>
      <w:r>
        <w:rPr>
          <w:rFonts w:hint="eastAsia" w:ascii="Times New Roman" w:hAnsi="Times New Roman" w:eastAsia="宋体" w:cs="Times New Roman"/>
          <w:b/>
          <w:bCs w:val="0"/>
          <w:lang w:val="en-US" w:eastAsia="zh-CN" w:bidi="ar-SA"/>
        </w:rPr>
        <w:t>.</w:t>
      </w:r>
    </w:p>
    <w:p w14:paraId="5DC3896F">
      <w:pPr>
        <w:spacing w:before="120" w:beforeLines="50" w:after="120" w:afterLines="50"/>
        <w:rPr>
          <w:rFonts w:hint="eastAsia" w:ascii="Times New Roman" w:hAnsi="Times New Roman" w:eastAsia="宋体" w:cs="Times New Roman"/>
          <w:b/>
          <w:kern w:val="0"/>
          <w:sz w:val="21"/>
          <w:szCs w:val="21"/>
          <w:lang w:val="en-US" w:eastAsia="zh-CN"/>
        </w:rPr>
      </w:pPr>
    </w:p>
    <w:p w14:paraId="280A812A">
      <w:pPr>
        <w:pStyle w:val="28"/>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5A3D1D58">
      <w:pPr>
        <w:numPr>
          <w:ilvl w:val="0"/>
          <w:numId w:val="10"/>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US" w:eastAsia="zh-CN"/>
        </w:rPr>
        <w:t xml:space="preserve">R4-2504913, </w:t>
      </w:r>
      <w:r>
        <w:rPr>
          <w:rFonts w:hint="eastAsia" w:ascii="Times New Roman" w:hAnsi="Times New Roman" w:eastAsia="宋体" w:cs="Times New Roman"/>
          <w:kern w:val="0"/>
          <w:sz w:val="20"/>
          <w:szCs w:val="20"/>
          <w:lang w:val="en-GB"/>
        </w:rPr>
        <w:t>WF on RRM requirements for NR_NTN_Ph3_Part2</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Qualcomm</w:t>
      </w:r>
    </w:p>
    <w:p w14:paraId="4662847D">
      <w:pPr>
        <w:numPr>
          <w:ilvl w:val="0"/>
          <w:numId w:val="10"/>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R2-2503068</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LS on SMTC enhancements</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RAN2</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v4.2.0">
    <w:altName w:val="Times New Roman"/>
    <w:panose1 w:val="020B0604020202020204"/>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DF9720"/>
    <w:multiLevelType w:val="singleLevel"/>
    <w:tmpl w:val="96DF9720"/>
    <w:lvl w:ilvl="0" w:tentative="0">
      <w:start w:val="1"/>
      <w:numFmt w:val="decimal"/>
      <w:lvlText w:val="%1."/>
      <w:lvlJc w:val="left"/>
      <w:pPr>
        <w:ind w:left="425" w:hanging="425"/>
      </w:pPr>
      <w:rPr>
        <w:rFonts w:hint="default"/>
      </w:rPr>
    </w:lvl>
  </w:abstractNum>
  <w:abstractNum w:abstractNumId="1">
    <w:nsid w:val="FF2B8B3E"/>
    <w:multiLevelType w:val="singleLevel"/>
    <w:tmpl w:val="FF2B8B3E"/>
    <w:lvl w:ilvl="0" w:tentative="0">
      <w:start w:val="1"/>
      <w:numFmt w:val="bullet"/>
      <w:lvlText w:val=""/>
      <w:lvlJc w:val="left"/>
      <w:pPr>
        <w:ind w:left="420" w:hanging="420"/>
      </w:pPr>
      <w:rPr>
        <w:rFonts w:hint="default" w:ascii="Wingdings" w:hAnsi="Wingdings"/>
      </w:rPr>
    </w:lvl>
  </w:abstractNum>
  <w:abstractNum w:abstractNumId="2">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2AF0326"/>
    <w:multiLevelType w:val="multilevel"/>
    <w:tmpl w:val="42AF0326"/>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D6E3167"/>
    <w:multiLevelType w:val="multilevel"/>
    <w:tmpl w:val="4D6E3167"/>
    <w:lvl w:ilvl="0" w:tentative="0">
      <w:start w:val="1"/>
      <w:numFmt w:val="decimal"/>
      <w:pStyle w:val="6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3162D2F"/>
    <w:multiLevelType w:val="multilevel"/>
    <w:tmpl w:val="53162D2F"/>
    <w:lvl w:ilvl="0" w:tentative="0">
      <w:start w:val="1"/>
      <w:numFmt w:val="decimal"/>
      <w:lvlText w:val="%1     "/>
      <w:lvlJc w:val="left"/>
      <w:pPr>
        <w:ind w:left="420" w:hanging="420"/>
      </w:pPr>
      <w:rPr>
        <w:rFonts w:hint="default" w:ascii="Arial" w:hAnsi="Arial" w:cs="Arial"/>
        <w:sz w:val="36"/>
      </w:rPr>
    </w:lvl>
    <w:lvl w:ilvl="1" w:tentative="0">
      <w:start w:val="1"/>
      <w:numFmt w:val="decimal"/>
      <w:lvlText w:val="%1.%2    "/>
      <w:lvlJc w:val="left"/>
      <w:pPr>
        <w:ind w:left="840" w:hanging="840"/>
      </w:pPr>
      <w:rPr>
        <w:rFonts w:hint="eastAsia"/>
      </w:rPr>
    </w:lvl>
    <w:lvl w:ilvl="2" w:tentative="0">
      <w:start w:val="1"/>
      <w:numFmt w:val="decimal"/>
      <w:lvlText w:val="%1.%2.%3   "/>
      <w:lvlJc w:val="right"/>
      <w:pPr>
        <w:ind w:left="1260" w:hanging="364"/>
      </w:pPr>
      <w:rPr>
        <w:rFonts w:hint="eastAsia" w:ascii="Times New Roman" w:hAnsi="Times New Roman" w:cs="Times New Roman"/>
        <w:b w:val="0"/>
        <w:bCs w:val="0"/>
        <w:i w:val="0"/>
        <w:iCs w:val="0"/>
        <w:caps w:val="0"/>
        <w:smallCaps w:val="0"/>
        <w:strike w:val="0"/>
        <w:dstrike w:val="0"/>
        <w:vanish w:val="0"/>
        <w:spacing w:val="0"/>
        <w:kern w:val="0"/>
        <w:position w:val="0"/>
        <w:u w:val="none"/>
        <w:vertAlign w:val="baseline"/>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55061AF4"/>
    <w:multiLevelType w:val="singleLevel"/>
    <w:tmpl w:val="55061AF4"/>
    <w:lvl w:ilvl="0" w:tentative="0">
      <w:start w:val="1"/>
      <w:numFmt w:val="bullet"/>
      <w:lvlText w:val=""/>
      <w:lvlJc w:val="left"/>
      <w:pPr>
        <w:ind w:left="420" w:hanging="42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70146DC0"/>
    <w:multiLevelType w:val="multilevel"/>
    <w:tmpl w:val="70146DC0"/>
    <w:lvl w:ilvl="0" w:tentative="0">
      <w:start w:val="1"/>
      <w:numFmt w:val="bullet"/>
      <w:pStyle w:val="6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606BEBA"/>
    <w:multiLevelType w:val="singleLevel"/>
    <w:tmpl w:val="7606BEBA"/>
    <w:lvl w:ilvl="0" w:tentative="0">
      <w:start w:val="1"/>
      <w:numFmt w:val="decimal"/>
      <w:suff w:val="space"/>
      <w:lvlText w:val="[%1]"/>
      <w:lvlJc w:val="left"/>
    </w:lvl>
  </w:abstractNum>
  <w:num w:numId="1">
    <w:abstractNumId w:val="4"/>
  </w:num>
  <w:num w:numId="2">
    <w:abstractNumId w:val="8"/>
  </w:num>
  <w:num w:numId="3">
    <w:abstractNumId w:val="2"/>
  </w:num>
  <w:num w:numId="4">
    <w:abstractNumId w:val="7"/>
  </w:num>
  <w:num w:numId="5">
    <w:abstractNumId w:val="5"/>
  </w:num>
  <w:num w:numId="6">
    <w:abstractNumId w:val="3"/>
  </w:num>
  <w:num w:numId="7">
    <w:abstractNumId w:val="0"/>
  </w:num>
  <w:num w:numId="8">
    <w:abstractNumId w:val="6"/>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66FA"/>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863"/>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44B"/>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4A62"/>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D786B"/>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0CF"/>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C5E6F"/>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8C"/>
    <w:rsid w:val="00EA05FA"/>
    <w:rsid w:val="00EA2262"/>
    <w:rsid w:val="00EA26B0"/>
    <w:rsid w:val="00EA36A6"/>
    <w:rsid w:val="00EA6456"/>
    <w:rsid w:val="00EB016A"/>
    <w:rsid w:val="00EB12B9"/>
    <w:rsid w:val="00EB1BCD"/>
    <w:rsid w:val="00EB1CF3"/>
    <w:rsid w:val="00EB217C"/>
    <w:rsid w:val="00EB2A16"/>
    <w:rsid w:val="00EB4011"/>
    <w:rsid w:val="00EC1660"/>
    <w:rsid w:val="00EC2BF2"/>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7D4F82"/>
    <w:rsid w:val="019424BE"/>
    <w:rsid w:val="01992300"/>
    <w:rsid w:val="01DB7ED5"/>
    <w:rsid w:val="01E0373D"/>
    <w:rsid w:val="021F7DC1"/>
    <w:rsid w:val="02317AF5"/>
    <w:rsid w:val="0232479F"/>
    <w:rsid w:val="024A4392"/>
    <w:rsid w:val="024C1B2A"/>
    <w:rsid w:val="024D5F34"/>
    <w:rsid w:val="025A704C"/>
    <w:rsid w:val="025B3B7B"/>
    <w:rsid w:val="025E3EE7"/>
    <w:rsid w:val="02751A20"/>
    <w:rsid w:val="0286604A"/>
    <w:rsid w:val="02A227A1"/>
    <w:rsid w:val="02D06700"/>
    <w:rsid w:val="03113208"/>
    <w:rsid w:val="032C2DD9"/>
    <w:rsid w:val="03365100"/>
    <w:rsid w:val="03913E39"/>
    <w:rsid w:val="03B15391"/>
    <w:rsid w:val="03CD1A9F"/>
    <w:rsid w:val="040D42FA"/>
    <w:rsid w:val="04194A97"/>
    <w:rsid w:val="043438CC"/>
    <w:rsid w:val="04674206"/>
    <w:rsid w:val="04945271"/>
    <w:rsid w:val="049820AD"/>
    <w:rsid w:val="04A22E57"/>
    <w:rsid w:val="04BF588C"/>
    <w:rsid w:val="04CF6083"/>
    <w:rsid w:val="04E83035"/>
    <w:rsid w:val="05001CB6"/>
    <w:rsid w:val="050D2A9B"/>
    <w:rsid w:val="0511629C"/>
    <w:rsid w:val="053425E6"/>
    <w:rsid w:val="053A445F"/>
    <w:rsid w:val="05502988"/>
    <w:rsid w:val="055374A2"/>
    <w:rsid w:val="058E038E"/>
    <w:rsid w:val="0591353A"/>
    <w:rsid w:val="059C797B"/>
    <w:rsid w:val="05A827C4"/>
    <w:rsid w:val="05CC64B2"/>
    <w:rsid w:val="05D76C05"/>
    <w:rsid w:val="05D9200B"/>
    <w:rsid w:val="05F81055"/>
    <w:rsid w:val="05FB16D1"/>
    <w:rsid w:val="060E0879"/>
    <w:rsid w:val="06437F8E"/>
    <w:rsid w:val="065B3392"/>
    <w:rsid w:val="06660439"/>
    <w:rsid w:val="068C3E93"/>
    <w:rsid w:val="06CF005C"/>
    <w:rsid w:val="06D03D80"/>
    <w:rsid w:val="070C6416"/>
    <w:rsid w:val="071A0439"/>
    <w:rsid w:val="072036B4"/>
    <w:rsid w:val="07466F91"/>
    <w:rsid w:val="075948A2"/>
    <w:rsid w:val="07754928"/>
    <w:rsid w:val="0788465B"/>
    <w:rsid w:val="078A5965"/>
    <w:rsid w:val="079F20D2"/>
    <w:rsid w:val="07A47FD8"/>
    <w:rsid w:val="07D258D6"/>
    <w:rsid w:val="07DA3499"/>
    <w:rsid w:val="07DD49A7"/>
    <w:rsid w:val="07DE2FBD"/>
    <w:rsid w:val="07E54304"/>
    <w:rsid w:val="07EF6488"/>
    <w:rsid w:val="07F26B0C"/>
    <w:rsid w:val="08142BE4"/>
    <w:rsid w:val="081710BE"/>
    <w:rsid w:val="0834033F"/>
    <w:rsid w:val="085355EF"/>
    <w:rsid w:val="0864151C"/>
    <w:rsid w:val="08646A30"/>
    <w:rsid w:val="086B654C"/>
    <w:rsid w:val="08A13C26"/>
    <w:rsid w:val="08B81F05"/>
    <w:rsid w:val="08C35BCC"/>
    <w:rsid w:val="08C571E9"/>
    <w:rsid w:val="08EB6C4F"/>
    <w:rsid w:val="08F43C68"/>
    <w:rsid w:val="090674EE"/>
    <w:rsid w:val="092B4153"/>
    <w:rsid w:val="09383E5F"/>
    <w:rsid w:val="094674BE"/>
    <w:rsid w:val="09BA2AC6"/>
    <w:rsid w:val="09F05075"/>
    <w:rsid w:val="0A002BCE"/>
    <w:rsid w:val="0A021F2E"/>
    <w:rsid w:val="0A0C7595"/>
    <w:rsid w:val="0A2A6954"/>
    <w:rsid w:val="0A404F63"/>
    <w:rsid w:val="0A673EF3"/>
    <w:rsid w:val="0A6C249B"/>
    <w:rsid w:val="0ABA0FCF"/>
    <w:rsid w:val="0ADD14FB"/>
    <w:rsid w:val="0B0A5659"/>
    <w:rsid w:val="0B1245E8"/>
    <w:rsid w:val="0B1D330C"/>
    <w:rsid w:val="0B3F3282"/>
    <w:rsid w:val="0B454EBC"/>
    <w:rsid w:val="0B563B5B"/>
    <w:rsid w:val="0B792C38"/>
    <w:rsid w:val="0B901D30"/>
    <w:rsid w:val="0C0D53CD"/>
    <w:rsid w:val="0C28011C"/>
    <w:rsid w:val="0C622A52"/>
    <w:rsid w:val="0C6C00A7"/>
    <w:rsid w:val="0C796C68"/>
    <w:rsid w:val="0C982A5B"/>
    <w:rsid w:val="0CB657C6"/>
    <w:rsid w:val="0CCB7EBA"/>
    <w:rsid w:val="0CF31220"/>
    <w:rsid w:val="0D097FEC"/>
    <w:rsid w:val="0D0E5602"/>
    <w:rsid w:val="0D2E1801"/>
    <w:rsid w:val="0D3A1F53"/>
    <w:rsid w:val="0D576FA9"/>
    <w:rsid w:val="0D636733"/>
    <w:rsid w:val="0D662D48"/>
    <w:rsid w:val="0DE3083D"/>
    <w:rsid w:val="0DE52450"/>
    <w:rsid w:val="0DF30354"/>
    <w:rsid w:val="0E157954"/>
    <w:rsid w:val="0EB03711"/>
    <w:rsid w:val="0EB775D4"/>
    <w:rsid w:val="0EC05242"/>
    <w:rsid w:val="0EC5388C"/>
    <w:rsid w:val="0ECE1FF2"/>
    <w:rsid w:val="0ED13166"/>
    <w:rsid w:val="0EDD4F42"/>
    <w:rsid w:val="0EDE4A54"/>
    <w:rsid w:val="0F135152"/>
    <w:rsid w:val="0F347CC8"/>
    <w:rsid w:val="0F411287"/>
    <w:rsid w:val="0F4277E5"/>
    <w:rsid w:val="0F4D3059"/>
    <w:rsid w:val="0F59068B"/>
    <w:rsid w:val="0F8C0A60"/>
    <w:rsid w:val="0F917DE8"/>
    <w:rsid w:val="0F985E59"/>
    <w:rsid w:val="0F98794A"/>
    <w:rsid w:val="0FE4089C"/>
    <w:rsid w:val="0FF67E85"/>
    <w:rsid w:val="0FFE157A"/>
    <w:rsid w:val="0FFF1232"/>
    <w:rsid w:val="103A04BC"/>
    <w:rsid w:val="103A5CAF"/>
    <w:rsid w:val="10545E2A"/>
    <w:rsid w:val="105F7F23"/>
    <w:rsid w:val="10AC760C"/>
    <w:rsid w:val="10D807E1"/>
    <w:rsid w:val="10E072B6"/>
    <w:rsid w:val="10E548CC"/>
    <w:rsid w:val="10FC65BF"/>
    <w:rsid w:val="1102255C"/>
    <w:rsid w:val="1102722C"/>
    <w:rsid w:val="11765524"/>
    <w:rsid w:val="11BA012C"/>
    <w:rsid w:val="11C91DC1"/>
    <w:rsid w:val="1208131C"/>
    <w:rsid w:val="12096424"/>
    <w:rsid w:val="12211934"/>
    <w:rsid w:val="1248520C"/>
    <w:rsid w:val="1249483D"/>
    <w:rsid w:val="12DE4195"/>
    <w:rsid w:val="133833D9"/>
    <w:rsid w:val="134766AD"/>
    <w:rsid w:val="13983E78"/>
    <w:rsid w:val="13A035A3"/>
    <w:rsid w:val="13BB36C2"/>
    <w:rsid w:val="13BC19A6"/>
    <w:rsid w:val="13D80718"/>
    <w:rsid w:val="13E175CD"/>
    <w:rsid w:val="1420443E"/>
    <w:rsid w:val="143A4F2F"/>
    <w:rsid w:val="14410B0B"/>
    <w:rsid w:val="144933C4"/>
    <w:rsid w:val="14670F3B"/>
    <w:rsid w:val="146F59FF"/>
    <w:rsid w:val="14A2292A"/>
    <w:rsid w:val="14BE346A"/>
    <w:rsid w:val="14C2372B"/>
    <w:rsid w:val="14C30A80"/>
    <w:rsid w:val="14CF5677"/>
    <w:rsid w:val="14F74BCE"/>
    <w:rsid w:val="150F6DF8"/>
    <w:rsid w:val="15256588"/>
    <w:rsid w:val="15455939"/>
    <w:rsid w:val="15665187"/>
    <w:rsid w:val="15781C4D"/>
    <w:rsid w:val="157E6A6B"/>
    <w:rsid w:val="15834D61"/>
    <w:rsid w:val="15FA088E"/>
    <w:rsid w:val="15FA2BC8"/>
    <w:rsid w:val="162227D6"/>
    <w:rsid w:val="16283474"/>
    <w:rsid w:val="1659551A"/>
    <w:rsid w:val="1686445B"/>
    <w:rsid w:val="16AB5C70"/>
    <w:rsid w:val="16BA5DAD"/>
    <w:rsid w:val="16EF3DAF"/>
    <w:rsid w:val="17033CFE"/>
    <w:rsid w:val="170A0BE8"/>
    <w:rsid w:val="173A1C8D"/>
    <w:rsid w:val="173A5A2D"/>
    <w:rsid w:val="17417890"/>
    <w:rsid w:val="17424826"/>
    <w:rsid w:val="17494CAD"/>
    <w:rsid w:val="174F6F43"/>
    <w:rsid w:val="175F7CA1"/>
    <w:rsid w:val="17C57205"/>
    <w:rsid w:val="182F3777"/>
    <w:rsid w:val="18426FD0"/>
    <w:rsid w:val="18814EDA"/>
    <w:rsid w:val="18CE20EA"/>
    <w:rsid w:val="18D21978"/>
    <w:rsid w:val="195530E3"/>
    <w:rsid w:val="19670F1B"/>
    <w:rsid w:val="199F2C6B"/>
    <w:rsid w:val="19EF6185"/>
    <w:rsid w:val="1A0C2EC9"/>
    <w:rsid w:val="1A177C84"/>
    <w:rsid w:val="1A425A24"/>
    <w:rsid w:val="1A6515CA"/>
    <w:rsid w:val="1A6B3F12"/>
    <w:rsid w:val="1A930EF5"/>
    <w:rsid w:val="1AA2738A"/>
    <w:rsid w:val="1AB72134"/>
    <w:rsid w:val="1AB8095B"/>
    <w:rsid w:val="1ADE10E3"/>
    <w:rsid w:val="1AE6196C"/>
    <w:rsid w:val="1AF54531"/>
    <w:rsid w:val="1AFD0A64"/>
    <w:rsid w:val="1B0C144B"/>
    <w:rsid w:val="1B0F2F7F"/>
    <w:rsid w:val="1B225C27"/>
    <w:rsid w:val="1B401473"/>
    <w:rsid w:val="1B600565"/>
    <w:rsid w:val="1B701236"/>
    <w:rsid w:val="1B7900EB"/>
    <w:rsid w:val="1B7A20B5"/>
    <w:rsid w:val="1B846A4C"/>
    <w:rsid w:val="1B9E6579"/>
    <w:rsid w:val="1BC670A8"/>
    <w:rsid w:val="1BCA6B98"/>
    <w:rsid w:val="1BE20386"/>
    <w:rsid w:val="1BE334DF"/>
    <w:rsid w:val="1BEB72C3"/>
    <w:rsid w:val="1C443FD4"/>
    <w:rsid w:val="1C533C31"/>
    <w:rsid w:val="1C6629EC"/>
    <w:rsid w:val="1CDD25B2"/>
    <w:rsid w:val="1CDD28FB"/>
    <w:rsid w:val="1D1A76AB"/>
    <w:rsid w:val="1D295B40"/>
    <w:rsid w:val="1D46765C"/>
    <w:rsid w:val="1D4D182F"/>
    <w:rsid w:val="1D565286"/>
    <w:rsid w:val="1D971075"/>
    <w:rsid w:val="1DCF66E8"/>
    <w:rsid w:val="1DF943F8"/>
    <w:rsid w:val="1E032835"/>
    <w:rsid w:val="1E0B5246"/>
    <w:rsid w:val="1E1660C5"/>
    <w:rsid w:val="1EB61656"/>
    <w:rsid w:val="1EBB7F97"/>
    <w:rsid w:val="1ED41491"/>
    <w:rsid w:val="1EE305C4"/>
    <w:rsid w:val="1EE91A2B"/>
    <w:rsid w:val="1EFF2FFD"/>
    <w:rsid w:val="1F0210D8"/>
    <w:rsid w:val="1F176423"/>
    <w:rsid w:val="1F354C71"/>
    <w:rsid w:val="1F3D58D3"/>
    <w:rsid w:val="1F4E7AE0"/>
    <w:rsid w:val="1F664E2A"/>
    <w:rsid w:val="1F7237CF"/>
    <w:rsid w:val="1F7261EC"/>
    <w:rsid w:val="1F7C7D01"/>
    <w:rsid w:val="1F974FE3"/>
    <w:rsid w:val="1FA26EEB"/>
    <w:rsid w:val="1FAA740D"/>
    <w:rsid w:val="1FD1253B"/>
    <w:rsid w:val="1FD576A0"/>
    <w:rsid w:val="20052895"/>
    <w:rsid w:val="20140D2A"/>
    <w:rsid w:val="20436F19"/>
    <w:rsid w:val="20555B3C"/>
    <w:rsid w:val="2076109D"/>
    <w:rsid w:val="20A56D20"/>
    <w:rsid w:val="20B47E17"/>
    <w:rsid w:val="20C54D60"/>
    <w:rsid w:val="20D65FDF"/>
    <w:rsid w:val="20D7393A"/>
    <w:rsid w:val="20DE15FA"/>
    <w:rsid w:val="20E406FC"/>
    <w:rsid w:val="20E73D48"/>
    <w:rsid w:val="21052421"/>
    <w:rsid w:val="21130FE1"/>
    <w:rsid w:val="21336F8E"/>
    <w:rsid w:val="213B5E42"/>
    <w:rsid w:val="21464CF5"/>
    <w:rsid w:val="21971062"/>
    <w:rsid w:val="21C127EB"/>
    <w:rsid w:val="21F26E49"/>
    <w:rsid w:val="21FD5A2B"/>
    <w:rsid w:val="22377704"/>
    <w:rsid w:val="22592A24"/>
    <w:rsid w:val="22623413"/>
    <w:rsid w:val="22794E74"/>
    <w:rsid w:val="22851EC5"/>
    <w:rsid w:val="22853819"/>
    <w:rsid w:val="22AC524A"/>
    <w:rsid w:val="22B937E1"/>
    <w:rsid w:val="22C24A6D"/>
    <w:rsid w:val="22C97BAA"/>
    <w:rsid w:val="22D14E7D"/>
    <w:rsid w:val="22FE2588"/>
    <w:rsid w:val="2309444A"/>
    <w:rsid w:val="230D345A"/>
    <w:rsid w:val="231F3C6E"/>
    <w:rsid w:val="23243032"/>
    <w:rsid w:val="233C0AA7"/>
    <w:rsid w:val="23503E27"/>
    <w:rsid w:val="236C49D9"/>
    <w:rsid w:val="23700025"/>
    <w:rsid w:val="2398414F"/>
    <w:rsid w:val="239D76F7"/>
    <w:rsid w:val="23C051AF"/>
    <w:rsid w:val="23D45F8E"/>
    <w:rsid w:val="240D3AC6"/>
    <w:rsid w:val="240D3E70"/>
    <w:rsid w:val="241E3F25"/>
    <w:rsid w:val="24303C58"/>
    <w:rsid w:val="24575689"/>
    <w:rsid w:val="24596D0B"/>
    <w:rsid w:val="245E4322"/>
    <w:rsid w:val="24861ACA"/>
    <w:rsid w:val="248820B5"/>
    <w:rsid w:val="24A2007A"/>
    <w:rsid w:val="24C30629"/>
    <w:rsid w:val="24D6035C"/>
    <w:rsid w:val="24DE453D"/>
    <w:rsid w:val="24F07BEB"/>
    <w:rsid w:val="24F12765"/>
    <w:rsid w:val="24F41CD4"/>
    <w:rsid w:val="24FE18F3"/>
    <w:rsid w:val="251F61A7"/>
    <w:rsid w:val="252D58FF"/>
    <w:rsid w:val="253F322D"/>
    <w:rsid w:val="254E1966"/>
    <w:rsid w:val="256B59EC"/>
    <w:rsid w:val="25B368EF"/>
    <w:rsid w:val="260E7FC9"/>
    <w:rsid w:val="261A696E"/>
    <w:rsid w:val="264439EB"/>
    <w:rsid w:val="264659B5"/>
    <w:rsid w:val="265B6733"/>
    <w:rsid w:val="266D4CF0"/>
    <w:rsid w:val="267E0CAB"/>
    <w:rsid w:val="267E514F"/>
    <w:rsid w:val="267E6905"/>
    <w:rsid w:val="267F67D1"/>
    <w:rsid w:val="268169ED"/>
    <w:rsid w:val="26926505"/>
    <w:rsid w:val="26C27851"/>
    <w:rsid w:val="26C37006"/>
    <w:rsid w:val="270D14C0"/>
    <w:rsid w:val="2725381D"/>
    <w:rsid w:val="27271343"/>
    <w:rsid w:val="272730F1"/>
    <w:rsid w:val="27595274"/>
    <w:rsid w:val="278B7B24"/>
    <w:rsid w:val="27B34984"/>
    <w:rsid w:val="27C46B92"/>
    <w:rsid w:val="27D84E93"/>
    <w:rsid w:val="27FF406E"/>
    <w:rsid w:val="280A144A"/>
    <w:rsid w:val="282201FE"/>
    <w:rsid w:val="28417D61"/>
    <w:rsid w:val="28494E43"/>
    <w:rsid w:val="28506677"/>
    <w:rsid w:val="28564FB5"/>
    <w:rsid w:val="28942A08"/>
    <w:rsid w:val="28952684"/>
    <w:rsid w:val="2912392D"/>
    <w:rsid w:val="291853E7"/>
    <w:rsid w:val="2919115F"/>
    <w:rsid w:val="291E0523"/>
    <w:rsid w:val="295D2024"/>
    <w:rsid w:val="2967011C"/>
    <w:rsid w:val="296F6B21"/>
    <w:rsid w:val="29702FAD"/>
    <w:rsid w:val="297206B2"/>
    <w:rsid w:val="2976210D"/>
    <w:rsid w:val="29826D04"/>
    <w:rsid w:val="298A3F45"/>
    <w:rsid w:val="29AF078E"/>
    <w:rsid w:val="29CA4207"/>
    <w:rsid w:val="29D7493D"/>
    <w:rsid w:val="2A1025F9"/>
    <w:rsid w:val="2A286F0C"/>
    <w:rsid w:val="2A2B5E5C"/>
    <w:rsid w:val="2A973C48"/>
    <w:rsid w:val="2AAC59F6"/>
    <w:rsid w:val="2ABB0FF3"/>
    <w:rsid w:val="2ABC263B"/>
    <w:rsid w:val="2B006133"/>
    <w:rsid w:val="2B013C59"/>
    <w:rsid w:val="2B0157AE"/>
    <w:rsid w:val="2B17347C"/>
    <w:rsid w:val="2B27367F"/>
    <w:rsid w:val="2B2C6A15"/>
    <w:rsid w:val="2B415FA0"/>
    <w:rsid w:val="2B487ADA"/>
    <w:rsid w:val="2B5749A4"/>
    <w:rsid w:val="2B7408CF"/>
    <w:rsid w:val="2B830B12"/>
    <w:rsid w:val="2B8A00F2"/>
    <w:rsid w:val="2B9E76FA"/>
    <w:rsid w:val="2BB32A71"/>
    <w:rsid w:val="2BB95357"/>
    <w:rsid w:val="2BE710A1"/>
    <w:rsid w:val="2C2220D9"/>
    <w:rsid w:val="2C307EA2"/>
    <w:rsid w:val="2C74691D"/>
    <w:rsid w:val="2CB90C8F"/>
    <w:rsid w:val="2CE534D3"/>
    <w:rsid w:val="2CFB12A7"/>
    <w:rsid w:val="2D3D49DC"/>
    <w:rsid w:val="2D572256"/>
    <w:rsid w:val="2D711283"/>
    <w:rsid w:val="2D7E77E3"/>
    <w:rsid w:val="2DC01BA9"/>
    <w:rsid w:val="2DC36921"/>
    <w:rsid w:val="2DCA7799"/>
    <w:rsid w:val="2DD107CA"/>
    <w:rsid w:val="2DD37B2E"/>
    <w:rsid w:val="2DEF06E0"/>
    <w:rsid w:val="2E4C739F"/>
    <w:rsid w:val="2E5A3DAC"/>
    <w:rsid w:val="2E7330BF"/>
    <w:rsid w:val="2E750BE6"/>
    <w:rsid w:val="2E8261B4"/>
    <w:rsid w:val="2E832ECE"/>
    <w:rsid w:val="2E8B21B7"/>
    <w:rsid w:val="2E8B5F96"/>
    <w:rsid w:val="2EAB4607"/>
    <w:rsid w:val="2EDC0C65"/>
    <w:rsid w:val="2F1B2E6A"/>
    <w:rsid w:val="2F257B78"/>
    <w:rsid w:val="2F260139"/>
    <w:rsid w:val="2F2B74F6"/>
    <w:rsid w:val="2F2D0284"/>
    <w:rsid w:val="2F57653D"/>
    <w:rsid w:val="2F634EE2"/>
    <w:rsid w:val="2F6C3452"/>
    <w:rsid w:val="2F7000C2"/>
    <w:rsid w:val="2F8379E0"/>
    <w:rsid w:val="2F912B7B"/>
    <w:rsid w:val="2F950E14"/>
    <w:rsid w:val="2FA66A7B"/>
    <w:rsid w:val="2FAA1397"/>
    <w:rsid w:val="2FBC45F2"/>
    <w:rsid w:val="2FC21B1A"/>
    <w:rsid w:val="2FCD1C26"/>
    <w:rsid w:val="2FDA78F1"/>
    <w:rsid w:val="300541EB"/>
    <w:rsid w:val="300F0BC6"/>
    <w:rsid w:val="306B6443"/>
    <w:rsid w:val="307355F9"/>
    <w:rsid w:val="308D6684"/>
    <w:rsid w:val="30972D9E"/>
    <w:rsid w:val="309F7519"/>
    <w:rsid w:val="30B4631B"/>
    <w:rsid w:val="30BA0288"/>
    <w:rsid w:val="30D53BBD"/>
    <w:rsid w:val="30E37D2B"/>
    <w:rsid w:val="30F54260"/>
    <w:rsid w:val="312835DC"/>
    <w:rsid w:val="312C7DA4"/>
    <w:rsid w:val="318D6246"/>
    <w:rsid w:val="3199108F"/>
    <w:rsid w:val="31EA2BFF"/>
    <w:rsid w:val="32150FD3"/>
    <w:rsid w:val="321E57AE"/>
    <w:rsid w:val="3222463C"/>
    <w:rsid w:val="322A7C06"/>
    <w:rsid w:val="32485355"/>
    <w:rsid w:val="3252386D"/>
    <w:rsid w:val="326E6078"/>
    <w:rsid w:val="327613D0"/>
    <w:rsid w:val="327B6CC5"/>
    <w:rsid w:val="329C1497"/>
    <w:rsid w:val="32C24615"/>
    <w:rsid w:val="32E12CEE"/>
    <w:rsid w:val="32F171E0"/>
    <w:rsid w:val="32F64767"/>
    <w:rsid w:val="33135238"/>
    <w:rsid w:val="335F1862"/>
    <w:rsid w:val="336D27D3"/>
    <w:rsid w:val="33896EE1"/>
    <w:rsid w:val="339607A9"/>
    <w:rsid w:val="33B32D68"/>
    <w:rsid w:val="33B76D89"/>
    <w:rsid w:val="33CA653C"/>
    <w:rsid w:val="33F46A50"/>
    <w:rsid w:val="34164C19"/>
    <w:rsid w:val="3434509F"/>
    <w:rsid w:val="344003D4"/>
    <w:rsid w:val="34474DD2"/>
    <w:rsid w:val="344F3C87"/>
    <w:rsid w:val="345E036E"/>
    <w:rsid w:val="347C1ADD"/>
    <w:rsid w:val="34853B4C"/>
    <w:rsid w:val="349B582C"/>
    <w:rsid w:val="34A0589E"/>
    <w:rsid w:val="35026F4B"/>
    <w:rsid w:val="35202C81"/>
    <w:rsid w:val="353E4427"/>
    <w:rsid w:val="355329B9"/>
    <w:rsid w:val="3563768A"/>
    <w:rsid w:val="356B0126"/>
    <w:rsid w:val="356B4AF0"/>
    <w:rsid w:val="35763E83"/>
    <w:rsid w:val="358C0C7A"/>
    <w:rsid w:val="35A944E6"/>
    <w:rsid w:val="35C12962"/>
    <w:rsid w:val="35C91817"/>
    <w:rsid w:val="35CD7559"/>
    <w:rsid w:val="35EB5C31"/>
    <w:rsid w:val="35F9034E"/>
    <w:rsid w:val="364041CF"/>
    <w:rsid w:val="36810E01"/>
    <w:rsid w:val="36914A2B"/>
    <w:rsid w:val="36C45A56"/>
    <w:rsid w:val="36D52B69"/>
    <w:rsid w:val="36D93CDC"/>
    <w:rsid w:val="36D9551E"/>
    <w:rsid w:val="36DF3AA7"/>
    <w:rsid w:val="36E92ED5"/>
    <w:rsid w:val="36F570EA"/>
    <w:rsid w:val="36FA26E2"/>
    <w:rsid w:val="370F10D1"/>
    <w:rsid w:val="3732773C"/>
    <w:rsid w:val="37476E97"/>
    <w:rsid w:val="377834F5"/>
    <w:rsid w:val="379522F8"/>
    <w:rsid w:val="37B704C1"/>
    <w:rsid w:val="37BF6635"/>
    <w:rsid w:val="382471D8"/>
    <w:rsid w:val="382D416E"/>
    <w:rsid w:val="3854184B"/>
    <w:rsid w:val="38575E81"/>
    <w:rsid w:val="387C7014"/>
    <w:rsid w:val="388A34DF"/>
    <w:rsid w:val="389600D6"/>
    <w:rsid w:val="38BF6164"/>
    <w:rsid w:val="38CD161E"/>
    <w:rsid w:val="38CF4575"/>
    <w:rsid w:val="38FA6FB1"/>
    <w:rsid w:val="391334A5"/>
    <w:rsid w:val="393C5B33"/>
    <w:rsid w:val="3951224F"/>
    <w:rsid w:val="39B27192"/>
    <w:rsid w:val="39B5032A"/>
    <w:rsid w:val="39E135D3"/>
    <w:rsid w:val="3A080B60"/>
    <w:rsid w:val="3A1219DE"/>
    <w:rsid w:val="3A1570EE"/>
    <w:rsid w:val="3A257964"/>
    <w:rsid w:val="3A3C6A5B"/>
    <w:rsid w:val="3A746BF3"/>
    <w:rsid w:val="3AB02FA5"/>
    <w:rsid w:val="3ABD0B64"/>
    <w:rsid w:val="3B1A1C29"/>
    <w:rsid w:val="3B1E483B"/>
    <w:rsid w:val="3B2C6AD0"/>
    <w:rsid w:val="3B491430"/>
    <w:rsid w:val="3B5333DA"/>
    <w:rsid w:val="3B613D49"/>
    <w:rsid w:val="3B716BD9"/>
    <w:rsid w:val="3B8765B4"/>
    <w:rsid w:val="3BB60E8E"/>
    <w:rsid w:val="3BB8352E"/>
    <w:rsid w:val="3BBC42F8"/>
    <w:rsid w:val="3BBF16F2"/>
    <w:rsid w:val="3BC1190E"/>
    <w:rsid w:val="3BE134C6"/>
    <w:rsid w:val="3BF770DE"/>
    <w:rsid w:val="3C073714"/>
    <w:rsid w:val="3C1974AA"/>
    <w:rsid w:val="3C461E13"/>
    <w:rsid w:val="3C5B03D9"/>
    <w:rsid w:val="3C6109FB"/>
    <w:rsid w:val="3CB85CD7"/>
    <w:rsid w:val="3CF3381D"/>
    <w:rsid w:val="3CFB1634"/>
    <w:rsid w:val="3CFD6258"/>
    <w:rsid w:val="3D0F2205"/>
    <w:rsid w:val="3D404AB5"/>
    <w:rsid w:val="3D482C92"/>
    <w:rsid w:val="3D4F079A"/>
    <w:rsid w:val="3D540560"/>
    <w:rsid w:val="3D626340"/>
    <w:rsid w:val="3D6822D8"/>
    <w:rsid w:val="3D7F55A8"/>
    <w:rsid w:val="3D8F3346"/>
    <w:rsid w:val="3DC93C2D"/>
    <w:rsid w:val="3DCB6A74"/>
    <w:rsid w:val="3DE6565C"/>
    <w:rsid w:val="3E2241BA"/>
    <w:rsid w:val="3E3F7FE6"/>
    <w:rsid w:val="3E412892"/>
    <w:rsid w:val="3E4D56DB"/>
    <w:rsid w:val="3E52684D"/>
    <w:rsid w:val="3E6F7B87"/>
    <w:rsid w:val="3E7C7D6E"/>
    <w:rsid w:val="3E907376"/>
    <w:rsid w:val="3EA617A0"/>
    <w:rsid w:val="3ED7645B"/>
    <w:rsid w:val="3ED86102"/>
    <w:rsid w:val="3EF913BF"/>
    <w:rsid w:val="3F007743"/>
    <w:rsid w:val="3F0B7E50"/>
    <w:rsid w:val="3F1538A4"/>
    <w:rsid w:val="3F2226C4"/>
    <w:rsid w:val="3F7877A9"/>
    <w:rsid w:val="3F93536F"/>
    <w:rsid w:val="3FA550A3"/>
    <w:rsid w:val="3FE26F6C"/>
    <w:rsid w:val="3FE94F8F"/>
    <w:rsid w:val="401D4517"/>
    <w:rsid w:val="40326926"/>
    <w:rsid w:val="4046336F"/>
    <w:rsid w:val="4055509E"/>
    <w:rsid w:val="40650A63"/>
    <w:rsid w:val="406A1D8E"/>
    <w:rsid w:val="406F26B5"/>
    <w:rsid w:val="409C0597"/>
    <w:rsid w:val="409E221E"/>
    <w:rsid w:val="40AA3C0C"/>
    <w:rsid w:val="40C31C84"/>
    <w:rsid w:val="40D439F8"/>
    <w:rsid w:val="40D54F73"/>
    <w:rsid w:val="40F736DC"/>
    <w:rsid w:val="40F81B3E"/>
    <w:rsid w:val="40FA41D3"/>
    <w:rsid w:val="4114110C"/>
    <w:rsid w:val="4114428E"/>
    <w:rsid w:val="411F67C7"/>
    <w:rsid w:val="41342ADB"/>
    <w:rsid w:val="41676AB4"/>
    <w:rsid w:val="416A2100"/>
    <w:rsid w:val="417D58F7"/>
    <w:rsid w:val="41AF045B"/>
    <w:rsid w:val="41AF3FB7"/>
    <w:rsid w:val="41C173B5"/>
    <w:rsid w:val="41D6359F"/>
    <w:rsid w:val="41D63C39"/>
    <w:rsid w:val="41DF73B7"/>
    <w:rsid w:val="41FE630B"/>
    <w:rsid w:val="421A3B26"/>
    <w:rsid w:val="42215E43"/>
    <w:rsid w:val="42362E92"/>
    <w:rsid w:val="423B423F"/>
    <w:rsid w:val="427A6373"/>
    <w:rsid w:val="427E23AB"/>
    <w:rsid w:val="428E1712"/>
    <w:rsid w:val="42A86E35"/>
    <w:rsid w:val="42C770F1"/>
    <w:rsid w:val="42C817D4"/>
    <w:rsid w:val="430D71E7"/>
    <w:rsid w:val="432F1853"/>
    <w:rsid w:val="434370AD"/>
    <w:rsid w:val="43583C84"/>
    <w:rsid w:val="436A4639"/>
    <w:rsid w:val="438C19EC"/>
    <w:rsid w:val="43972FA6"/>
    <w:rsid w:val="439B3F9B"/>
    <w:rsid w:val="43B97970"/>
    <w:rsid w:val="43D33214"/>
    <w:rsid w:val="43D37849"/>
    <w:rsid w:val="43D558A5"/>
    <w:rsid w:val="440E76BA"/>
    <w:rsid w:val="440F6F8F"/>
    <w:rsid w:val="443532B7"/>
    <w:rsid w:val="4442271D"/>
    <w:rsid w:val="444F78D7"/>
    <w:rsid w:val="44883B34"/>
    <w:rsid w:val="44911538"/>
    <w:rsid w:val="44A65137"/>
    <w:rsid w:val="44AA6B7E"/>
    <w:rsid w:val="44AF21C8"/>
    <w:rsid w:val="44DC4F51"/>
    <w:rsid w:val="44E25ED9"/>
    <w:rsid w:val="45050ABD"/>
    <w:rsid w:val="450713C0"/>
    <w:rsid w:val="456A3021"/>
    <w:rsid w:val="456F4189"/>
    <w:rsid w:val="45832219"/>
    <w:rsid w:val="45863281"/>
    <w:rsid w:val="45B80FBE"/>
    <w:rsid w:val="45C81AEB"/>
    <w:rsid w:val="45DF1F1C"/>
    <w:rsid w:val="460A43BB"/>
    <w:rsid w:val="463A4797"/>
    <w:rsid w:val="463E1CAD"/>
    <w:rsid w:val="46412B93"/>
    <w:rsid w:val="464C0B8F"/>
    <w:rsid w:val="466435C2"/>
    <w:rsid w:val="468E6891"/>
    <w:rsid w:val="4693757A"/>
    <w:rsid w:val="46A04AA9"/>
    <w:rsid w:val="46B300A5"/>
    <w:rsid w:val="46B43C28"/>
    <w:rsid w:val="46CE1383"/>
    <w:rsid w:val="46DD15C6"/>
    <w:rsid w:val="47060B1D"/>
    <w:rsid w:val="472E0217"/>
    <w:rsid w:val="473311E6"/>
    <w:rsid w:val="4738064A"/>
    <w:rsid w:val="479F0DB4"/>
    <w:rsid w:val="47B0113A"/>
    <w:rsid w:val="47BB0396"/>
    <w:rsid w:val="47BB36B5"/>
    <w:rsid w:val="47D30184"/>
    <w:rsid w:val="47D97FDF"/>
    <w:rsid w:val="4814097E"/>
    <w:rsid w:val="48141018"/>
    <w:rsid w:val="48757D08"/>
    <w:rsid w:val="487853DA"/>
    <w:rsid w:val="48790E7B"/>
    <w:rsid w:val="488824C9"/>
    <w:rsid w:val="48A203D1"/>
    <w:rsid w:val="48B3768C"/>
    <w:rsid w:val="48E32FCD"/>
    <w:rsid w:val="48FE79D6"/>
    <w:rsid w:val="49066BB2"/>
    <w:rsid w:val="491A440C"/>
    <w:rsid w:val="49286CBB"/>
    <w:rsid w:val="49596459"/>
    <w:rsid w:val="49604537"/>
    <w:rsid w:val="498D2E30"/>
    <w:rsid w:val="49C34AA3"/>
    <w:rsid w:val="49D10E80"/>
    <w:rsid w:val="49EF4246"/>
    <w:rsid w:val="4A01737A"/>
    <w:rsid w:val="4A175E73"/>
    <w:rsid w:val="4A30453E"/>
    <w:rsid w:val="4A4A2ACF"/>
    <w:rsid w:val="4A553DF1"/>
    <w:rsid w:val="4A590F64"/>
    <w:rsid w:val="4A8A55C1"/>
    <w:rsid w:val="4A9C1109"/>
    <w:rsid w:val="4AEE78FE"/>
    <w:rsid w:val="4AF40C8C"/>
    <w:rsid w:val="4B02564D"/>
    <w:rsid w:val="4B094738"/>
    <w:rsid w:val="4B0E0E54"/>
    <w:rsid w:val="4B0E1D4E"/>
    <w:rsid w:val="4B1B43AF"/>
    <w:rsid w:val="4B4340EE"/>
    <w:rsid w:val="4B4B11F4"/>
    <w:rsid w:val="4BB072A9"/>
    <w:rsid w:val="4BCD39B7"/>
    <w:rsid w:val="4BEB02E1"/>
    <w:rsid w:val="4BFE00D6"/>
    <w:rsid w:val="4C2A705C"/>
    <w:rsid w:val="4C2B00D0"/>
    <w:rsid w:val="4C2C2DD4"/>
    <w:rsid w:val="4C2D252F"/>
    <w:rsid w:val="4C3A6B73"/>
    <w:rsid w:val="4C40062D"/>
    <w:rsid w:val="4C6F1CFA"/>
    <w:rsid w:val="4C7C718B"/>
    <w:rsid w:val="4C950865"/>
    <w:rsid w:val="4CAC7A71"/>
    <w:rsid w:val="4CC254E6"/>
    <w:rsid w:val="4CDD14DA"/>
    <w:rsid w:val="4CE0596C"/>
    <w:rsid w:val="4D1149B3"/>
    <w:rsid w:val="4D2A6BE7"/>
    <w:rsid w:val="4D2E492A"/>
    <w:rsid w:val="4D4203D5"/>
    <w:rsid w:val="4D48035B"/>
    <w:rsid w:val="4D4C2C93"/>
    <w:rsid w:val="4D555C3A"/>
    <w:rsid w:val="4D6B3488"/>
    <w:rsid w:val="4D6E11CA"/>
    <w:rsid w:val="4D844549"/>
    <w:rsid w:val="4DF41807"/>
    <w:rsid w:val="4E1458CD"/>
    <w:rsid w:val="4E451F2B"/>
    <w:rsid w:val="4E6D3230"/>
    <w:rsid w:val="4EA54FDB"/>
    <w:rsid w:val="4EAA4484"/>
    <w:rsid w:val="4EBD3AB8"/>
    <w:rsid w:val="4EC138D9"/>
    <w:rsid w:val="4EC67822"/>
    <w:rsid w:val="4F0911AA"/>
    <w:rsid w:val="4F0C47F7"/>
    <w:rsid w:val="4F2E6E63"/>
    <w:rsid w:val="4F3B332E"/>
    <w:rsid w:val="4F4E005F"/>
    <w:rsid w:val="4F6C798B"/>
    <w:rsid w:val="4F894099"/>
    <w:rsid w:val="4F8B3172"/>
    <w:rsid w:val="4FB26C3E"/>
    <w:rsid w:val="4FED36EF"/>
    <w:rsid w:val="4FF12BA5"/>
    <w:rsid w:val="4FF83CE5"/>
    <w:rsid w:val="50192F9D"/>
    <w:rsid w:val="50306C0B"/>
    <w:rsid w:val="509B2AE5"/>
    <w:rsid w:val="50A40D66"/>
    <w:rsid w:val="50A410CE"/>
    <w:rsid w:val="50AF18DD"/>
    <w:rsid w:val="50FD4D3F"/>
    <w:rsid w:val="50FF5CC6"/>
    <w:rsid w:val="51017625"/>
    <w:rsid w:val="51055641"/>
    <w:rsid w:val="51273B6A"/>
    <w:rsid w:val="51597A9B"/>
    <w:rsid w:val="515F763E"/>
    <w:rsid w:val="517329AF"/>
    <w:rsid w:val="5177331C"/>
    <w:rsid w:val="51977623"/>
    <w:rsid w:val="51992F95"/>
    <w:rsid w:val="51CE27D0"/>
    <w:rsid w:val="51DB4734"/>
    <w:rsid w:val="51DF4444"/>
    <w:rsid w:val="51EB2DE9"/>
    <w:rsid w:val="52085B75"/>
    <w:rsid w:val="5240491E"/>
    <w:rsid w:val="524810E8"/>
    <w:rsid w:val="52971FC1"/>
    <w:rsid w:val="52A122EE"/>
    <w:rsid w:val="52B81B37"/>
    <w:rsid w:val="52C673B2"/>
    <w:rsid w:val="52C80068"/>
    <w:rsid w:val="52E57838"/>
    <w:rsid w:val="52E96A4D"/>
    <w:rsid w:val="530B098C"/>
    <w:rsid w:val="5310681A"/>
    <w:rsid w:val="53114AD1"/>
    <w:rsid w:val="53143F28"/>
    <w:rsid w:val="534517F5"/>
    <w:rsid w:val="534C78B7"/>
    <w:rsid w:val="53507E24"/>
    <w:rsid w:val="53551D8A"/>
    <w:rsid w:val="53567FA8"/>
    <w:rsid w:val="537A4340"/>
    <w:rsid w:val="53B813F1"/>
    <w:rsid w:val="53CF5FBF"/>
    <w:rsid w:val="53D252D2"/>
    <w:rsid w:val="53D37FD9"/>
    <w:rsid w:val="53E45BE4"/>
    <w:rsid w:val="53EA75FE"/>
    <w:rsid w:val="53F57F4F"/>
    <w:rsid w:val="53FA7313"/>
    <w:rsid w:val="54024EB5"/>
    <w:rsid w:val="540D7877"/>
    <w:rsid w:val="540E61A0"/>
    <w:rsid w:val="5415414D"/>
    <w:rsid w:val="541D74A6"/>
    <w:rsid w:val="54256D18"/>
    <w:rsid w:val="54513D62"/>
    <w:rsid w:val="545A24A8"/>
    <w:rsid w:val="54771B5B"/>
    <w:rsid w:val="54777E11"/>
    <w:rsid w:val="549C661D"/>
    <w:rsid w:val="54C5275C"/>
    <w:rsid w:val="551D59AF"/>
    <w:rsid w:val="552770F4"/>
    <w:rsid w:val="553D5D02"/>
    <w:rsid w:val="554364D7"/>
    <w:rsid w:val="55752DD3"/>
    <w:rsid w:val="557E6D65"/>
    <w:rsid w:val="559B68D4"/>
    <w:rsid w:val="55A541B8"/>
    <w:rsid w:val="565D002E"/>
    <w:rsid w:val="566E223B"/>
    <w:rsid w:val="567A6461"/>
    <w:rsid w:val="568A7075"/>
    <w:rsid w:val="56935B78"/>
    <w:rsid w:val="56CA2638"/>
    <w:rsid w:val="56DF6C95"/>
    <w:rsid w:val="56F049FE"/>
    <w:rsid w:val="56F206EB"/>
    <w:rsid w:val="570D5C67"/>
    <w:rsid w:val="574514E5"/>
    <w:rsid w:val="57905DFE"/>
    <w:rsid w:val="57BC1920"/>
    <w:rsid w:val="57C86F14"/>
    <w:rsid w:val="57CC0FC7"/>
    <w:rsid w:val="57D07E03"/>
    <w:rsid w:val="57F31B4D"/>
    <w:rsid w:val="580E7831"/>
    <w:rsid w:val="58171C7F"/>
    <w:rsid w:val="58366D88"/>
    <w:rsid w:val="58397B5A"/>
    <w:rsid w:val="5853793A"/>
    <w:rsid w:val="586C44F0"/>
    <w:rsid w:val="589549C1"/>
    <w:rsid w:val="58A3441E"/>
    <w:rsid w:val="58A41F44"/>
    <w:rsid w:val="58E407EA"/>
    <w:rsid w:val="58E5406A"/>
    <w:rsid w:val="58FF18EE"/>
    <w:rsid w:val="590D1897"/>
    <w:rsid w:val="590F3861"/>
    <w:rsid w:val="59262959"/>
    <w:rsid w:val="59691E36"/>
    <w:rsid w:val="59796F2C"/>
    <w:rsid w:val="5988716F"/>
    <w:rsid w:val="599205A1"/>
    <w:rsid w:val="59961CEE"/>
    <w:rsid w:val="59C75EEA"/>
    <w:rsid w:val="59E7658C"/>
    <w:rsid w:val="5A0A4142"/>
    <w:rsid w:val="5A1949F4"/>
    <w:rsid w:val="5A2E5F69"/>
    <w:rsid w:val="5A382944"/>
    <w:rsid w:val="5A405FEB"/>
    <w:rsid w:val="5A513A05"/>
    <w:rsid w:val="5A7D47FA"/>
    <w:rsid w:val="5A84202D"/>
    <w:rsid w:val="5A970AC8"/>
    <w:rsid w:val="5AB411F3"/>
    <w:rsid w:val="5AC32448"/>
    <w:rsid w:val="5AEA4E4D"/>
    <w:rsid w:val="5AF32C10"/>
    <w:rsid w:val="5B0311A3"/>
    <w:rsid w:val="5B152C85"/>
    <w:rsid w:val="5B2630E4"/>
    <w:rsid w:val="5B3A26EB"/>
    <w:rsid w:val="5B6E011E"/>
    <w:rsid w:val="5B9D1D5D"/>
    <w:rsid w:val="5BD448EE"/>
    <w:rsid w:val="5BD771F3"/>
    <w:rsid w:val="5BE34B31"/>
    <w:rsid w:val="5C007491"/>
    <w:rsid w:val="5C0667B6"/>
    <w:rsid w:val="5C071976"/>
    <w:rsid w:val="5C1D0043"/>
    <w:rsid w:val="5C51360F"/>
    <w:rsid w:val="5C9721A9"/>
    <w:rsid w:val="5C9C18B0"/>
    <w:rsid w:val="5CFA0384"/>
    <w:rsid w:val="5D0631CD"/>
    <w:rsid w:val="5D194829"/>
    <w:rsid w:val="5D282774"/>
    <w:rsid w:val="5D2E2574"/>
    <w:rsid w:val="5D412625"/>
    <w:rsid w:val="5D550132"/>
    <w:rsid w:val="5D6A65F1"/>
    <w:rsid w:val="5D7F0CC9"/>
    <w:rsid w:val="5DAA7FFC"/>
    <w:rsid w:val="5DAB5B22"/>
    <w:rsid w:val="5DAF4ECD"/>
    <w:rsid w:val="5DB9023F"/>
    <w:rsid w:val="5DBC45AF"/>
    <w:rsid w:val="5DC276CB"/>
    <w:rsid w:val="5DC82230"/>
    <w:rsid w:val="5DD63AC6"/>
    <w:rsid w:val="5DF80BE9"/>
    <w:rsid w:val="5E0037FD"/>
    <w:rsid w:val="5E005A13"/>
    <w:rsid w:val="5E3C65CD"/>
    <w:rsid w:val="5E4C10B3"/>
    <w:rsid w:val="5E784568"/>
    <w:rsid w:val="5E7C4D34"/>
    <w:rsid w:val="5E800D5D"/>
    <w:rsid w:val="5E960581"/>
    <w:rsid w:val="5ED808C2"/>
    <w:rsid w:val="5EEB3ED6"/>
    <w:rsid w:val="5F5024DD"/>
    <w:rsid w:val="5FB07420"/>
    <w:rsid w:val="5FEA69EB"/>
    <w:rsid w:val="60102285"/>
    <w:rsid w:val="60121E89"/>
    <w:rsid w:val="6031230F"/>
    <w:rsid w:val="604676DB"/>
    <w:rsid w:val="605142B4"/>
    <w:rsid w:val="60595D03"/>
    <w:rsid w:val="607641C6"/>
    <w:rsid w:val="608D150F"/>
    <w:rsid w:val="609603C4"/>
    <w:rsid w:val="60A06A72"/>
    <w:rsid w:val="60AA20C1"/>
    <w:rsid w:val="60E2732E"/>
    <w:rsid w:val="60FD5EC0"/>
    <w:rsid w:val="610B7004"/>
    <w:rsid w:val="61453B98"/>
    <w:rsid w:val="61534507"/>
    <w:rsid w:val="61572621"/>
    <w:rsid w:val="616878AC"/>
    <w:rsid w:val="616D0E78"/>
    <w:rsid w:val="616E494E"/>
    <w:rsid w:val="6173410D"/>
    <w:rsid w:val="61736957"/>
    <w:rsid w:val="618B4EA2"/>
    <w:rsid w:val="61922A2A"/>
    <w:rsid w:val="61A22D98"/>
    <w:rsid w:val="61FC5F0C"/>
    <w:rsid w:val="62032B48"/>
    <w:rsid w:val="62314848"/>
    <w:rsid w:val="623C4F9B"/>
    <w:rsid w:val="623F2914"/>
    <w:rsid w:val="62600C89"/>
    <w:rsid w:val="62851A7B"/>
    <w:rsid w:val="628F5A13"/>
    <w:rsid w:val="62913539"/>
    <w:rsid w:val="62BC7E8A"/>
    <w:rsid w:val="62CF5E0F"/>
    <w:rsid w:val="62F6093E"/>
    <w:rsid w:val="63097AA1"/>
    <w:rsid w:val="63106018"/>
    <w:rsid w:val="63161C90"/>
    <w:rsid w:val="63247F09"/>
    <w:rsid w:val="632D0296"/>
    <w:rsid w:val="63424833"/>
    <w:rsid w:val="636155AC"/>
    <w:rsid w:val="637E751D"/>
    <w:rsid w:val="63817C66"/>
    <w:rsid w:val="63892462"/>
    <w:rsid w:val="638C00E4"/>
    <w:rsid w:val="638C3D00"/>
    <w:rsid w:val="63A31776"/>
    <w:rsid w:val="63DD630A"/>
    <w:rsid w:val="642145AD"/>
    <w:rsid w:val="64305D20"/>
    <w:rsid w:val="64354398"/>
    <w:rsid w:val="6454481E"/>
    <w:rsid w:val="64730B57"/>
    <w:rsid w:val="64A77A42"/>
    <w:rsid w:val="64D10603"/>
    <w:rsid w:val="64D57D88"/>
    <w:rsid w:val="64D709C5"/>
    <w:rsid w:val="65002EEA"/>
    <w:rsid w:val="65036133"/>
    <w:rsid w:val="65055B18"/>
    <w:rsid w:val="65362BDA"/>
    <w:rsid w:val="655E1802"/>
    <w:rsid w:val="659C37EB"/>
    <w:rsid w:val="65AC068A"/>
    <w:rsid w:val="65EB11B2"/>
    <w:rsid w:val="66014531"/>
    <w:rsid w:val="663C7C5F"/>
    <w:rsid w:val="666E437E"/>
    <w:rsid w:val="669015B7"/>
    <w:rsid w:val="66A17AC3"/>
    <w:rsid w:val="66A51361"/>
    <w:rsid w:val="66C043ED"/>
    <w:rsid w:val="66CF14D1"/>
    <w:rsid w:val="66D02156"/>
    <w:rsid w:val="66D772C4"/>
    <w:rsid w:val="66EE7979"/>
    <w:rsid w:val="66EF5AF8"/>
    <w:rsid w:val="66F347C2"/>
    <w:rsid w:val="670C7632"/>
    <w:rsid w:val="67143592"/>
    <w:rsid w:val="67184229"/>
    <w:rsid w:val="674A094A"/>
    <w:rsid w:val="676B6F42"/>
    <w:rsid w:val="6770036D"/>
    <w:rsid w:val="679F2254"/>
    <w:rsid w:val="67B00EEE"/>
    <w:rsid w:val="67DB0DB2"/>
    <w:rsid w:val="67ED71FD"/>
    <w:rsid w:val="67FC76A6"/>
    <w:rsid w:val="68071BA7"/>
    <w:rsid w:val="683F2FD2"/>
    <w:rsid w:val="68452AA3"/>
    <w:rsid w:val="68543E5E"/>
    <w:rsid w:val="685E5C6B"/>
    <w:rsid w:val="68703BF0"/>
    <w:rsid w:val="68826ACC"/>
    <w:rsid w:val="68863414"/>
    <w:rsid w:val="68D53CDB"/>
    <w:rsid w:val="68F91E38"/>
    <w:rsid w:val="691358AB"/>
    <w:rsid w:val="691737EF"/>
    <w:rsid w:val="69286279"/>
    <w:rsid w:val="69554A42"/>
    <w:rsid w:val="69643755"/>
    <w:rsid w:val="697D0373"/>
    <w:rsid w:val="69894F6A"/>
    <w:rsid w:val="698A0CE2"/>
    <w:rsid w:val="6994390F"/>
    <w:rsid w:val="699509B7"/>
    <w:rsid w:val="69B96BCE"/>
    <w:rsid w:val="69FA7382"/>
    <w:rsid w:val="6A0B2F4E"/>
    <w:rsid w:val="6A0F1D94"/>
    <w:rsid w:val="6A1C2F60"/>
    <w:rsid w:val="6A253BE6"/>
    <w:rsid w:val="6A2912F9"/>
    <w:rsid w:val="6A527A52"/>
    <w:rsid w:val="6A5A06B4"/>
    <w:rsid w:val="6A752A5B"/>
    <w:rsid w:val="6A8D74BF"/>
    <w:rsid w:val="6ABA73A5"/>
    <w:rsid w:val="6AEA7C8A"/>
    <w:rsid w:val="6B0F628A"/>
    <w:rsid w:val="6B122814"/>
    <w:rsid w:val="6B1E137F"/>
    <w:rsid w:val="6B2C262A"/>
    <w:rsid w:val="6B4B0599"/>
    <w:rsid w:val="6B6D2669"/>
    <w:rsid w:val="6B6E5468"/>
    <w:rsid w:val="6B9320D0"/>
    <w:rsid w:val="6BD61FBC"/>
    <w:rsid w:val="6BE95765"/>
    <w:rsid w:val="6BF95CAB"/>
    <w:rsid w:val="6C007039"/>
    <w:rsid w:val="6C2947E2"/>
    <w:rsid w:val="6C475B83"/>
    <w:rsid w:val="6C4F3315"/>
    <w:rsid w:val="6C515AE7"/>
    <w:rsid w:val="6C516CBD"/>
    <w:rsid w:val="6C6E7319"/>
    <w:rsid w:val="6C8859AD"/>
    <w:rsid w:val="6C8934D3"/>
    <w:rsid w:val="6C8D3B4B"/>
    <w:rsid w:val="6CBF330E"/>
    <w:rsid w:val="6CCF6157"/>
    <w:rsid w:val="6D1A187F"/>
    <w:rsid w:val="6D21370B"/>
    <w:rsid w:val="6D255D0D"/>
    <w:rsid w:val="6D2B6338"/>
    <w:rsid w:val="6D5B4E17"/>
    <w:rsid w:val="6D6141DB"/>
    <w:rsid w:val="6D667370"/>
    <w:rsid w:val="6D6F4814"/>
    <w:rsid w:val="6D864968"/>
    <w:rsid w:val="6D8A6691"/>
    <w:rsid w:val="6D9148CF"/>
    <w:rsid w:val="6D951295"/>
    <w:rsid w:val="6DC62913"/>
    <w:rsid w:val="6DE81093"/>
    <w:rsid w:val="6E1B45FE"/>
    <w:rsid w:val="6E217E67"/>
    <w:rsid w:val="6E296DAE"/>
    <w:rsid w:val="6E407BC1"/>
    <w:rsid w:val="6E6054CF"/>
    <w:rsid w:val="6E661D1D"/>
    <w:rsid w:val="6E7160A9"/>
    <w:rsid w:val="6EA55E9A"/>
    <w:rsid w:val="6EBF7433"/>
    <w:rsid w:val="6EDF7C07"/>
    <w:rsid w:val="6EE40E94"/>
    <w:rsid w:val="6EE7296D"/>
    <w:rsid w:val="6F0D111A"/>
    <w:rsid w:val="6F1C418A"/>
    <w:rsid w:val="6F276F30"/>
    <w:rsid w:val="6F55769C"/>
    <w:rsid w:val="6F5C3995"/>
    <w:rsid w:val="6F6908D4"/>
    <w:rsid w:val="6FB10D76"/>
    <w:rsid w:val="6FBE2F8F"/>
    <w:rsid w:val="6FC30AAA"/>
    <w:rsid w:val="6FC7059A"/>
    <w:rsid w:val="6FD52034"/>
    <w:rsid w:val="6FE23C3A"/>
    <w:rsid w:val="6FF13869"/>
    <w:rsid w:val="6FFD3FBC"/>
    <w:rsid w:val="703F45D4"/>
    <w:rsid w:val="705E477D"/>
    <w:rsid w:val="70781894"/>
    <w:rsid w:val="70B64CD9"/>
    <w:rsid w:val="70BA3C5B"/>
    <w:rsid w:val="70CE1F7A"/>
    <w:rsid w:val="70DE6FFB"/>
    <w:rsid w:val="70EB650A"/>
    <w:rsid w:val="70F1376A"/>
    <w:rsid w:val="70F57389"/>
    <w:rsid w:val="71161F56"/>
    <w:rsid w:val="71333A0D"/>
    <w:rsid w:val="71514C45"/>
    <w:rsid w:val="715F2A54"/>
    <w:rsid w:val="716D79D2"/>
    <w:rsid w:val="716F16FE"/>
    <w:rsid w:val="71750972"/>
    <w:rsid w:val="7185561A"/>
    <w:rsid w:val="71A548A6"/>
    <w:rsid w:val="71E371E1"/>
    <w:rsid w:val="71F820D6"/>
    <w:rsid w:val="724C4250"/>
    <w:rsid w:val="72640322"/>
    <w:rsid w:val="727C3636"/>
    <w:rsid w:val="72A36E41"/>
    <w:rsid w:val="72B1518D"/>
    <w:rsid w:val="72DB610A"/>
    <w:rsid w:val="72EA4049"/>
    <w:rsid w:val="72FD2525"/>
    <w:rsid w:val="72FE14BF"/>
    <w:rsid w:val="73137F9A"/>
    <w:rsid w:val="731A007D"/>
    <w:rsid w:val="733446AD"/>
    <w:rsid w:val="73497518"/>
    <w:rsid w:val="7363682B"/>
    <w:rsid w:val="73832A2A"/>
    <w:rsid w:val="738467A2"/>
    <w:rsid w:val="73C92407"/>
    <w:rsid w:val="73D078BA"/>
    <w:rsid w:val="73E159A2"/>
    <w:rsid w:val="74230FF4"/>
    <w:rsid w:val="744A3547"/>
    <w:rsid w:val="744B5BA5"/>
    <w:rsid w:val="74506A0E"/>
    <w:rsid w:val="74510C07"/>
    <w:rsid w:val="747B454C"/>
    <w:rsid w:val="749A6E45"/>
    <w:rsid w:val="74B46920"/>
    <w:rsid w:val="74B55DA6"/>
    <w:rsid w:val="74BF5CE3"/>
    <w:rsid w:val="74DD3870"/>
    <w:rsid w:val="74DE5DD9"/>
    <w:rsid w:val="74EE4F33"/>
    <w:rsid w:val="750E0A19"/>
    <w:rsid w:val="751F6782"/>
    <w:rsid w:val="75301173"/>
    <w:rsid w:val="754B3A1B"/>
    <w:rsid w:val="75734D20"/>
    <w:rsid w:val="757445C1"/>
    <w:rsid w:val="7582336F"/>
    <w:rsid w:val="759F78C3"/>
    <w:rsid w:val="75A97AFD"/>
    <w:rsid w:val="75AE24B8"/>
    <w:rsid w:val="75D302FB"/>
    <w:rsid w:val="75D7705D"/>
    <w:rsid w:val="75E11C8A"/>
    <w:rsid w:val="75E55F4D"/>
    <w:rsid w:val="75F53987"/>
    <w:rsid w:val="76363647"/>
    <w:rsid w:val="764304AB"/>
    <w:rsid w:val="766A4BBD"/>
    <w:rsid w:val="766E79D6"/>
    <w:rsid w:val="7671125F"/>
    <w:rsid w:val="768076F4"/>
    <w:rsid w:val="769136B0"/>
    <w:rsid w:val="76A258BD"/>
    <w:rsid w:val="76AB57A0"/>
    <w:rsid w:val="76BA539F"/>
    <w:rsid w:val="76BB697E"/>
    <w:rsid w:val="77444BC6"/>
    <w:rsid w:val="7763329E"/>
    <w:rsid w:val="778356EE"/>
    <w:rsid w:val="778B071D"/>
    <w:rsid w:val="77985FBE"/>
    <w:rsid w:val="77C677ED"/>
    <w:rsid w:val="77C74EAF"/>
    <w:rsid w:val="77D73344"/>
    <w:rsid w:val="77F710EB"/>
    <w:rsid w:val="78146346"/>
    <w:rsid w:val="782102D7"/>
    <w:rsid w:val="78280044"/>
    <w:rsid w:val="7848178C"/>
    <w:rsid w:val="78607538"/>
    <w:rsid w:val="7879089F"/>
    <w:rsid w:val="78A12052"/>
    <w:rsid w:val="78C6353E"/>
    <w:rsid w:val="78CD7367"/>
    <w:rsid w:val="78DB6E64"/>
    <w:rsid w:val="7903432A"/>
    <w:rsid w:val="791349A0"/>
    <w:rsid w:val="791D56CF"/>
    <w:rsid w:val="795804B5"/>
    <w:rsid w:val="796230E1"/>
    <w:rsid w:val="79697E19"/>
    <w:rsid w:val="79825532"/>
    <w:rsid w:val="79856DD0"/>
    <w:rsid w:val="79894B12"/>
    <w:rsid w:val="798A4233"/>
    <w:rsid w:val="79B25E17"/>
    <w:rsid w:val="79B7167F"/>
    <w:rsid w:val="79C432CC"/>
    <w:rsid w:val="79EB30D7"/>
    <w:rsid w:val="7A120583"/>
    <w:rsid w:val="7A131A5F"/>
    <w:rsid w:val="7A252A8D"/>
    <w:rsid w:val="7A392094"/>
    <w:rsid w:val="7A7E219D"/>
    <w:rsid w:val="7A831380"/>
    <w:rsid w:val="7A840865"/>
    <w:rsid w:val="7ABE2599"/>
    <w:rsid w:val="7ACB4CB6"/>
    <w:rsid w:val="7B011062"/>
    <w:rsid w:val="7B2811A6"/>
    <w:rsid w:val="7B283130"/>
    <w:rsid w:val="7B3F373C"/>
    <w:rsid w:val="7B4D1102"/>
    <w:rsid w:val="7BB960BD"/>
    <w:rsid w:val="7BBC11CF"/>
    <w:rsid w:val="7BC736D0"/>
    <w:rsid w:val="7BD5403F"/>
    <w:rsid w:val="7BF81ADB"/>
    <w:rsid w:val="7BFA13DE"/>
    <w:rsid w:val="7C070929"/>
    <w:rsid w:val="7C091F3A"/>
    <w:rsid w:val="7C1C6A9B"/>
    <w:rsid w:val="7C3E7E36"/>
    <w:rsid w:val="7C552E24"/>
    <w:rsid w:val="7C6F0276"/>
    <w:rsid w:val="7C717CE9"/>
    <w:rsid w:val="7C947A56"/>
    <w:rsid w:val="7CA00AD9"/>
    <w:rsid w:val="7CA87417"/>
    <w:rsid w:val="7CD1046F"/>
    <w:rsid w:val="7D1666BD"/>
    <w:rsid w:val="7D185603"/>
    <w:rsid w:val="7D1E37C3"/>
    <w:rsid w:val="7D3A5BCD"/>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591345"/>
    <w:rsid w:val="7E7F07F3"/>
    <w:rsid w:val="7E835FD4"/>
    <w:rsid w:val="7EEA1EA3"/>
    <w:rsid w:val="7EEC1DCB"/>
    <w:rsid w:val="7F141322"/>
    <w:rsid w:val="7F364DF4"/>
    <w:rsid w:val="7F3A00EA"/>
    <w:rsid w:val="7F5B19DC"/>
    <w:rsid w:val="7F784057"/>
    <w:rsid w:val="7F7B4EFD"/>
    <w:rsid w:val="7F8A3392"/>
    <w:rsid w:val="7F96039C"/>
    <w:rsid w:val="7FAE7080"/>
    <w:rsid w:val="7FE24F7C"/>
    <w:rsid w:val="7FE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3"/>
    <w:next w:val="1"/>
    <w:link w:val="40"/>
    <w:qFormat/>
    <w:uiPriority w:val="9"/>
    <w:pPr>
      <w:keepNext/>
      <w:keepLines/>
      <w:tabs>
        <w:tab w:val="center" w:pos="4153"/>
        <w:tab w:val="right" w:pos="8306"/>
      </w:tabs>
      <w:spacing w:before="340" w:after="330" w:line="578" w:lineRule="auto"/>
      <w:outlineLvl w:val="0"/>
    </w:pPr>
    <w:rPr>
      <w:b/>
      <w:bCs/>
      <w:kern w:val="44"/>
      <w:sz w:val="44"/>
      <w:szCs w:val="44"/>
    </w:rPr>
  </w:style>
  <w:style w:type="paragraph" w:styleId="4">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5">
    <w:name w:val="heading 3"/>
    <w:basedOn w:val="4"/>
    <w:next w:val="1"/>
    <w:link w:val="49"/>
    <w:unhideWhenUsed/>
    <w:qFormat/>
    <w:uiPriority w:val="9"/>
    <w:pPr>
      <w:outlineLvl w:val="2"/>
    </w:pPr>
  </w:style>
  <w:style w:type="paragraph" w:styleId="6">
    <w:name w:val="heading 4"/>
    <w:basedOn w:val="5"/>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paragraph" w:styleId="7">
    <w:name w:val="heading 5"/>
    <w:basedOn w:val="6"/>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caption"/>
    <w:basedOn w:val="1"/>
    <w:next w:val="1"/>
    <w:link w:val="46"/>
    <w:qFormat/>
    <w:uiPriority w:val="0"/>
    <w:pPr>
      <w:spacing w:before="120" w:after="120"/>
    </w:pPr>
    <w:rPr>
      <w:rFonts w:ascii="Times New Roman" w:hAnsi="Times New Roman" w:eastAsia="MS Mincho" w:cs="Times New Roman"/>
      <w:b/>
      <w:kern w:val="0"/>
      <w:sz w:val="20"/>
      <w:szCs w:val="20"/>
      <w:lang w:val="en-GB" w:eastAsia="en-US"/>
    </w:rPr>
  </w:style>
  <w:style w:type="paragraph" w:styleId="12">
    <w:name w:val="annotation text"/>
    <w:basedOn w:val="1"/>
    <w:link w:val="44"/>
    <w:qFormat/>
    <w:uiPriority w:val="0"/>
    <w:rPr>
      <w:rFonts w:ascii="Times New Roman" w:hAnsi="Times New Roman" w:eastAsia="宋体" w:cs="Times New Roman"/>
      <w:szCs w:val="24"/>
    </w:rPr>
  </w:style>
  <w:style w:type="paragraph" w:styleId="13">
    <w:name w:val="Body Text"/>
    <w:basedOn w:val="1"/>
    <w:link w:val="45"/>
    <w:qFormat/>
    <w:uiPriority w:val="0"/>
    <w:pPr>
      <w:spacing w:after="120"/>
    </w:pPr>
    <w:rPr>
      <w:rFonts w:ascii="Times New Roman" w:hAnsi="Times New Roman" w:eastAsia="宋体" w:cs="Times New Roman"/>
      <w:szCs w:val="24"/>
    </w:rPr>
  </w:style>
  <w:style w:type="paragraph" w:styleId="14">
    <w:name w:val="Balloon Text"/>
    <w:basedOn w:val="1"/>
    <w:link w:val="39"/>
    <w:semiHidden/>
    <w:unhideWhenUsed/>
    <w:qFormat/>
    <w:uiPriority w:val="99"/>
    <w:rPr>
      <w:sz w:val="18"/>
      <w:szCs w:val="18"/>
    </w:rPr>
  </w:style>
  <w:style w:type="paragraph" w:styleId="15">
    <w:name w:val="footer"/>
    <w:basedOn w:val="1"/>
    <w:link w:val="25"/>
    <w:unhideWhenUsed/>
    <w:qFormat/>
    <w:uiPriority w:val="99"/>
    <w:pPr>
      <w:tabs>
        <w:tab w:val="center" w:pos="4153"/>
        <w:tab w:val="right" w:pos="8306"/>
      </w:tabs>
      <w:snapToGrid w:val="0"/>
    </w:pPr>
    <w:rPr>
      <w:sz w:val="18"/>
      <w:szCs w:val="18"/>
    </w:rPr>
  </w:style>
  <w:style w:type="paragraph" w:styleId="16">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7">
    <w:name w:val="annotation subject"/>
    <w:basedOn w:val="12"/>
    <w:next w:val="12"/>
    <w:link w:val="48"/>
    <w:semiHidden/>
    <w:unhideWhenUsed/>
    <w:qFormat/>
    <w:uiPriority w:val="99"/>
    <w:rPr>
      <w:rFonts w:asciiTheme="minorHAnsi" w:hAnsiTheme="minorHAnsi" w:eastAsiaTheme="minorEastAsia" w:cstheme="minorBidi"/>
      <w:b/>
      <w:bCs/>
      <w:szCs w:val="22"/>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basedOn w:val="20"/>
    <w:unhideWhenUsed/>
    <w:qFormat/>
    <w:uiPriority w:val="99"/>
    <w:rPr>
      <w:color w:val="0000FF"/>
      <w:u w:val="single"/>
    </w:rPr>
  </w:style>
  <w:style w:type="character" w:styleId="23">
    <w:name w:val="annotation reference"/>
    <w:basedOn w:val="20"/>
    <w:semiHidden/>
    <w:unhideWhenUsed/>
    <w:qFormat/>
    <w:uiPriority w:val="99"/>
    <w:rPr>
      <w:sz w:val="21"/>
      <w:szCs w:val="21"/>
    </w:rPr>
  </w:style>
  <w:style w:type="character" w:customStyle="1" w:styleId="24">
    <w:name w:val="页眉 字符"/>
    <w:basedOn w:val="20"/>
    <w:link w:val="3"/>
    <w:qFormat/>
    <w:uiPriority w:val="99"/>
    <w:rPr>
      <w:sz w:val="18"/>
      <w:szCs w:val="18"/>
    </w:rPr>
  </w:style>
  <w:style w:type="character" w:customStyle="1" w:styleId="25">
    <w:name w:val="页脚 字符"/>
    <w:basedOn w:val="20"/>
    <w:link w:val="15"/>
    <w:qFormat/>
    <w:uiPriority w:val="99"/>
    <w:rPr>
      <w:sz w:val="18"/>
      <w:szCs w:val="18"/>
    </w:rPr>
  </w:style>
  <w:style w:type="paragraph" w:customStyle="1" w:styleId="26">
    <w:name w:val="样式 页眉"/>
    <w:basedOn w:val="3"/>
    <w:link w:val="27"/>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7">
    <w:name w:val="样式 页眉 Char"/>
    <w:link w:val="26"/>
    <w:qFormat/>
    <w:uiPriority w:val="0"/>
    <w:rPr>
      <w:rFonts w:ascii="Arial" w:hAnsi="Arial" w:eastAsia="Arial" w:cs="Times New Roman"/>
      <w:b/>
      <w:bCs/>
      <w:kern w:val="0"/>
      <w:sz w:val="22"/>
      <w:szCs w:val="20"/>
      <w:lang w:val="en-GB" w:eastAsia="en-US"/>
    </w:rPr>
  </w:style>
  <w:style w:type="paragraph" w:styleId="28">
    <w:name w:val="List Paragraph"/>
    <w:basedOn w:val="1"/>
    <w:link w:val="29"/>
    <w:qFormat/>
    <w:uiPriority w:val="34"/>
    <w:pPr>
      <w:ind w:firstLine="420" w:firstLineChars="200"/>
    </w:pPr>
    <w:rPr>
      <w:rFonts w:ascii="宋体" w:hAnsi="宋体" w:eastAsia="宋体" w:cs="宋体"/>
      <w:kern w:val="0"/>
      <w:sz w:val="24"/>
      <w:szCs w:val="24"/>
    </w:rPr>
  </w:style>
  <w:style w:type="character" w:customStyle="1" w:styleId="29">
    <w:name w:val="列表段落 字符"/>
    <w:link w:val="28"/>
    <w:qFormat/>
    <w:locked/>
    <w:uiPriority w:val="34"/>
    <w:rPr>
      <w:rFonts w:ascii="宋体" w:hAnsi="宋体" w:eastAsia="宋体" w:cs="宋体"/>
      <w:kern w:val="0"/>
      <w:sz w:val="24"/>
      <w:szCs w:val="24"/>
    </w:rPr>
  </w:style>
  <w:style w:type="paragraph" w:customStyle="1" w:styleId="30">
    <w:name w:val="TAH"/>
    <w:basedOn w:val="31"/>
    <w:link w:val="34"/>
    <w:qFormat/>
    <w:uiPriority w:val="0"/>
    <w:rPr>
      <w:b/>
    </w:rPr>
  </w:style>
  <w:style w:type="paragraph" w:customStyle="1" w:styleId="31">
    <w:name w:val="TAC"/>
    <w:basedOn w:val="32"/>
    <w:link w:val="33"/>
    <w:qFormat/>
    <w:uiPriority w:val="0"/>
    <w:pPr>
      <w:keepNext/>
      <w:keepLines/>
      <w:jc w:val="center"/>
    </w:pPr>
    <w:rPr>
      <w:rFonts w:ascii="Arial" w:hAnsi="Arial" w:eastAsia="宋体" w:cs="Times New Roman"/>
      <w:kern w:val="0"/>
      <w:sz w:val="18"/>
      <w:szCs w:val="20"/>
      <w:lang w:val="en-GB" w:eastAsia="en-US"/>
    </w:rPr>
  </w:style>
  <w:style w:type="paragraph" w:customStyle="1" w:styleId="32">
    <w:name w:val="TAL"/>
    <w:basedOn w:val="1"/>
    <w:qFormat/>
    <w:uiPriority w:val="0"/>
    <w:pPr>
      <w:keepNext/>
      <w:keepLines/>
      <w:spacing w:after="0"/>
    </w:pPr>
    <w:rPr>
      <w:rFonts w:ascii="Arial" w:hAnsi="Arial"/>
      <w:sz w:val="18"/>
    </w:rPr>
  </w:style>
  <w:style w:type="character" w:customStyle="1" w:styleId="33">
    <w:name w:val="TAC Char"/>
    <w:link w:val="31"/>
    <w:qFormat/>
    <w:uiPriority w:val="0"/>
    <w:rPr>
      <w:rFonts w:ascii="Arial" w:hAnsi="Arial" w:eastAsia="宋体" w:cs="Times New Roman"/>
      <w:kern w:val="0"/>
      <w:sz w:val="18"/>
      <w:szCs w:val="20"/>
      <w:lang w:val="en-GB" w:eastAsia="en-US"/>
    </w:rPr>
  </w:style>
  <w:style w:type="character" w:customStyle="1" w:styleId="34">
    <w:name w:val="TAH Car"/>
    <w:link w:val="30"/>
    <w:qFormat/>
    <w:uiPriority w:val="0"/>
    <w:rPr>
      <w:rFonts w:ascii="Arial" w:hAnsi="Arial" w:eastAsia="宋体" w:cs="Times New Roman"/>
      <w:b/>
      <w:kern w:val="0"/>
      <w:sz w:val="18"/>
      <w:szCs w:val="20"/>
      <w:lang w:val="en-GB" w:eastAsia="en-US"/>
    </w:rPr>
  </w:style>
  <w:style w:type="paragraph" w:customStyle="1" w:styleId="35">
    <w:name w:val="TAN"/>
    <w:basedOn w:val="1"/>
    <w:link w:val="36"/>
    <w:qFormat/>
    <w:uiPriority w:val="0"/>
    <w:pPr>
      <w:keepNext/>
      <w:keepLines/>
      <w:ind w:left="851" w:hanging="851"/>
    </w:pPr>
    <w:rPr>
      <w:rFonts w:ascii="Arial" w:hAnsi="Arial" w:eastAsia="宋体" w:cs="Times New Roman"/>
      <w:kern w:val="0"/>
      <w:sz w:val="18"/>
      <w:szCs w:val="20"/>
      <w:lang w:val="en-GB" w:eastAsia="en-US"/>
    </w:rPr>
  </w:style>
  <w:style w:type="character" w:customStyle="1" w:styleId="36">
    <w:name w:val="TAN Char"/>
    <w:link w:val="35"/>
    <w:qFormat/>
    <w:uiPriority w:val="0"/>
    <w:rPr>
      <w:rFonts w:ascii="Arial" w:hAnsi="Arial" w:eastAsia="宋体" w:cs="Times New Roman"/>
      <w:kern w:val="0"/>
      <w:sz w:val="18"/>
      <w:szCs w:val="20"/>
      <w:lang w:val="en-GB" w:eastAsia="en-US"/>
    </w:rPr>
  </w:style>
  <w:style w:type="paragraph" w:customStyle="1" w:styleId="37">
    <w:name w:val="TH"/>
    <w:basedOn w:val="1"/>
    <w:link w:val="38"/>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8">
    <w:name w:val="TH Char"/>
    <w:link w:val="37"/>
    <w:qFormat/>
    <w:uiPriority w:val="0"/>
    <w:rPr>
      <w:rFonts w:ascii="Arial" w:hAnsi="Arial" w:eastAsia="Times New Roman" w:cs="Times New Roman"/>
      <w:b/>
      <w:kern w:val="0"/>
      <w:sz w:val="20"/>
      <w:szCs w:val="20"/>
      <w:lang w:val="en-GB" w:eastAsia="en-GB"/>
    </w:rPr>
  </w:style>
  <w:style w:type="character" w:customStyle="1" w:styleId="39">
    <w:name w:val="批注框文本 字符"/>
    <w:basedOn w:val="20"/>
    <w:link w:val="14"/>
    <w:semiHidden/>
    <w:qFormat/>
    <w:uiPriority w:val="99"/>
    <w:rPr>
      <w:sz w:val="18"/>
      <w:szCs w:val="18"/>
    </w:rPr>
  </w:style>
  <w:style w:type="character" w:customStyle="1" w:styleId="40">
    <w:name w:val="标题 1 字符"/>
    <w:basedOn w:val="20"/>
    <w:link w:val="2"/>
    <w:qFormat/>
    <w:uiPriority w:val="9"/>
    <w:rPr>
      <w:b/>
      <w:bCs/>
      <w:kern w:val="44"/>
      <w:sz w:val="44"/>
      <w:szCs w:val="44"/>
    </w:rPr>
  </w:style>
  <w:style w:type="paragraph" w:customStyle="1" w:styleId="41">
    <w:name w:val="Doc-text2"/>
    <w:basedOn w:val="1"/>
    <w:link w:val="42"/>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42">
    <w:name w:val="Doc-text2 Char"/>
    <w:link w:val="41"/>
    <w:qFormat/>
    <w:uiPriority w:val="0"/>
    <w:rPr>
      <w:rFonts w:ascii="Arial" w:hAnsi="Arial" w:eastAsia="Times New Roman" w:cs="Times New Roman"/>
      <w:kern w:val="0"/>
      <w:sz w:val="20"/>
      <w:szCs w:val="20"/>
      <w:lang w:val="en-GB" w:eastAsia="ja-JP"/>
    </w:rPr>
  </w:style>
  <w:style w:type="character" w:customStyle="1" w:styleId="43">
    <w:name w:val="标题 2 字符"/>
    <w:basedOn w:val="20"/>
    <w:link w:val="4"/>
    <w:qFormat/>
    <w:uiPriority w:val="9"/>
    <w:rPr>
      <w:rFonts w:asciiTheme="majorHAnsi" w:hAnsiTheme="majorHAnsi" w:eastAsiaTheme="majorEastAsia" w:cstheme="majorBidi"/>
      <w:b/>
      <w:bCs/>
      <w:sz w:val="32"/>
      <w:szCs w:val="32"/>
    </w:rPr>
  </w:style>
  <w:style w:type="character" w:customStyle="1" w:styleId="44">
    <w:name w:val="批注文字 字符"/>
    <w:basedOn w:val="20"/>
    <w:link w:val="12"/>
    <w:qFormat/>
    <w:uiPriority w:val="0"/>
    <w:rPr>
      <w:rFonts w:ascii="Times New Roman" w:hAnsi="Times New Roman" w:eastAsia="宋体" w:cs="Times New Roman"/>
      <w:szCs w:val="24"/>
    </w:rPr>
  </w:style>
  <w:style w:type="character" w:customStyle="1" w:styleId="45">
    <w:name w:val="正文文本 字符"/>
    <w:basedOn w:val="20"/>
    <w:link w:val="13"/>
    <w:qFormat/>
    <w:uiPriority w:val="0"/>
    <w:rPr>
      <w:rFonts w:ascii="Times New Roman" w:hAnsi="Times New Roman" w:eastAsia="宋体" w:cs="Times New Roman"/>
      <w:szCs w:val="24"/>
    </w:rPr>
  </w:style>
  <w:style w:type="character" w:customStyle="1" w:styleId="46">
    <w:name w:val="题注 字符"/>
    <w:link w:val="11"/>
    <w:qFormat/>
    <w:uiPriority w:val="0"/>
    <w:rPr>
      <w:rFonts w:ascii="Times New Roman" w:hAnsi="Times New Roman" w:eastAsia="MS Mincho" w:cs="Times New Roman"/>
      <w:b/>
      <w:kern w:val="0"/>
      <w:sz w:val="20"/>
      <w:szCs w:val="20"/>
      <w:lang w:val="en-GB" w:eastAsia="en-US"/>
    </w:rPr>
  </w:style>
  <w:style w:type="character" w:customStyle="1" w:styleId="47">
    <w:name w:val="fontstyle01"/>
    <w:basedOn w:val="20"/>
    <w:qFormat/>
    <w:uiPriority w:val="0"/>
    <w:rPr>
      <w:rFonts w:hint="default" w:ascii="NimbusRomNo9L-Regu" w:hAnsi="NimbusRomNo9L-Regu"/>
      <w:color w:val="231F20"/>
      <w:sz w:val="20"/>
      <w:szCs w:val="20"/>
    </w:rPr>
  </w:style>
  <w:style w:type="character" w:customStyle="1" w:styleId="48">
    <w:name w:val="批注主题 字符"/>
    <w:basedOn w:val="44"/>
    <w:link w:val="17"/>
    <w:semiHidden/>
    <w:qFormat/>
    <w:uiPriority w:val="99"/>
    <w:rPr>
      <w:rFonts w:ascii="Times New Roman" w:hAnsi="Times New Roman" w:eastAsia="宋体" w:cs="Times New Roman"/>
      <w:b/>
      <w:bCs/>
      <w:szCs w:val="24"/>
    </w:rPr>
  </w:style>
  <w:style w:type="character" w:customStyle="1" w:styleId="49">
    <w:name w:val="标题 3 字符"/>
    <w:basedOn w:val="20"/>
    <w:link w:val="5"/>
    <w:qFormat/>
    <w:uiPriority w:val="9"/>
    <w:rPr>
      <w:b/>
      <w:bCs/>
      <w:sz w:val="32"/>
      <w:szCs w:val="32"/>
    </w:rPr>
  </w:style>
  <w:style w:type="character" w:styleId="50">
    <w:name w:val="Placeholder Text"/>
    <w:basedOn w:val="20"/>
    <w:semiHidden/>
    <w:qFormat/>
    <w:uiPriority w:val="99"/>
    <w:rPr>
      <w:color w:val="808080"/>
    </w:rPr>
  </w:style>
  <w:style w:type="character" w:customStyle="1" w:styleId="51">
    <w:name w:val="标题 4 字符"/>
    <w:basedOn w:val="20"/>
    <w:link w:val="6"/>
    <w:semiHidden/>
    <w:qFormat/>
    <w:uiPriority w:val="9"/>
    <w:rPr>
      <w:rFonts w:asciiTheme="majorHAnsi" w:hAnsiTheme="majorHAnsi" w:eastAsiaTheme="majorEastAsia" w:cstheme="majorBidi"/>
      <w:b/>
      <w:bCs/>
      <w:sz w:val="28"/>
      <w:szCs w:val="28"/>
    </w:rPr>
  </w:style>
  <w:style w:type="paragraph" w:customStyle="1" w:styleId="52">
    <w:name w:val="B1"/>
    <w:basedOn w:val="10"/>
    <w:link w:val="53"/>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53">
    <w:name w:val="B1 Zchn"/>
    <w:link w:val="52"/>
    <w:qFormat/>
    <w:uiPriority w:val="0"/>
    <w:rPr>
      <w:rFonts w:ascii="Times New Roman" w:hAnsi="Times New Roman" w:eastAsia="MS Mincho" w:cs="Times New Roman"/>
      <w:kern w:val="0"/>
      <w:sz w:val="20"/>
      <w:szCs w:val="20"/>
      <w:lang w:val="en-GB" w:eastAsia="en-US"/>
    </w:rPr>
  </w:style>
  <w:style w:type="paragraph" w:customStyle="1" w:styleId="54">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5">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6">
    <w:name w:val="B3"/>
    <w:basedOn w:val="8"/>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7">
    <w:name w:val="Table Normal"/>
    <w:semiHidden/>
    <w:qFormat/>
    <w:uiPriority w:val="0"/>
    <w:rPr>
      <w:rFonts w:eastAsia="Times New Roman"/>
    </w:rPr>
    <w:tblPr>
      <w:tblCellMar>
        <w:top w:w="0" w:type="dxa"/>
        <w:left w:w="108" w:type="dxa"/>
        <w:bottom w:w="0" w:type="dxa"/>
        <w:right w:w="108" w:type="dxa"/>
      </w:tblCellMar>
    </w:tblPr>
  </w:style>
  <w:style w:type="table" w:customStyle="1" w:styleId="58">
    <w:name w:val="Table Normal1"/>
    <w:semiHidden/>
    <w:qFormat/>
    <w:uiPriority w:val="0"/>
    <w:rPr>
      <w:rFonts w:eastAsia="Times New Roman"/>
    </w:rPr>
    <w:tblPr>
      <w:tblCellMar>
        <w:top w:w="0" w:type="dxa"/>
        <w:left w:w="108" w:type="dxa"/>
        <w:bottom w:w="0" w:type="dxa"/>
        <w:right w:w="108" w:type="dxa"/>
      </w:tblCellMar>
    </w:tblPr>
  </w:style>
  <w:style w:type="paragraph" w:customStyle="1" w:styleId="59">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60">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61">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62">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3">
    <w:name w:val="cjk"/>
    <w:basedOn w:val="1"/>
    <w:qFormat/>
    <w:uiPriority w:val="0"/>
    <w:pPr>
      <w:spacing w:before="100" w:beforeAutospacing="1" w:after="181"/>
    </w:pPr>
    <w:rPr>
      <w:rFonts w:ascii="宋体" w:hAnsi="宋体" w:cs="宋体"/>
      <w:sz w:val="24"/>
      <w:szCs w:val="24"/>
    </w:rPr>
  </w:style>
  <w:style w:type="paragraph" w:customStyle="1" w:styleId="64">
    <w:name w:val="RAN4 proposal"/>
    <w:basedOn w:val="11"/>
    <w:next w:val="1"/>
    <w:qFormat/>
    <w:uiPriority w:val="0"/>
    <w:pPr>
      <w:numPr>
        <w:ilvl w:val="0"/>
        <w:numId w:val="1"/>
      </w:numPr>
      <w:spacing w:before="0" w:after="200"/>
    </w:pPr>
    <w:rPr>
      <w:rFonts w:eastAsiaTheme="minorHAnsi" w:cstheme="minorBidi"/>
      <w:iCs/>
      <w:sz w:val="22"/>
      <w:szCs w:val="18"/>
      <w:lang w:val="en-US"/>
    </w:rPr>
  </w:style>
  <w:style w:type="character" w:customStyle="1" w:styleId="65">
    <w:name w:val="列出段落 字符1"/>
    <w:basedOn w:val="20"/>
    <w:link w:val="66"/>
    <w:qFormat/>
    <w:uiPriority w:val="0"/>
    <w:rPr>
      <w:rFonts w:hint="default" w:ascii="Times New Roman" w:hAnsi="Times New Roman" w:eastAsia="Times New Roman" w:cs="Times New Roman"/>
    </w:rPr>
  </w:style>
  <w:style w:type="paragraph" w:customStyle="1" w:styleId="66">
    <w:name w:val="列出段落1"/>
    <w:basedOn w:val="1"/>
    <w:link w:val="65"/>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7">
    <w:name w:val="RAN4 proposal Char"/>
    <w:basedOn w:val="20"/>
    <w:qFormat/>
    <w:uiPriority w:val="0"/>
    <w:rPr>
      <w:rFonts w:hint="default" w:ascii="Times New Roman" w:hAnsi="Times New Roman" w:eastAsia="等线" w:cs="Times New Roman"/>
      <w:b/>
      <w:iCs/>
      <w:szCs w:val="18"/>
      <w:lang w:val="en-US" w:eastAsia="en-US"/>
    </w:rPr>
  </w:style>
  <w:style w:type="paragraph" w:customStyle="1" w:styleId="68">
    <w:name w:val="CR Cover Page"/>
    <w:next w:val="1"/>
    <w:qFormat/>
    <w:uiPriority w:val="0"/>
    <w:pPr>
      <w:spacing w:after="120"/>
    </w:pPr>
    <w:rPr>
      <w:rFonts w:ascii="Arial" w:hAnsi="Arial" w:eastAsia="Times New Roman" w:cs="Times New Roman"/>
      <w:lang w:val="en-GB" w:eastAsia="en-US" w:bidi="ar-SA"/>
    </w:rPr>
  </w:style>
  <w:style w:type="paragraph" w:customStyle="1" w:styleId="69">
    <w:name w:val="Agreement"/>
    <w:basedOn w:val="1"/>
    <w:next w:val="41"/>
    <w:qFormat/>
    <w:uiPriority w:val="99"/>
    <w:pPr>
      <w:numPr>
        <w:ilvl w:val="0"/>
        <w:numId w:val="2"/>
      </w:numPr>
      <w:spacing w:before="60"/>
    </w:pPr>
    <w:rPr>
      <w:b/>
    </w:rPr>
  </w:style>
  <w:style w:type="character" w:customStyle="1" w:styleId="70">
    <w:name w:val="ui-provider"/>
    <w:qFormat/>
    <w:uiPriority w:val="0"/>
  </w:style>
  <w:style w:type="paragraph" w:customStyle="1" w:styleId="71">
    <w:name w:val="リスト段落1"/>
    <w:basedOn w:val="1"/>
    <w:qFormat/>
    <w:uiPriority w:val="34"/>
    <w:pPr>
      <w:ind w:left="720"/>
    </w:pPr>
    <w:rPr>
      <w:rFonts w:ascii="Times New Roman" w:hAnsi="Times New Roman" w:eastAsia="宋体"/>
      <w:lang w:val="en-US"/>
    </w:rPr>
  </w:style>
  <w:style w:type="paragraph" w:customStyle="1" w:styleId="72">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 w:type="paragraph" w:customStyle="1" w:styleId="73">
    <w:name w:val="Comments"/>
    <w:basedOn w:val="1"/>
    <w:qFormat/>
    <w:uiPriority w:val="0"/>
    <w:rPr>
      <w:i/>
      <w:sz w:val="18"/>
    </w:rPr>
  </w:style>
  <w:style w:type="paragraph" w:customStyle="1" w:styleId="74">
    <w:name w:val="H6"/>
    <w:basedOn w:val="7"/>
    <w:next w:val="1"/>
    <w:qFormat/>
    <w:uiPriority w:val="0"/>
    <w:pPr>
      <w:ind w:left="1985" w:hanging="1985"/>
      <w:outlineLvl w:val="9"/>
    </w:pPr>
    <w:rPr>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2416</Words>
  <Characters>12543</Characters>
  <Lines>21</Lines>
  <Paragraphs>6</Paragraphs>
  <TotalTime>0</TotalTime>
  <ScaleCrop>false</ScaleCrop>
  <LinksUpToDate>false</LinksUpToDate>
  <CharactersWithSpaces>14862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2025-05-09T10:24:37Z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2052-12.1.0.20784</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