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F4210" w14:textId="2A216883"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D53306">
        <w:rPr>
          <w:b/>
          <w:noProof/>
          <w:sz w:val="22"/>
          <w:szCs w:val="22"/>
        </w:rPr>
        <w:t>1</w:t>
      </w:r>
      <w:r w:rsidRPr="000E19A8">
        <w:rPr>
          <w:b/>
          <w:i/>
          <w:noProof/>
          <w:sz w:val="22"/>
          <w:szCs w:val="22"/>
        </w:rPr>
        <w:tab/>
      </w:r>
      <w:r w:rsidR="00A16020" w:rsidRPr="00EF2105">
        <w:rPr>
          <w:b/>
          <w:iCs/>
          <w:noProof/>
          <w:sz w:val="22"/>
          <w:szCs w:val="22"/>
        </w:rPr>
        <w:t>R4-24</w:t>
      </w:r>
      <w:r w:rsidR="00D53306" w:rsidRPr="00EF2105">
        <w:rPr>
          <w:b/>
          <w:iCs/>
          <w:noProof/>
          <w:sz w:val="22"/>
          <w:szCs w:val="22"/>
        </w:rPr>
        <w:t>1</w:t>
      </w:r>
      <w:r w:rsidR="00EF2105" w:rsidRPr="00EF2105">
        <w:rPr>
          <w:b/>
          <w:iCs/>
          <w:noProof/>
          <w:sz w:val="22"/>
          <w:szCs w:val="22"/>
        </w:rPr>
        <w:t>0297</w:t>
      </w:r>
    </w:p>
    <w:p w14:paraId="4F362C2A" w14:textId="28C50B42" w:rsidR="00255553" w:rsidRPr="000E19A8" w:rsidRDefault="00D53306" w:rsidP="00255553">
      <w:pPr>
        <w:pStyle w:val="CRCoverPage"/>
        <w:rPr>
          <w:b/>
          <w:noProof/>
          <w:sz w:val="22"/>
          <w:szCs w:val="22"/>
        </w:rPr>
      </w:pPr>
      <w:r w:rsidRPr="00D53306">
        <w:rPr>
          <w:b/>
          <w:noProof/>
          <w:sz w:val="22"/>
          <w:szCs w:val="22"/>
        </w:rPr>
        <w:t>Fukuoka City, Fukuoka, Japan, 20</w:t>
      </w:r>
      <w:r w:rsidRPr="00B77E71">
        <w:rPr>
          <w:b/>
          <w:noProof/>
          <w:sz w:val="22"/>
          <w:szCs w:val="22"/>
          <w:vertAlign w:val="superscript"/>
        </w:rPr>
        <w:t>th</w:t>
      </w:r>
      <w:r w:rsidR="00B77E71">
        <w:rPr>
          <w:b/>
          <w:noProof/>
          <w:sz w:val="22"/>
          <w:szCs w:val="22"/>
        </w:rPr>
        <w:t xml:space="preserve"> </w:t>
      </w:r>
      <w:r w:rsidRPr="00D53306">
        <w:rPr>
          <w:b/>
          <w:noProof/>
          <w:sz w:val="22"/>
          <w:szCs w:val="22"/>
        </w:rPr>
        <w:t>– 24</w:t>
      </w:r>
      <w:r w:rsidRPr="00B77E71">
        <w:rPr>
          <w:b/>
          <w:noProof/>
          <w:sz w:val="22"/>
          <w:szCs w:val="22"/>
          <w:vertAlign w:val="superscript"/>
        </w:rPr>
        <w:t>th</w:t>
      </w:r>
      <w:r w:rsidR="00B77E71">
        <w:rPr>
          <w:b/>
          <w:noProof/>
          <w:sz w:val="22"/>
          <w:szCs w:val="22"/>
        </w:rPr>
        <w:t xml:space="preserve"> </w:t>
      </w:r>
      <w:r w:rsidRPr="00D53306">
        <w:rPr>
          <w:b/>
          <w:noProof/>
          <w:sz w:val="22"/>
          <w:szCs w:val="22"/>
        </w:rPr>
        <w:t>May</w:t>
      </w:r>
      <w:r w:rsidR="00366FA3" w:rsidRPr="00366FA3">
        <w:rPr>
          <w:b/>
          <w:noProof/>
          <w:sz w:val="22"/>
          <w:szCs w:val="22"/>
        </w:rPr>
        <w:t>, 2024</w:t>
      </w:r>
    </w:p>
    <w:p w14:paraId="6C49249E" w14:textId="77777777" w:rsidR="00255553" w:rsidRPr="000E19A8" w:rsidRDefault="00255553" w:rsidP="00255553">
      <w:pPr>
        <w:pStyle w:val="aff1"/>
        <w:tabs>
          <w:tab w:val="right" w:pos="7088"/>
          <w:tab w:val="right" w:pos="9781"/>
        </w:tabs>
        <w:rPr>
          <w:b w:val="0"/>
          <w:bCs/>
          <w:sz w:val="22"/>
        </w:rPr>
      </w:pPr>
    </w:p>
    <w:p w14:paraId="4D0EA7AD" w14:textId="7B673CB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F6A57">
        <w:rPr>
          <w:rFonts w:ascii="Arial" w:hAnsi="Arial" w:cs="Arial"/>
          <w:b/>
        </w:rPr>
        <w:t xml:space="preserve">LS on </w:t>
      </w:r>
      <w:r w:rsidR="00D53306">
        <w:rPr>
          <w:rFonts w:ascii="Arial" w:hAnsi="Arial" w:cs="Arial"/>
          <w:b/>
        </w:rPr>
        <w:t>UE capability for multi-carrier enhancement</w:t>
      </w:r>
    </w:p>
    <w:p w14:paraId="46436F70" w14:textId="42913935" w:rsidR="00255553" w:rsidRDefault="00255553" w:rsidP="00255553">
      <w:pPr>
        <w:spacing w:after="60"/>
        <w:ind w:left="1985" w:hanging="1985"/>
      </w:pPr>
      <w:r>
        <w:rPr>
          <w:rFonts w:ascii="Arial" w:hAnsi="Arial" w:cs="Arial"/>
          <w:b/>
        </w:rPr>
        <w:t>Response to:</w:t>
      </w:r>
      <w:r>
        <w:rPr>
          <w:rFonts w:cs="Arial"/>
          <w:bCs/>
        </w:rPr>
        <w:tab/>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2331174A"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78614D" w:rsidRPr="0078614D">
        <w:rPr>
          <w:rFonts w:ascii="Arial" w:hAnsi="Arial" w:cs="Arial"/>
          <w:bCs/>
        </w:rPr>
        <w:t>NR_MC_enh</w:t>
      </w:r>
      <w:proofErr w:type="spellEnd"/>
      <w:r w:rsidR="0078614D" w:rsidRPr="0078614D">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213D0A5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59067A5D"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r w:rsidR="00F14F2E">
        <w:rPr>
          <w:rFonts w:ascii="Arial" w:hAnsi="Arial" w:cs="Arial"/>
          <w:bCs/>
        </w:rPr>
        <w:t>RAN1</w:t>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bookmarkStart w:id="0" w:name="_GoBack"/>
      <w:bookmarkEnd w:id="0"/>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a9"/>
            <w:rFonts w:ascii="Arial" w:hAnsi="Arial" w:cs="Arial"/>
            <w:b/>
          </w:rPr>
          <w:t>qian9.yang@vivo.com</w:t>
        </w:r>
      </w:hyperlink>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67B911DB" w14:textId="7CDC9400" w:rsidR="00D068B4" w:rsidRPr="00E5282E" w:rsidRDefault="00D068B4" w:rsidP="008325B3">
      <w:pPr>
        <w:spacing w:after="120"/>
        <w:jc w:val="both"/>
        <w:rPr>
          <w:rFonts w:ascii="Arial" w:hAnsi="Arial" w:cs="Arial"/>
          <w:color w:val="000000"/>
        </w:rPr>
      </w:pPr>
      <w:r w:rsidRPr="00E5282E">
        <w:rPr>
          <w:rFonts w:ascii="Arial" w:hAnsi="Arial" w:cs="Arial" w:hint="eastAsia"/>
          <w:color w:val="000000"/>
        </w:rPr>
        <w:t>The new DCI formats 0-3 and 1-3 were introduced for multi-carrier enhancements</w:t>
      </w:r>
      <w:r w:rsidR="008325B3" w:rsidRPr="00E5282E">
        <w:rPr>
          <w:rFonts w:ascii="Arial" w:hAnsi="Arial" w:cs="Arial"/>
          <w:color w:val="000000"/>
        </w:rPr>
        <w:t xml:space="preserve"> and </w:t>
      </w:r>
      <w:r w:rsidRPr="00E5282E">
        <w:rPr>
          <w:rFonts w:ascii="Arial" w:hAnsi="Arial" w:cs="Arial" w:hint="eastAsia"/>
          <w:color w:val="000000"/>
        </w:rPr>
        <w:t>a new UE capability</w:t>
      </w:r>
      <w:r w:rsidR="00E5282E" w:rsidRPr="00E5282E">
        <w:rPr>
          <w:rFonts w:ascii="Arial" w:hAnsi="Arial" w:cs="Arial"/>
          <w:color w:val="000000"/>
        </w:rPr>
        <w:t xml:space="preserve"> FG 49-9</w:t>
      </w:r>
      <w:r w:rsidRPr="00E5282E">
        <w:rPr>
          <w:rFonts w:ascii="Arial" w:hAnsi="Arial" w:cs="Arial" w:hint="eastAsia"/>
          <w:color w:val="000000"/>
        </w:rPr>
        <w:t xml:space="preserve"> w</w:t>
      </w:r>
      <w:r w:rsidR="008325B3" w:rsidRPr="00E5282E">
        <w:rPr>
          <w:rFonts w:ascii="Arial" w:hAnsi="Arial" w:cs="Arial"/>
          <w:color w:val="000000"/>
        </w:rPr>
        <w:t>as</w:t>
      </w:r>
      <w:r w:rsidRPr="00E5282E">
        <w:rPr>
          <w:rFonts w:ascii="Arial" w:hAnsi="Arial" w:cs="Arial" w:hint="eastAsia"/>
          <w:color w:val="000000"/>
        </w:rPr>
        <w:t xml:space="preserve"> introduced </w:t>
      </w:r>
      <w:r w:rsidR="00E5282E" w:rsidRPr="00E5282E">
        <w:rPr>
          <w:rFonts w:ascii="Arial" w:hAnsi="Arial" w:cs="Arial"/>
          <w:color w:val="000000"/>
        </w:rPr>
        <w:t xml:space="preserve">for </w:t>
      </w:r>
      <w:proofErr w:type="spellStart"/>
      <w:r w:rsidR="00E5282E" w:rsidRPr="00E5282E">
        <w:rPr>
          <w:rFonts w:ascii="Arial" w:hAnsi="Arial" w:cs="Arial"/>
          <w:color w:val="000000"/>
        </w:rPr>
        <w:t>SCell</w:t>
      </w:r>
      <w:proofErr w:type="spellEnd"/>
      <w:r w:rsidR="00E5282E" w:rsidRPr="00E5282E">
        <w:rPr>
          <w:rFonts w:ascii="Arial" w:hAnsi="Arial" w:cs="Arial"/>
          <w:color w:val="000000"/>
        </w:rPr>
        <w:t xml:space="preserve"> dormancy indication</w:t>
      </w:r>
      <w:r w:rsidR="00665D81">
        <w:rPr>
          <w:rFonts w:ascii="Arial" w:hAnsi="Arial" w:cs="Arial"/>
          <w:color w:val="000000"/>
        </w:rPr>
        <w:t xml:space="preserve"> in RAN1</w:t>
      </w:r>
      <w:r w:rsidRPr="00E5282E">
        <w:rPr>
          <w:rFonts w:ascii="Arial" w:hAnsi="Arial" w:cs="Arial"/>
          <w:color w:val="000000"/>
        </w:rPr>
        <w:t xml:space="preserve">. </w:t>
      </w:r>
    </w:p>
    <w:p w14:paraId="616FA4F4" w14:textId="3316C5F9" w:rsidR="00D068B4" w:rsidRDefault="00D068B4" w:rsidP="00255553">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ccording to </w:t>
      </w:r>
      <w:r w:rsidR="00E5282E">
        <w:rPr>
          <w:rFonts w:ascii="Arial" w:hAnsi="Arial" w:cs="Arial"/>
          <w:color w:val="000000"/>
        </w:rPr>
        <w:t xml:space="preserve">current RRM requirements for </w:t>
      </w:r>
      <w:r w:rsidR="00E5282E" w:rsidRPr="00E5282E">
        <w:rPr>
          <w:rFonts w:ascii="Arial" w:hAnsi="Arial" w:cs="Arial"/>
          <w:color w:val="000000"/>
        </w:rPr>
        <w:t>DCI based BWP switch delay on multiple CCs</w:t>
      </w:r>
      <w:r w:rsidR="00E5282E">
        <w:rPr>
          <w:rFonts w:ascii="Arial" w:hAnsi="Arial" w:cs="Arial"/>
          <w:color w:val="000000"/>
        </w:rPr>
        <w:t xml:space="preserve"> specified in section 8.6.2A in TS38.133, </w:t>
      </w:r>
      <w:r w:rsidR="00AC1DC6">
        <w:rPr>
          <w:rFonts w:ascii="Arial" w:hAnsi="Arial" w:cs="Arial"/>
          <w:color w:val="000000"/>
        </w:rPr>
        <w:t xml:space="preserve">the </w:t>
      </w:r>
      <w:r w:rsidR="00AC1DC6" w:rsidRPr="00AC1DC6">
        <w:rPr>
          <w:rFonts w:ascii="Arial" w:hAnsi="Arial" w:cs="Arial"/>
          <w:color w:val="000000"/>
        </w:rPr>
        <w:t>incremental delay for each additional CC involved in simultaneous BWP switch</w:t>
      </w:r>
      <w:r w:rsidR="00AC1DC6">
        <w:rPr>
          <w:rFonts w:ascii="Arial" w:hAnsi="Arial" w:cs="Arial"/>
          <w:color w:val="000000"/>
        </w:rPr>
        <w:t xml:space="preserve"> depends on </w:t>
      </w:r>
      <w:r w:rsidR="00E5282E" w:rsidRPr="00AC1DC6">
        <w:rPr>
          <w:rFonts w:ascii="Arial" w:hAnsi="Arial" w:cs="Arial"/>
          <w:i/>
          <w:color w:val="000000"/>
        </w:rPr>
        <w:t>bwp-SwitchingMultiDormancyCCs-r16</w:t>
      </w:r>
      <w:r w:rsidR="00E5282E" w:rsidRPr="00AC1DC6">
        <w:rPr>
          <w:rFonts w:ascii="Arial" w:hAnsi="Arial" w:cs="Arial"/>
          <w:color w:val="000000"/>
        </w:rPr>
        <w:t xml:space="preserve"> for switching between non-dormant and dormant BWPs</w:t>
      </w:r>
      <w:r w:rsidR="00AC1DC6">
        <w:rPr>
          <w:rFonts w:ascii="Arial" w:hAnsi="Arial" w:cs="Arial"/>
          <w:color w:val="000000"/>
        </w:rPr>
        <w:t>.</w:t>
      </w:r>
    </w:p>
    <w:p w14:paraId="0E4EA3F4" w14:textId="5EB375A6" w:rsidR="00AC1DC6" w:rsidRPr="00AC1DC6" w:rsidRDefault="00AC1DC6" w:rsidP="00AC1DC6">
      <w:pPr>
        <w:pStyle w:val="afd"/>
        <w:spacing w:before="120"/>
        <w:rPr>
          <w:rFonts w:ascii="Arial" w:hAnsi="Arial" w:cs="Arial"/>
          <w:color w:val="000000"/>
        </w:rPr>
      </w:pPr>
      <w:r w:rsidRPr="00AC1DC6">
        <w:rPr>
          <w:rFonts w:ascii="Arial" w:hAnsi="Arial" w:cs="Arial"/>
          <w:i/>
          <w:color w:val="000000"/>
        </w:rPr>
        <w:t>bwp-SwitchingMultiDormancyCCs-r16</w:t>
      </w:r>
      <w:r>
        <w:rPr>
          <w:rFonts w:ascii="Arial" w:hAnsi="Arial" w:cs="Arial"/>
          <w:color w:val="000000"/>
        </w:rPr>
        <w:t>, i.e.,</w:t>
      </w:r>
      <w:r w:rsidRPr="00AC1DC6">
        <w:rPr>
          <w:rFonts w:ascii="Arial" w:hAnsi="Arial" w:cs="Arial" w:hint="eastAsia"/>
          <w:color w:val="000000"/>
        </w:rPr>
        <w:t xml:space="preserve"> FG 6-3, was introduced for BWP switching </w:t>
      </w:r>
      <w:r w:rsidRPr="00AC1DC6">
        <w:rPr>
          <w:rFonts w:ascii="Arial" w:hAnsi="Arial" w:cs="Arial"/>
          <w:color w:val="000000"/>
        </w:rPr>
        <w:t>between non-dormant and dormant BWPs</w:t>
      </w:r>
      <w:r w:rsidRPr="00AC1DC6">
        <w:rPr>
          <w:rFonts w:ascii="Arial" w:hAnsi="Arial" w:cs="Arial" w:hint="eastAsia"/>
          <w:color w:val="000000"/>
        </w:rPr>
        <w:t xml:space="preserve"> on multiple CCs</w:t>
      </w:r>
      <w:r>
        <w:rPr>
          <w:rFonts w:ascii="Arial" w:hAnsi="Arial" w:cs="Arial"/>
          <w:color w:val="000000"/>
        </w:rPr>
        <w:t xml:space="preserve"> in Rel-16</w:t>
      </w:r>
      <w:r w:rsidRPr="00AC1DC6">
        <w:rPr>
          <w:rFonts w:ascii="Arial" w:hAnsi="Arial" w:cs="Arial" w:hint="eastAsia"/>
          <w:color w:val="000000"/>
        </w:rPr>
        <w:t>.</w:t>
      </w:r>
      <w:r>
        <w:rPr>
          <w:rFonts w:ascii="Arial" w:hAnsi="Arial" w:cs="Arial"/>
          <w:color w:val="000000"/>
        </w:rPr>
        <w:t xml:space="preserve"> </w:t>
      </w:r>
      <w:r w:rsidRPr="00AC1DC6">
        <w:rPr>
          <w:rFonts w:ascii="Arial" w:hAnsi="Arial" w:cs="Arial" w:hint="eastAsia"/>
          <w:color w:val="000000"/>
        </w:rPr>
        <w:t xml:space="preserve">The prerequisite feature groups for FG 6-3 are FG 18-4 or 18-4a, which are for format 0-1/1-1 or format 2-6, respectively. Thus, FG 6-3 cannot be reused for </w:t>
      </w:r>
      <w:bookmarkStart w:id="1" w:name="_Hlk166428636"/>
      <w:r w:rsidRPr="00AC1DC6">
        <w:rPr>
          <w:rFonts w:ascii="Arial" w:hAnsi="Arial" w:cs="Arial" w:hint="eastAsia"/>
          <w:color w:val="000000"/>
        </w:rPr>
        <w:t>d</w:t>
      </w:r>
      <w:r w:rsidRPr="00AC1DC6">
        <w:rPr>
          <w:rFonts w:ascii="Arial" w:hAnsi="Arial" w:cs="Arial"/>
          <w:color w:val="000000"/>
        </w:rPr>
        <w:t xml:space="preserve">ormant BWP switching on multiple CCs </w:t>
      </w:r>
      <w:r w:rsidRPr="00AC1DC6">
        <w:rPr>
          <w:rFonts w:ascii="Arial" w:hAnsi="Arial" w:cs="Arial" w:hint="eastAsia"/>
          <w:color w:val="000000"/>
        </w:rPr>
        <w:t xml:space="preserve">in </w:t>
      </w:r>
      <w:r w:rsidRPr="00AC1DC6">
        <w:rPr>
          <w:rFonts w:ascii="Arial" w:hAnsi="Arial" w:cs="Arial"/>
          <w:color w:val="000000"/>
        </w:rPr>
        <w:t>RRM requirements</w:t>
      </w:r>
      <w:r w:rsidRPr="00AC1DC6">
        <w:rPr>
          <w:rFonts w:ascii="Arial" w:hAnsi="Arial" w:cs="Arial" w:hint="eastAsia"/>
          <w:color w:val="000000"/>
        </w:rPr>
        <w:t xml:space="preserve"> if the BWP switch is triggered by </w:t>
      </w:r>
      <w:proofErr w:type="spellStart"/>
      <w:r w:rsidRPr="00AC1DC6">
        <w:rPr>
          <w:rFonts w:ascii="Arial" w:hAnsi="Arial" w:cs="Arial" w:hint="eastAsia"/>
          <w:color w:val="000000"/>
        </w:rPr>
        <w:t>SCell</w:t>
      </w:r>
      <w:proofErr w:type="spellEnd"/>
      <w:r w:rsidRPr="00AC1DC6">
        <w:rPr>
          <w:rFonts w:ascii="Arial" w:hAnsi="Arial" w:cs="Arial" w:hint="eastAsia"/>
          <w:color w:val="000000"/>
        </w:rPr>
        <w:t xml:space="preserve"> dormancy indication in DCI format 0-3/1-3</w:t>
      </w:r>
      <w:bookmarkEnd w:id="1"/>
      <w:r w:rsidRPr="00AC1DC6">
        <w:rPr>
          <w:rFonts w:ascii="Arial" w:hAnsi="Arial" w:cs="Arial" w:hint="eastAsia"/>
          <w:color w:val="000000"/>
        </w:rPr>
        <w:t>.</w:t>
      </w:r>
    </w:p>
    <w:p w14:paraId="691F1FDF" w14:textId="00584469" w:rsidR="00AC1DC6" w:rsidRDefault="00AC1DC6" w:rsidP="00AC1DC6">
      <w:pPr>
        <w:pStyle w:val="afd"/>
        <w:spacing w:before="120"/>
        <w:rPr>
          <w:rFonts w:ascii="Arial" w:hAnsi="Arial" w:cs="Arial"/>
          <w:color w:val="000000"/>
        </w:rPr>
      </w:pPr>
    </w:p>
    <w:p w14:paraId="03D68C29" w14:textId="00EAAC47" w:rsidR="00D068B4" w:rsidRPr="00D068B4" w:rsidRDefault="00D068B4" w:rsidP="00D068B4">
      <w:pPr>
        <w:spacing w:after="120"/>
        <w:rPr>
          <w:sz w:val="21"/>
        </w:rPr>
      </w:pPr>
      <w:r w:rsidRPr="00D068B4">
        <w:rPr>
          <w:sz w:val="21"/>
        </w:rPr>
        <w:t>RAN4 discussed the following candidate approaches</w:t>
      </w:r>
      <w:r w:rsidR="00AC1DC6">
        <w:rPr>
          <w:sz w:val="21"/>
        </w:rPr>
        <w:t xml:space="preserve"> to address the issue</w:t>
      </w:r>
      <w:r w:rsidR="00113DEC">
        <w:rPr>
          <w:sz w:val="21"/>
        </w:rPr>
        <w:t>.</w:t>
      </w:r>
      <w:r w:rsidRPr="00D068B4">
        <w:rPr>
          <w:sz w:val="21"/>
        </w:rPr>
        <w:t xml:space="preserve"> </w:t>
      </w:r>
    </w:p>
    <w:p w14:paraId="58CBBD49" w14:textId="3343691A" w:rsidR="00D068B4" w:rsidRDefault="00D068B4" w:rsidP="00D068B4">
      <w:pPr>
        <w:pStyle w:val="a3"/>
        <w:numPr>
          <w:ilvl w:val="0"/>
          <w:numId w:val="55"/>
        </w:numPr>
      </w:pPr>
      <w:r w:rsidRPr="00D068B4">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2994"/>
        <w:gridCol w:w="1559"/>
      </w:tblGrid>
      <w:tr w:rsidR="00A54441" w:rsidRPr="00E65440" w14:paraId="1CE88E66" w14:textId="77777777" w:rsidTr="0052647F">
        <w:trPr>
          <w:trHeight w:val="20"/>
        </w:trPr>
        <w:tc>
          <w:tcPr>
            <w:tcW w:w="1099" w:type="pct"/>
            <w:shd w:val="clear" w:color="auto" w:fill="auto"/>
          </w:tcPr>
          <w:p w14:paraId="531F275B" w14:textId="77777777" w:rsidR="00A54441" w:rsidRPr="00E65440" w:rsidRDefault="00A54441" w:rsidP="009749B4">
            <w:pPr>
              <w:pStyle w:val="TAH"/>
            </w:pPr>
            <w:r w:rsidRPr="00E65440">
              <w:t>Features</w:t>
            </w:r>
          </w:p>
        </w:tc>
        <w:tc>
          <w:tcPr>
            <w:tcW w:w="376" w:type="pct"/>
            <w:shd w:val="clear" w:color="auto" w:fill="auto"/>
          </w:tcPr>
          <w:p w14:paraId="6D35A619" w14:textId="77777777" w:rsidR="00A54441" w:rsidRPr="00E65440" w:rsidRDefault="00A54441" w:rsidP="009749B4">
            <w:pPr>
              <w:pStyle w:val="TAH"/>
            </w:pPr>
            <w:r w:rsidRPr="00E65440">
              <w:t>Index</w:t>
            </w:r>
          </w:p>
        </w:tc>
        <w:tc>
          <w:tcPr>
            <w:tcW w:w="1045" w:type="pct"/>
            <w:shd w:val="clear" w:color="auto" w:fill="auto"/>
          </w:tcPr>
          <w:p w14:paraId="3E31F755" w14:textId="77777777" w:rsidR="00A54441" w:rsidRPr="00E65440" w:rsidRDefault="00A54441" w:rsidP="009749B4">
            <w:pPr>
              <w:pStyle w:val="TAH"/>
            </w:pPr>
            <w:r w:rsidRPr="00E65440">
              <w:t>Feature group</w:t>
            </w:r>
          </w:p>
        </w:tc>
        <w:tc>
          <w:tcPr>
            <w:tcW w:w="1631" w:type="pct"/>
            <w:shd w:val="clear" w:color="auto" w:fill="auto"/>
          </w:tcPr>
          <w:p w14:paraId="1DEA413C" w14:textId="77777777" w:rsidR="00A54441" w:rsidRPr="00E65440" w:rsidRDefault="00A54441" w:rsidP="009749B4">
            <w:pPr>
              <w:pStyle w:val="TAH"/>
            </w:pPr>
            <w:r w:rsidRPr="00E65440">
              <w:t>Components</w:t>
            </w:r>
          </w:p>
        </w:tc>
        <w:tc>
          <w:tcPr>
            <w:tcW w:w="849" w:type="pct"/>
            <w:shd w:val="clear" w:color="auto" w:fill="auto"/>
          </w:tcPr>
          <w:p w14:paraId="3ED56DF8" w14:textId="77777777" w:rsidR="00A54441" w:rsidRPr="00E65440" w:rsidRDefault="00A54441" w:rsidP="009749B4">
            <w:pPr>
              <w:pStyle w:val="TAH"/>
            </w:pPr>
            <w:r w:rsidRPr="00E65440">
              <w:t>Prerequisite feature groups</w:t>
            </w:r>
          </w:p>
        </w:tc>
      </w:tr>
      <w:tr w:rsidR="00A54441" w:rsidRPr="00E65440" w14:paraId="110AC168" w14:textId="77777777" w:rsidTr="0052647F">
        <w:trPr>
          <w:trHeight w:val="20"/>
        </w:trPr>
        <w:tc>
          <w:tcPr>
            <w:tcW w:w="1099" w:type="pct"/>
            <w:shd w:val="clear" w:color="auto" w:fill="auto"/>
          </w:tcPr>
          <w:p w14:paraId="20ABA796" w14:textId="77777777" w:rsidR="00A54441" w:rsidRPr="0052647F" w:rsidRDefault="00A54441" w:rsidP="009749B4">
            <w:pPr>
              <w:pStyle w:val="TAL0"/>
              <w:rPr>
                <w:lang w:val="fr-FR"/>
              </w:rPr>
            </w:pPr>
            <w:r w:rsidRPr="00E65440">
              <w:rPr>
                <w:lang w:val="sv-SE"/>
              </w:rPr>
              <w:t>6. LTE_NR_DC_CA_enh</w:t>
            </w:r>
          </w:p>
        </w:tc>
        <w:tc>
          <w:tcPr>
            <w:tcW w:w="376" w:type="pct"/>
            <w:shd w:val="clear" w:color="auto" w:fill="auto"/>
          </w:tcPr>
          <w:p w14:paraId="7448F8BC" w14:textId="77777777" w:rsidR="00A54441" w:rsidRPr="00E65440" w:rsidRDefault="00A54441" w:rsidP="009749B4">
            <w:pPr>
              <w:pStyle w:val="TAL0"/>
            </w:pPr>
            <w:r w:rsidRPr="00E65440">
              <w:rPr>
                <w:rFonts w:hint="eastAsia"/>
              </w:rPr>
              <w:t>6-3</w:t>
            </w:r>
          </w:p>
        </w:tc>
        <w:tc>
          <w:tcPr>
            <w:tcW w:w="1045" w:type="pct"/>
            <w:shd w:val="clear" w:color="auto" w:fill="auto"/>
          </w:tcPr>
          <w:p w14:paraId="2E7B3CEF" w14:textId="77777777" w:rsidR="00A54441" w:rsidRPr="00E65440" w:rsidRDefault="00A54441" w:rsidP="009749B4">
            <w:pPr>
              <w:pStyle w:val="TAL0"/>
            </w:pPr>
            <w:r w:rsidRPr="00E65440">
              <w:t>Dormant BWP switching on multiple CCs RRM requirements</w:t>
            </w:r>
          </w:p>
        </w:tc>
        <w:tc>
          <w:tcPr>
            <w:tcW w:w="1631" w:type="pct"/>
            <w:shd w:val="clear" w:color="auto" w:fill="auto"/>
          </w:tcPr>
          <w:p w14:paraId="48DD6162" w14:textId="77777777" w:rsidR="00A54441" w:rsidRPr="00E65440" w:rsidRDefault="00A54441" w:rsidP="009749B4">
            <w:pPr>
              <w:autoSpaceDN w:val="0"/>
              <w:adjustRightInd w:val="0"/>
              <w:snapToGrid w:val="0"/>
              <w:spacing w:afterLines="50" w:after="120"/>
              <w:contextualSpacing/>
              <w:jc w:val="both"/>
              <w:rPr>
                <w:rFonts w:ascii="Arial" w:eastAsiaTheme="minorEastAsia" w:hAnsi="Arial" w:cs="Arial"/>
                <w:sz w:val="18"/>
              </w:rPr>
            </w:pPr>
            <w:r w:rsidRPr="00E65440">
              <w:rPr>
                <w:rFonts w:ascii="Arial" w:hAnsi="Arial" w:cs="Arial"/>
                <w:sz w:val="18"/>
              </w:rPr>
              <w:t xml:space="preserve">Incremental delay for BWP switch processing on additional </w:t>
            </w:r>
            <w:proofErr w:type="spellStart"/>
            <w:r w:rsidRPr="00E65440">
              <w:rPr>
                <w:rFonts w:ascii="Arial" w:hAnsi="Arial" w:cs="Arial"/>
                <w:sz w:val="18"/>
              </w:rPr>
              <w:t>SCells</w:t>
            </w:r>
            <w:proofErr w:type="spellEnd"/>
            <w:r w:rsidRPr="00E65440">
              <w:rPr>
                <w:rFonts w:ascii="Arial" w:hAnsi="Arial" w:cs="Arial"/>
                <w:sz w:val="18"/>
              </w:rPr>
              <w:t xml:space="preserve"> in DCI based simultaneous dormant BWP switching on multiple </w:t>
            </w:r>
            <w:proofErr w:type="spellStart"/>
            <w:r w:rsidRPr="00E65440">
              <w:rPr>
                <w:rFonts w:ascii="Arial" w:hAnsi="Arial" w:cs="Arial"/>
                <w:sz w:val="18"/>
              </w:rPr>
              <w:t>SCells</w:t>
            </w:r>
            <w:proofErr w:type="spellEnd"/>
          </w:p>
        </w:tc>
        <w:tc>
          <w:tcPr>
            <w:tcW w:w="849" w:type="pct"/>
            <w:shd w:val="clear" w:color="auto" w:fill="auto"/>
          </w:tcPr>
          <w:p w14:paraId="6FEDCE28" w14:textId="49F0F2F9" w:rsidR="00A54441" w:rsidRPr="00E65440" w:rsidRDefault="00A54441" w:rsidP="009749B4">
            <w:pPr>
              <w:pStyle w:val="TAL0"/>
              <w:rPr>
                <w:i/>
              </w:rPr>
            </w:pPr>
            <w:r w:rsidRPr="00E65440">
              <w:t xml:space="preserve">RAN1 feature 18-4 </w:t>
            </w:r>
            <w:r w:rsidRPr="00E65440">
              <w:rPr>
                <w:rFonts w:hint="eastAsia"/>
              </w:rPr>
              <w:t>or</w:t>
            </w:r>
            <w:r w:rsidRPr="00E65440">
              <w:t xml:space="preserve"> 18-4a </w:t>
            </w:r>
            <w:r w:rsidRPr="00E65440">
              <w:rPr>
                <w:shd w:val="clear" w:color="auto" w:fill="FFFF00"/>
              </w:rPr>
              <w:t>or 49-9</w:t>
            </w:r>
          </w:p>
        </w:tc>
      </w:tr>
    </w:tbl>
    <w:p w14:paraId="1B2982CC" w14:textId="1A0C8BBB" w:rsidR="00D068B4" w:rsidRPr="00D068B4" w:rsidRDefault="00D068B4" w:rsidP="00A54441">
      <w:pPr>
        <w:pStyle w:val="a3"/>
        <w:numPr>
          <w:ilvl w:val="0"/>
          <w:numId w:val="55"/>
        </w:numPr>
        <w:spacing w:before="240"/>
      </w:pPr>
      <w:r w:rsidRPr="00D068B4">
        <w:t xml:space="preserve">Approach 2: Introduce a new Rel-18 UE capability. For the new capability, if defined, </w:t>
      </w:r>
    </w:p>
    <w:p w14:paraId="5DD84195" w14:textId="11ED6D13" w:rsidR="00D068B4" w:rsidRPr="00A54441" w:rsidRDefault="00D068B4" w:rsidP="00BD01BD">
      <w:pPr>
        <w:pStyle w:val="a3"/>
        <w:numPr>
          <w:ilvl w:val="1"/>
          <w:numId w:val="56"/>
        </w:numPr>
        <w:rPr>
          <w:szCs w:val="21"/>
        </w:rPr>
      </w:pPr>
      <w:r w:rsidRPr="00D068B4">
        <w:t>Approach 2-1</w:t>
      </w:r>
      <w:r w:rsidRPr="00A54441">
        <w:rPr>
          <w:szCs w:val="21"/>
        </w:rPr>
        <w:t>: No prerequisite</w:t>
      </w:r>
      <w:r w:rsidR="00301E1C">
        <w:rPr>
          <w:szCs w:val="21"/>
        </w:rPr>
        <w:t xml:space="preserve"> feature groups</w:t>
      </w:r>
      <w:r w:rsidR="00E65440">
        <w:rPr>
          <w:szCs w:val="21"/>
        </w:rPr>
        <w:t xml:space="preserve"> </w:t>
      </w:r>
      <w:r w:rsidR="00E65440" w:rsidRPr="00E65440">
        <w:rPr>
          <w:szCs w:val="21"/>
        </w:rPr>
        <w:t>to allow flexibility</w:t>
      </w:r>
      <w:r w:rsidRPr="00A54441">
        <w:rPr>
          <w:szCs w:val="21"/>
        </w:rPr>
        <w:t>.</w:t>
      </w:r>
    </w:p>
    <w:tbl>
      <w:tblPr>
        <w:tblW w:w="9179" w:type="dxa"/>
        <w:tblInd w:w="452" w:type="dxa"/>
        <w:shd w:val="clear" w:color="auto" w:fill="FFFFFF"/>
        <w:tblLook w:val="04A0" w:firstRow="1" w:lastRow="0" w:firstColumn="1" w:lastColumn="0" w:noHBand="0" w:noVBand="1"/>
      </w:tblPr>
      <w:tblGrid>
        <w:gridCol w:w="1307"/>
        <w:gridCol w:w="848"/>
        <w:gridCol w:w="2245"/>
        <w:gridCol w:w="3220"/>
        <w:gridCol w:w="1559"/>
      </w:tblGrid>
      <w:tr w:rsidR="00D068B4" w:rsidRPr="00D068B4" w14:paraId="5631BB82" w14:textId="77777777" w:rsidTr="0052647F">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4C58E62B" w14:textId="77777777" w:rsidR="00D068B4" w:rsidRPr="00D068B4" w:rsidRDefault="00D068B4" w:rsidP="009749B4">
            <w:pPr>
              <w:jc w:val="center"/>
              <w:rPr>
                <w:rFonts w:eastAsia="Microsoft YaHei UI"/>
                <w:sz w:val="18"/>
                <w:szCs w:val="18"/>
                <w:lang w:eastAsia="zh-TW"/>
              </w:rPr>
            </w:pPr>
            <w:r w:rsidRPr="00D068B4">
              <w:rPr>
                <w:rFonts w:eastAsia="Microsoft YaHei UI"/>
                <w:b/>
                <w:bCs/>
                <w:sz w:val="18"/>
                <w:szCs w:val="18"/>
                <w:lang w:eastAsia="zh-TW"/>
              </w:rPr>
              <w:t>Features </w:t>
            </w:r>
          </w:p>
        </w:tc>
        <w:tc>
          <w:tcPr>
            <w:tcW w:w="848" w:type="dxa"/>
            <w:tcBorders>
              <w:top w:val="single" w:sz="6" w:space="0" w:color="ABABAB"/>
              <w:left w:val="single" w:sz="6" w:space="0" w:color="ABABAB"/>
              <w:bottom w:val="single" w:sz="6" w:space="0" w:color="ABABAB"/>
              <w:right w:val="single" w:sz="6" w:space="0" w:color="ABABAB"/>
            </w:tcBorders>
            <w:shd w:val="clear" w:color="auto" w:fill="FFFFFF"/>
            <w:hideMark/>
          </w:tcPr>
          <w:p w14:paraId="0982CED3" w14:textId="77777777" w:rsidR="00D068B4" w:rsidRPr="00D068B4" w:rsidRDefault="00D068B4" w:rsidP="009749B4">
            <w:pPr>
              <w:jc w:val="center"/>
              <w:rPr>
                <w:rFonts w:eastAsia="Microsoft YaHei UI"/>
                <w:sz w:val="18"/>
                <w:szCs w:val="18"/>
                <w:lang w:eastAsia="zh-TW"/>
              </w:rPr>
            </w:pPr>
            <w:r w:rsidRPr="00D068B4">
              <w:rPr>
                <w:rFonts w:eastAsia="Microsoft YaHei UI"/>
                <w:b/>
                <w:bCs/>
                <w:sz w:val="18"/>
                <w:szCs w:val="18"/>
                <w:lang w:eastAsia="zh-TW"/>
              </w:rPr>
              <w:t>Index </w:t>
            </w:r>
          </w:p>
        </w:tc>
        <w:tc>
          <w:tcPr>
            <w:tcW w:w="2245" w:type="dxa"/>
            <w:tcBorders>
              <w:top w:val="single" w:sz="6" w:space="0" w:color="ABABAB"/>
              <w:left w:val="single" w:sz="6" w:space="0" w:color="ABABAB"/>
              <w:bottom w:val="single" w:sz="6" w:space="0" w:color="ABABAB"/>
              <w:right w:val="single" w:sz="6" w:space="0" w:color="ABABAB"/>
            </w:tcBorders>
            <w:shd w:val="clear" w:color="auto" w:fill="FFFFFF"/>
            <w:hideMark/>
          </w:tcPr>
          <w:p w14:paraId="7A4527E6" w14:textId="77777777" w:rsidR="00D068B4" w:rsidRPr="00D068B4" w:rsidRDefault="00D068B4" w:rsidP="009749B4">
            <w:pPr>
              <w:jc w:val="center"/>
              <w:rPr>
                <w:rFonts w:eastAsia="Microsoft YaHei UI"/>
                <w:sz w:val="18"/>
                <w:szCs w:val="18"/>
                <w:lang w:eastAsia="zh-TW"/>
              </w:rPr>
            </w:pPr>
            <w:r w:rsidRPr="00D068B4">
              <w:rPr>
                <w:rFonts w:eastAsia="Microsoft YaHei UI"/>
                <w:b/>
                <w:bCs/>
                <w:sz w:val="18"/>
                <w:szCs w:val="18"/>
                <w:lang w:eastAsia="zh-TW"/>
              </w:rPr>
              <w:t>Feature group </w:t>
            </w:r>
          </w:p>
        </w:tc>
        <w:tc>
          <w:tcPr>
            <w:tcW w:w="3220" w:type="dxa"/>
            <w:tcBorders>
              <w:top w:val="single" w:sz="6" w:space="0" w:color="ABABAB"/>
              <w:left w:val="single" w:sz="6" w:space="0" w:color="ABABAB"/>
              <w:bottom w:val="single" w:sz="6" w:space="0" w:color="ABABAB"/>
              <w:right w:val="single" w:sz="6" w:space="0" w:color="ABABAB"/>
            </w:tcBorders>
            <w:shd w:val="clear" w:color="auto" w:fill="FFFFFF"/>
            <w:hideMark/>
          </w:tcPr>
          <w:p w14:paraId="4A18AC0C" w14:textId="77777777" w:rsidR="00D068B4" w:rsidRPr="00D068B4" w:rsidRDefault="00D068B4" w:rsidP="009749B4">
            <w:pPr>
              <w:jc w:val="center"/>
              <w:rPr>
                <w:rFonts w:eastAsia="PMingLiU"/>
                <w:sz w:val="18"/>
                <w:szCs w:val="18"/>
                <w:lang w:eastAsia="zh-TW"/>
              </w:rPr>
            </w:pPr>
            <w:r w:rsidRPr="00D068B4">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2F8D2E30" w14:textId="77777777" w:rsidR="00D068B4" w:rsidRPr="00D068B4" w:rsidRDefault="00D068B4" w:rsidP="009749B4">
            <w:pPr>
              <w:jc w:val="center"/>
              <w:rPr>
                <w:rFonts w:eastAsia="Microsoft YaHei UI"/>
                <w:sz w:val="18"/>
                <w:szCs w:val="18"/>
                <w:lang w:eastAsia="zh-TW"/>
              </w:rPr>
            </w:pPr>
            <w:r w:rsidRPr="00D068B4">
              <w:rPr>
                <w:rFonts w:eastAsia="Microsoft YaHei UI"/>
                <w:b/>
                <w:bCs/>
                <w:sz w:val="18"/>
                <w:szCs w:val="18"/>
                <w:lang w:eastAsia="zh-TW"/>
              </w:rPr>
              <w:t>Prerequisite feature groups </w:t>
            </w:r>
          </w:p>
        </w:tc>
      </w:tr>
      <w:tr w:rsidR="00D068B4" w:rsidRPr="00D068B4" w14:paraId="3575CE06" w14:textId="77777777" w:rsidTr="0052647F">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CF33C6C" w14:textId="77777777" w:rsidR="00D068B4" w:rsidRPr="005D156D" w:rsidRDefault="00D068B4" w:rsidP="009749B4">
            <w:pPr>
              <w:keepNext/>
              <w:keepLines/>
              <w:rPr>
                <w:rFonts w:ascii="Arial" w:eastAsiaTheme="minorEastAsia" w:hAnsi="Arial" w:cs="Arial"/>
                <w:sz w:val="18"/>
                <w:szCs w:val="18"/>
              </w:rPr>
            </w:pPr>
            <w:r w:rsidRPr="005D156D">
              <w:rPr>
                <w:rFonts w:ascii="Arial" w:eastAsiaTheme="minorEastAsia" w:hAnsi="Arial" w:cs="Arial"/>
                <w:sz w:val="18"/>
                <w:szCs w:val="18"/>
              </w:rPr>
              <w:t>38. </w:t>
            </w:r>
          </w:p>
          <w:p w14:paraId="2A61DF0A" w14:textId="77777777" w:rsidR="00D068B4" w:rsidRPr="005D156D" w:rsidRDefault="00D068B4" w:rsidP="009749B4">
            <w:pPr>
              <w:autoSpaceDN w:val="0"/>
              <w:adjustRightInd w:val="0"/>
              <w:snapToGrid w:val="0"/>
              <w:spacing w:afterLines="50" w:after="120"/>
              <w:contextualSpacing/>
              <w:rPr>
                <w:rFonts w:ascii="Arial" w:eastAsiaTheme="minorEastAsia" w:hAnsi="Arial" w:cs="Arial"/>
                <w:sz w:val="18"/>
                <w:szCs w:val="18"/>
              </w:rPr>
            </w:pPr>
            <w:proofErr w:type="spellStart"/>
            <w:r w:rsidRPr="005D156D">
              <w:rPr>
                <w:rFonts w:ascii="Arial" w:eastAsiaTheme="minorEastAsia" w:hAnsi="Arial" w:cs="Arial"/>
                <w:sz w:val="18"/>
                <w:szCs w:val="18"/>
              </w:rPr>
              <w:t>NR_MC_enh</w:t>
            </w:r>
            <w:proofErr w:type="spellEnd"/>
            <w:r w:rsidRPr="005D156D">
              <w:rPr>
                <w:rFonts w:ascii="Arial" w:eastAsiaTheme="minorEastAsia" w:hAnsi="Arial" w:cs="Arial"/>
                <w:sz w:val="18"/>
                <w:szCs w:val="18"/>
              </w:rPr>
              <w:t> </w:t>
            </w:r>
          </w:p>
        </w:tc>
        <w:tc>
          <w:tcPr>
            <w:tcW w:w="848" w:type="dxa"/>
            <w:tcBorders>
              <w:top w:val="single" w:sz="6" w:space="0" w:color="ABABAB"/>
              <w:left w:val="single" w:sz="6" w:space="0" w:color="ABABAB"/>
              <w:bottom w:val="single" w:sz="6" w:space="0" w:color="ABABAB"/>
              <w:right w:val="single" w:sz="6" w:space="0" w:color="ABABAB"/>
            </w:tcBorders>
            <w:shd w:val="clear" w:color="auto" w:fill="FFFFFF"/>
          </w:tcPr>
          <w:p w14:paraId="07B65A61" w14:textId="36A1D0C6" w:rsidR="00D068B4" w:rsidRPr="005D156D" w:rsidRDefault="00D068B4" w:rsidP="009749B4">
            <w:pPr>
              <w:jc w:val="center"/>
              <w:rPr>
                <w:rFonts w:ascii="Arial" w:eastAsia="Microsoft YaHei UI" w:hAnsi="Arial" w:cs="Arial"/>
                <w:b/>
                <w:bCs/>
                <w:sz w:val="18"/>
                <w:szCs w:val="18"/>
                <w:lang w:eastAsia="zh-TW"/>
              </w:rPr>
            </w:pPr>
            <w:r w:rsidRPr="005D156D">
              <w:rPr>
                <w:rFonts w:ascii="Arial" w:hAnsi="Arial" w:cs="Arial"/>
                <w:bCs/>
                <w:sz w:val="18"/>
                <w:szCs w:val="18"/>
              </w:rPr>
              <w:t>38-9</w:t>
            </w:r>
          </w:p>
        </w:tc>
        <w:tc>
          <w:tcPr>
            <w:tcW w:w="2245" w:type="dxa"/>
            <w:tcBorders>
              <w:top w:val="single" w:sz="6" w:space="0" w:color="ABABAB"/>
              <w:left w:val="single" w:sz="6" w:space="0" w:color="ABABAB"/>
              <w:bottom w:val="single" w:sz="6" w:space="0" w:color="ABABAB"/>
              <w:right w:val="single" w:sz="6" w:space="0" w:color="ABABAB"/>
            </w:tcBorders>
            <w:shd w:val="clear" w:color="auto" w:fill="FFFFFF"/>
          </w:tcPr>
          <w:p w14:paraId="79B5E33F" w14:textId="7073FEB3" w:rsidR="00D068B4" w:rsidRPr="005D156D" w:rsidRDefault="00D068B4" w:rsidP="009749B4">
            <w:pPr>
              <w:rPr>
                <w:rFonts w:ascii="Arial" w:eastAsia="Microsoft YaHei UI" w:hAnsi="Arial" w:cs="Arial"/>
                <w:b/>
                <w:bCs/>
                <w:sz w:val="18"/>
                <w:szCs w:val="18"/>
                <w:lang w:eastAsia="zh-TW"/>
              </w:rPr>
            </w:pPr>
            <w:r w:rsidRPr="005D156D">
              <w:rPr>
                <w:rFonts w:ascii="Arial" w:hAnsi="Arial" w:cs="Arial"/>
                <w:sz w:val="18"/>
                <w:szCs w:val="18"/>
              </w:rPr>
              <w:t>Dormant BWP switching on multiple CCs RRM requirements</w:t>
            </w:r>
          </w:p>
        </w:tc>
        <w:tc>
          <w:tcPr>
            <w:tcW w:w="3220" w:type="dxa"/>
            <w:tcBorders>
              <w:top w:val="single" w:sz="6" w:space="0" w:color="ABABAB"/>
              <w:left w:val="single" w:sz="6" w:space="0" w:color="ABABAB"/>
              <w:bottom w:val="single" w:sz="6" w:space="0" w:color="ABABAB"/>
              <w:right w:val="single" w:sz="6" w:space="0" w:color="ABABAB"/>
            </w:tcBorders>
            <w:shd w:val="clear" w:color="auto" w:fill="FFFFFF"/>
          </w:tcPr>
          <w:p w14:paraId="51DBE7F0" w14:textId="73AE29DA" w:rsidR="00D068B4" w:rsidRPr="005D156D" w:rsidRDefault="00D068B4" w:rsidP="009749B4">
            <w:pPr>
              <w:rPr>
                <w:rFonts w:ascii="Arial" w:eastAsia="Microsoft YaHei UI" w:hAnsi="Arial" w:cs="Arial"/>
                <w:b/>
                <w:bCs/>
                <w:sz w:val="18"/>
                <w:szCs w:val="18"/>
                <w:lang w:eastAsia="zh-TW"/>
              </w:rPr>
            </w:pPr>
            <w:r w:rsidRPr="005D156D">
              <w:rPr>
                <w:rFonts w:ascii="Arial" w:hAnsi="Arial" w:cs="Arial"/>
                <w:sz w:val="18"/>
                <w:szCs w:val="18"/>
              </w:rPr>
              <w:t xml:space="preserve">Incremental delay for BWP switch processing on additional </w:t>
            </w:r>
            <w:proofErr w:type="spellStart"/>
            <w:r w:rsidRPr="005D156D">
              <w:rPr>
                <w:rFonts w:ascii="Arial" w:hAnsi="Arial" w:cs="Arial"/>
                <w:sz w:val="18"/>
                <w:szCs w:val="18"/>
              </w:rPr>
              <w:t>SCells</w:t>
            </w:r>
            <w:proofErr w:type="spellEnd"/>
            <w:r w:rsidRPr="005D156D">
              <w:rPr>
                <w:rFonts w:ascii="Arial" w:hAnsi="Arial" w:cs="Arial"/>
                <w:sz w:val="18"/>
                <w:szCs w:val="18"/>
              </w:rPr>
              <w:t xml:space="preserve"> in DCI based simultaneous dormant BWP switching on multiple </w:t>
            </w:r>
            <w:proofErr w:type="spellStart"/>
            <w:r w:rsidRPr="005D156D">
              <w:rPr>
                <w:rFonts w:ascii="Arial" w:hAnsi="Arial" w:cs="Arial"/>
                <w:sz w:val="18"/>
                <w:szCs w:val="18"/>
              </w:rPr>
              <w:t>SCells</w:t>
            </w:r>
            <w:proofErr w:type="spellEnd"/>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7C5DCC5C" w14:textId="6E593C87" w:rsidR="00D068B4" w:rsidRPr="005D156D" w:rsidRDefault="00D068B4" w:rsidP="009749B4">
            <w:pPr>
              <w:rPr>
                <w:rFonts w:ascii="Arial" w:hAnsi="Arial" w:cs="Arial"/>
                <w:sz w:val="18"/>
                <w:szCs w:val="18"/>
              </w:rPr>
            </w:pPr>
          </w:p>
        </w:tc>
      </w:tr>
    </w:tbl>
    <w:p w14:paraId="7D6FE9D6" w14:textId="496A9FB7" w:rsidR="00D068B4" w:rsidRPr="00D068B4" w:rsidRDefault="00D068B4" w:rsidP="00255553">
      <w:pPr>
        <w:spacing w:after="120"/>
        <w:jc w:val="both"/>
        <w:rPr>
          <w:rFonts w:ascii="Arial" w:hAnsi="Arial" w:cs="Arial"/>
          <w:color w:val="000000"/>
          <w:lang w:val="en-US"/>
        </w:rPr>
      </w:pPr>
    </w:p>
    <w:p w14:paraId="3986B7F7" w14:textId="20DBEB85" w:rsidR="00A54441" w:rsidRPr="00D068B4" w:rsidRDefault="00A54441" w:rsidP="00A54441">
      <w:pPr>
        <w:pStyle w:val="a3"/>
        <w:numPr>
          <w:ilvl w:val="1"/>
          <w:numId w:val="56"/>
        </w:numPr>
        <w:rPr>
          <w:szCs w:val="21"/>
        </w:rPr>
      </w:pPr>
      <w:r w:rsidRPr="00D068B4">
        <w:lastRenderedPageBreak/>
        <w:t xml:space="preserve">Approach </w:t>
      </w:r>
      <w:r w:rsidRPr="00D068B4">
        <w:rPr>
          <w:szCs w:val="21"/>
        </w:rPr>
        <w:t xml:space="preserve">2-2: </w:t>
      </w:r>
      <w:r w:rsidR="00301E1C">
        <w:rPr>
          <w:szCs w:val="21"/>
        </w:rPr>
        <w:t>D</w:t>
      </w:r>
      <w:r w:rsidRPr="00D068B4">
        <w:rPr>
          <w:szCs w:val="21"/>
        </w:rPr>
        <w:t>efine prerequisite</w:t>
      </w:r>
      <w:r w:rsidR="00301E1C">
        <w:rPr>
          <w:szCs w:val="21"/>
        </w:rPr>
        <w:t xml:space="preserve"> feature group as </w:t>
      </w:r>
      <w:r w:rsidR="006E31BF">
        <w:rPr>
          <w:szCs w:val="21"/>
        </w:rPr>
        <w:t>49-9</w:t>
      </w:r>
      <w:r w:rsidRPr="00D068B4">
        <w:rPr>
          <w:szCs w:val="21"/>
        </w:rPr>
        <w:t xml:space="preserve"> and </w:t>
      </w:r>
      <w:r w:rsidR="00373EF0">
        <w:rPr>
          <w:szCs w:val="21"/>
        </w:rPr>
        <w:t>add</w:t>
      </w:r>
      <w:r w:rsidRPr="00D068B4">
        <w:rPr>
          <w:szCs w:val="21"/>
        </w:rPr>
        <w:t xml:space="preserve"> “with DCI 0-3/1-3”</w:t>
      </w:r>
      <w:r w:rsidR="00373EF0">
        <w:rPr>
          <w:szCs w:val="21"/>
        </w:rPr>
        <w:t xml:space="preserve"> in feature group</w:t>
      </w:r>
      <w:r w:rsidRPr="00D068B4">
        <w:rPr>
          <w:szCs w:val="21"/>
        </w:rPr>
        <w:t>.</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A54441" w:rsidRPr="00D068B4" w14:paraId="77BB187D" w14:textId="77777777" w:rsidTr="0052647F">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04C5CC5"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C8FA379"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7D7F0B62"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DE4A030" w14:textId="77777777" w:rsidR="00A54441" w:rsidRPr="00D068B4" w:rsidRDefault="00A54441" w:rsidP="009749B4">
            <w:pPr>
              <w:jc w:val="center"/>
              <w:rPr>
                <w:rFonts w:eastAsia="PMingLiU"/>
                <w:sz w:val="18"/>
                <w:szCs w:val="18"/>
                <w:lang w:eastAsia="zh-TW"/>
              </w:rPr>
            </w:pPr>
            <w:r w:rsidRPr="00D068B4">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16E203DE"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Prerequisite feature groups </w:t>
            </w:r>
          </w:p>
        </w:tc>
      </w:tr>
      <w:tr w:rsidR="00A54441" w:rsidRPr="00D068B4" w14:paraId="0500FD54" w14:textId="77777777" w:rsidTr="0052647F">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FA76021" w14:textId="77777777" w:rsidR="00A54441" w:rsidRPr="005D156D" w:rsidRDefault="00A54441" w:rsidP="009749B4">
            <w:pPr>
              <w:keepNext/>
              <w:keepLines/>
              <w:rPr>
                <w:rFonts w:ascii="Arial" w:eastAsiaTheme="minorEastAsia" w:hAnsi="Arial" w:cs="Arial"/>
                <w:sz w:val="18"/>
                <w:szCs w:val="18"/>
              </w:rPr>
            </w:pPr>
            <w:r w:rsidRPr="005D156D">
              <w:rPr>
                <w:rFonts w:ascii="Arial" w:eastAsiaTheme="minorEastAsia" w:hAnsi="Arial" w:cs="Arial"/>
                <w:sz w:val="18"/>
                <w:szCs w:val="18"/>
              </w:rPr>
              <w:t>38. </w:t>
            </w:r>
          </w:p>
          <w:p w14:paraId="331FC168" w14:textId="77777777" w:rsidR="00A54441" w:rsidRPr="005D156D" w:rsidRDefault="00A54441" w:rsidP="009749B4">
            <w:pPr>
              <w:autoSpaceDN w:val="0"/>
              <w:adjustRightInd w:val="0"/>
              <w:snapToGrid w:val="0"/>
              <w:spacing w:afterLines="50" w:after="120"/>
              <w:contextualSpacing/>
              <w:rPr>
                <w:rFonts w:ascii="Arial" w:eastAsiaTheme="minorEastAsia" w:hAnsi="Arial" w:cs="Arial"/>
                <w:sz w:val="18"/>
                <w:szCs w:val="18"/>
              </w:rPr>
            </w:pPr>
            <w:proofErr w:type="spellStart"/>
            <w:r w:rsidRPr="005D156D">
              <w:rPr>
                <w:rFonts w:ascii="Arial" w:eastAsiaTheme="minorEastAsia" w:hAnsi="Arial" w:cs="Arial"/>
                <w:sz w:val="18"/>
                <w:szCs w:val="18"/>
              </w:rPr>
              <w:t>NR_MC_enh</w:t>
            </w:r>
            <w:proofErr w:type="spellEnd"/>
            <w:r w:rsidRPr="005D156D">
              <w:rPr>
                <w:rFonts w:ascii="Arial" w:eastAsiaTheme="minorEastAsia" w:hAnsi="Arial" w:cs="Arial"/>
                <w:sz w:val="18"/>
                <w:szCs w:val="18"/>
              </w:rPr>
              <w:t>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644B9071" w14:textId="55CE8E8A" w:rsidR="00A54441" w:rsidRPr="005D156D" w:rsidRDefault="00A54441" w:rsidP="009749B4">
            <w:pPr>
              <w:jc w:val="center"/>
              <w:rPr>
                <w:rFonts w:ascii="Arial" w:eastAsia="Microsoft YaHei UI" w:hAnsi="Arial" w:cs="Arial"/>
                <w:b/>
                <w:bCs/>
                <w:sz w:val="18"/>
                <w:szCs w:val="18"/>
                <w:lang w:eastAsia="zh-TW"/>
              </w:rPr>
            </w:pPr>
            <w:r w:rsidRPr="005D156D">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41F11AD7" w14:textId="65C2F40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Dormant BWP switching on multiple CCs RRM requirements </w:t>
            </w:r>
            <w:r w:rsidRPr="006E31BF">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599F7123" w14:textId="0087BC3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Incremental delay for BWP switch processing on additional </w:t>
            </w:r>
            <w:proofErr w:type="spellStart"/>
            <w:r w:rsidRPr="005D156D">
              <w:rPr>
                <w:rFonts w:ascii="Arial" w:hAnsi="Arial" w:cs="Arial"/>
                <w:sz w:val="18"/>
                <w:szCs w:val="18"/>
              </w:rPr>
              <w:t>SCells</w:t>
            </w:r>
            <w:proofErr w:type="spellEnd"/>
            <w:r w:rsidRPr="005D156D">
              <w:rPr>
                <w:rFonts w:ascii="Arial" w:hAnsi="Arial" w:cs="Arial"/>
                <w:sz w:val="18"/>
                <w:szCs w:val="18"/>
              </w:rPr>
              <w:t xml:space="preserve"> in DCI based simultaneous dormant BWP switching on multiple </w:t>
            </w:r>
            <w:proofErr w:type="spellStart"/>
            <w:r w:rsidRPr="005D156D">
              <w:rPr>
                <w:rFonts w:ascii="Arial" w:hAnsi="Arial" w:cs="Arial"/>
                <w:sz w:val="18"/>
                <w:szCs w:val="18"/>
              </w:rPr>
              <w:t>SCells</w:t>
            </w:r>
            <w:proofErr w:type="spellEnd"/>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54C42D0C" w14:textId="0455FB17" w:rsidR="00A54441" w:rsidRPr="005D156D" w:rsidRDefault="00A54441" w:rsidP="009749B4">
            <w:pPr>
              <w:rPr>
                <w:rFonts w:ascii="Arial" w:hAnsi="Arial" w:cs="Arial"/>
                <w:sz w:val="18"/>
                <w:szCs w:val="18"/>
              </w:rPr>
            </w:pPr>
            <w:r w:rsidRPr="006E31BF">
              <w:rPr>
                <w:rFonts w:ascii="Arial" w:hAnsi="Arial" w:cs="Arial"/>
                <w:sz w:val="18"/>
                <w:szCs w:val="18"/>
                <w:highlight w:val="yellow"/>
              </w:rPr>
              <w:t>49-9</w:t>
            </w:r>
          </w:p>
        </w:tc>
      </w:tr>
    </w:tbl>
    <w:p w14:paraId="21323BA7" w14:textId="71C8EAA7" w:rsidR="00A54441" w:rsidRDefault="00A54441" w:rsidP="00A54441">
      <w:pPr>
        <w:spacing w:after="120"/>
        <w:jc w:val="both"/>
        <w:rPr>
          <w:rFonts w:ascii="Arial" w:hAnsi="Arial" w:cs="Arial"/>
          <w:color w:val="000000"/>
          <w:lang w:val="en-US"/>
        </w:rPr>
      </w:pPr>
    </w:p>
    <w:p w14:paraId="43DEFC48" w14:textId="68DC5F28" w:rsidR="00373EF0" w:rsidRDefault="00113DEC" w:rsidP="00A54441">
      <w:pPr>
        <w:spacing w:after="120"/>
        <w:jc w:val="both"/>
        <w:rPr>
          <w:rFonts w:ascii="Arial" w:hAnsi="Arial" w:cs="Arial"/>
          <w:color w:val="000000"/>
          <w:lang w:val="en-US"/>
        </w:rPr>
      </w:pPr>
      <w:r>
        <w:rPr>
          <w:rFonts w:ascii="Arial" w:hAnsi="Arial" w:cs="Arial" w:hint="eastAsia"/>
          <w:color w:val="000000"/>
          <w:lang w:val="en-US"/>
        </w:rPr>
        <w:t>R</w:t>
      </w:r>
      <w:r>
        <w:rPr>
          <w:rFonts w:ascii="Arial" w:hAnsi="Arial" w:cs="Arial"/>
          <w:color w:val="000000"/>
          <w:lang w:val="en-US"/>
        </w:rPr>
        <w:t>AN4 would like to ask RAN2 to discuss</w:t>
      </w:r>
      <w:r w:rsidR="003B06A3">
        <w:rPr>
          <w:rFonts w:ascii="Arial" w:hAnsi="Arial" w:cs="Arial"/>
          <w:color w:val="000000"/>
          <w:lang w:val="en-US"/>
        </w:rPr>
        <w:t xml:space="preserve"> </w:t>
      </w:r>
      <w:r w:rsidR="00B147C3">
        <w:rPr>
          <w:rFonts w:ascii="Arial" w:hAnsi="Arial" w:cs="Arial"/>
          <w:color w:val="000000"/>
          <w:lang w:val="en-US"/>
        </w:rPr>
        <w:t>these candidate</w:t>
      </w:r>
      <w:r w:rsidR="003B06A3">
        <w:rPr>
          <w:rFonts w:ascii="Arial" w:hAnsi="Arial" w:cs="Arial"/>
          <w:color w:val="000000"/>
          <w:lang w:val="en-US"/>
        </w:rPr>
        <w:t xml:space="preserve"> approaches</w:t>
      </w:r>
      <w:r>
        <w:rPr>
          <w:rFonts w:ascii="Arial" w:hAnsi="Arial" w:cs="Arial"/>
          <w:color w:val="000000"/>
          <w:lang w:val="en-US"/>
        </w:rPr>
        <w:t xml:space="preserve"> and make </w:t>
      </w:r>
      <w:r w:rsidR="003B06A3">
        <w:rPr>
          <w:rFonts w:ascii="Arial" w:hAnsi="Arial" w:cs="Arial"/>
          <w:color w:val="000000"/>
          <w:lang w:val="en-US"/>
        </w:rPr>
        <w:t xml:space="preserve">final </w:t>
      </w:r>
      <w:r>
        <w:rPr>
          <w:rFonts w:ascii="Arial" w:hAnsi="Arial" w:cs="Arial"/>
          <w:color w:val="000000"/>
          <w:lang w:val="en-US"/>
        </w:rPr>
        <w:t>decision on the UE capability design</w:t>
      </w:r>
      <w:r w:rsidR="00360BF7">
        <w:rPr>
          <w:rFonts w:ascii="Arial" w:hAnsi="Arial" w:cs="Arial"/>
          <w:color w:val="000000"/>
          <w:lang w:val="en-US"/>
        </w:rPr>
        <w:t xml:space="preserve"> regardless of one or multiple approaches are feasible from RAN2 perspective</w:t>
      </w:r>
      <w:r>
        <w:rPr>
          <w:rFonts w:ascii="Arial" w:hAnsi="Arial" w:cs="Arial"/>
          <w:color w:val="000000"/>
          <w:lang w:val="en-US"/>
        </w:rPr>
        <w:t>.</w:t>
      </w:r>
      <w:r w:rsidRPr="00113DEC">
        <w:rPr>
          <w:rFonts w:hint="eastAsia"/>
        </w:rPr>
        <w:t xml:space="preserve"> </w:t>
      </w:r>
      <w:r>
        <w:rPr>
          <w:rFonts w:ascii="Arial" w:hAnsi="Arial" w:cs="Arial" w:hint="eastAsia"/>
          <w:color w:val="000000"/>
          <w:lang w:val="en-US"/>
        </w:rPr>
        <w:t>R</w:t>
      </w:r>
      <w:r>
        <w:rPr>
          <w:rFonts w:ascii="Arial" w:hAnsi="Arial" w:cs="Arial"/>
          <w:color w:val="000000"/>
          <w:lang w:val="en-US"/>
        </w:rPr>
        <w:t>AN4 will u</w:t>
      </w:r>
      <w:r w:rsidRPr="00113DEC">
        <w:rPr>
          <w:rFonts w:ascii="Arial" w:hAnsi="Arial" w:cs="Arial"/>
          <w:color w:val="000000"/>
          <w:lang w:val="en-US"/>
        </w:rPr>
        <w:t>pdate UE feature list later based on RAN2 decision</w:t>
      </w:r>
      <w:r>
        <w:rPr>
          <w:rFonts w:ascii="Arial" w:hAnsi="Arial" w:cs="Arial"/>
          <w:color w:val="000000"/>
          <w:lang w:val="en-US"/>
        </w:rPr>
        <w:t>.</w:t>
      </w:r>
    </w:p>
    <w:p w14:paraId="0F5579E1" w14:textId="77777777" w:rsidR="00B147C3" w:rsidRDefault="00B147C3" w:rsidP="00255553">
      <w:pPr>
        <w:spacing w:after="120"/>
        <w:rPr>
          <w:rFonts w:ascii="Arial" w:hAnsi="Arial" w:cs="Arial"/>
          <w:b/>
        </w:rPr>
      </w:pPr>
    </w:p>
    <w:p w14:paraId="63A01CC5" w14:textId="3CC29185"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5767BB06"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F14F2E">
        <w:rPr>
          <w:rFonts w:ascii="Arial" w:hAnsi="Arial" w:cs="Arial"/>
        </w:rPr>
        <w:t>agreements into account and make decision on the UE capability design</w:t>
      </w:r>
      <w:r w:rsidRPr="001D01FF">
        <w:rPr>
          <w:rFonts w:ascii="Arial" w:hAnsi="Arial" w:cs="Arial"/>
        </w:rPr>
        <w:t>.</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417EA73A" w:rsidR="00255553" w:rsidRDefault="00255553"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9"/>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85C7C" w16cex:dateUtc="2024-05-22T0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8A740" w14:textId="77777777" w:rsidR="002D1BAF" w:rsidRDefault="002D1BAF">
      <w:pPr>
        <w:spacing w:after="0"/>
      </w:pPr>
      <w:r>
        <w:separator/>
      </w:r>
    </w:p>
  </w:endnote>
  <w:endnote w:type="continuationSeparator" w:id="0">
    <w:p w14:paraId="1B7D3E50" w14:textId="77777777" w:rsidR="002D1BAF" w:rsidRDefault="002D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9yDgKx4DAAA4BgAADgAAAAAA&#10;AAAAAAAAAAAuAgAAZHJzL2Uyb0RvYy54bWxQSwECLQAUAAYACAAAACEAfHYI4d8AAAALAQAADwAA&#10;AAAAAAAAAAAAAAB4BQAAZHJzL2Rvd25yZXYueG1sUEsFBgAAAAAEAAQA8wAAAIQGA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3A60D" w14:textId="77777777" w:rsidR="002D1BAF" w:rsidRDefault="002D1BAF">
      <w:pPr>
        <w:spacing w:after="0"/>
      </w:pPr>
      <w:r>
        <w:separator/>
      </w:r>
    </w:p>
  </w:footnote>
  <w:footnote w:type="continuationSeparator" w:id="0">
    <w:p w14:paraId="441E523D" w14:textId="77777777" w:rsidR="002D1BAF" w:rsidRDefault="002D1B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6"/>
  </w:num>
  <w:num w:numId="22">
    <w:abstractNumId w:val="35"/>
  </w:num>
  <w:num w:numId="23">
    <w:abstractNumId w:val="43"/>
  </w:num>
  <w:num w:numId="24">
    <w:abstractNumId w:val="52"/>
  </w:num>
  <w:num w:numId="25">
    <w:abstractNumId w:val="31"/>
  </w:num>
  <w:num w:numId="26">
    <w:abstractNumId w:val="22"/>
  </w:num>
  <w:num w:numId="27">
    <w:abstractNumId w:val="42"/>
  </w:num>
  <w:num w:numId="28">
    <w:abstractNumId w:val="28"/>
  </w:num>
  <w:num w:numId="29">
    <w:abstractNumId w:val="27"/>
  </w:num>
  <w:num w:numId="30">
    <w:abstractNumId w:val="45"/>
  </w:num>
  <w:num w:numId="31">
    <w:abstractNumId w:val="23"/>
  </w:num>
  <w:num w:numId="32">
    <w:abstractNumId w:val="29"/>
  </w:num>
  <w:num w:numId="33">
    <w:abstractNumId w:val="33"/>
  </w:num>
  <w:num w:numId="34">
    <w:abstractNumId w:val="44"/>
  </w:num>
  <w:num w:numId="35">
    <w:abstractNumId w:val="32"/>
  </w:num>
  <w:num w:numId="36">
    <w:abstractNumId w:val="48"/>
  </w:num>
  <w:num w:numId="37">
    <w:abstractNumId w:val="21"/>
  </w:num>
  <w:num w:numId="38">
    <w:abstractNumId w:val="36"/>
  </w:num>
  <w:num w:numId="39">
    <w:abstractNumId w:val="47"/>
  </w:num>
  <w:num w:numId="40">
    <w:abstractNumId w:val="38"/>
  </w:num>
  <w:num w:numId="41">
    <w:abstractNumId w:val="49"/>
  </w:num>
  <w:num w:numId="42">
    <w:abstractNumId w:val="41"/>
  </w:num>
  <w:num w:numId="43">
    <w:abstractNumId w:val="34"/>
  </w:num>
  <w:num w:numId="44">
    <w:abstractNumId w:val="25"/>
  </w:num>
  <w:num w:numId="45">
    <w:abstractNumId w:val="0"/>
  </w:num>
  <w:num w:numId="46">
    <w:abstractNumId w:val="0"/>
  </w:num>
  <w:num w:numId="47">
    <w:abstractNumId w:val="51"/>
  </w:num>
  <w:num w:numId="48">
    <w:abstractNumId w:val="50"/>
  </w:num>
  <w:num w:numId="49">
    <w:abstractNumId w:val="0"/>
  </w:num>
  <w:num w:numId="50">
    <w:abstractNumId w:val="30"/>
  </w:num>
  <w:num w:numId="51">
    <w:abstractNumId w:val="24"/>
  </w:num>
  <w:num w:numId="52">
    <w:abstractNumId w:val="37"/>
  </w:num>
  <w:num w:numId="53">
    <w:abstractNumId w:val="26"/>
  </w:num>
  <w:num w:numId="54">
    <w:abstractNumId w:val="30"/>
  </w:num>
  <w:num w:numId="55">
    <w:abstractNumId w:val="40"/>
  </w:num>
  <w:num w:numId="56">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6D6"/>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3DEC"/>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5E3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BAF"/>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1E1C"/>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563D"/>
    <w:rsid w:val="00356E16"/>
    <w:rsid w:val="003578FE"/>
    <w:rsid w:val="00357D38"/>
    <w:rsid w:val="00360000"/>
    <w:rsid w:val="0036061D"/>
    <w:rsid w:val="00360BF7"/>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3EF0"/>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06A3"/>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16C"/>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335"/>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47F"/>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56D"/>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5D81"/>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456E"/>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31B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0DB"/>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14D"/>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AB7"/>
    <w:rsid w:val="00807F9C"/>
    <w:rsid w:val="00810A24"/>
    <w:rsid w:val="008112E5"/>
    <w:rsid w:val="00811ABF"/>
    <w:rsid w:val="00811C1A"/>
    <w:rsid w:val="00813BB6"/>
    <w:rsid w:val="008142FD"/>
    <w:rsid w:val="00816337"/>
    <w:rsid w:val="0081753B"/>
    <w:rsid w:val="00817743"/>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5B3"/>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9E2"/>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561"/>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E5"/>
    <w:rsid w:val="00A43D93"/>
    <w:rsid w:val="00A44FEF"/>
    <w:rsid w:val="00A45014"/>
    <w:rsid w:val="00A46299"/>
    <w:rsid w:val="00A46C37"/>
    <w:rsid w:val="00A473F8"/>
    <w:rsid w:val="00A47D07"/>
    <w:rsid w:val="00A47E47"/>
    <w:rsid w:val="00A5054E"/>
    <w:rsid w:val="00A5217C"/>
    <w:rsid w:val="00A53B03"/>
    <w:rsid w:val="00A53DAA"/>
    <w:rsid w:val="00A53EEC"/>
    <w:rsid w:val="00A54441"/>
    <w:rsid w:val="00A546D4"/>
    <w:rsid w:val="00A5474E"/>
    <w:rsid w:val="00A54A41"/>
    <w:rsid w:val="00A54FB7"/>
    <w:rsid w:val="00A552AD"/>
    <w:rsid w:val="00A5559C"/>
    <w:rsid w:val="00A55A72"/>
    <w:rsid w:val="00A5642D"/>
    <w:rsid w:val="00A57935"/>
    <w:rsid w:val="00A60600"/>
    <w:rsid w:val="00A60634"/>
    <w:rsid w:val="00A60AAF"/>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1DC6"/>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7C3"/>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77E71"/>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796"/>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953"/>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68B4"/>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06"/>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82E"/>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5440"/>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105"/>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4F2E"/>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A187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Unresolved Mention"/>
    <w:basedOn w:val="a5"/>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6781-DDCF-423C-82CE-9DE6649C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2</Pages>
  <Words>476</Words>
  <Characters>2719</Characters>
  <Application>Microsoft Office Word</Application>
  <DocSecurity>0</DocSecurity>
  <Lines>22</Lines>
  <Paragraphs>6</Paragraphs>
  <ScaleCrop>false</ScaleCrop>
  <Company>Tom</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cp:revision>
  <cp:lastPrinted>1995-11-21T09:41:00Z</cp:lastPrinted>
  <dcterms:created xsi:type="dcterms:W3CDTF">2024-05-22T07:50:00Z</dcterms:created>
  <dcterms:modified xsi:type="dcterms:W3CDTF">2024-05-22T23:30:00Z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9"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0" name="_ms_pID_7253431_00">
    <vt:lpwstr>_ms_pID_7253431</vt:lpwstr>
  </property>
  <property fmtid="{D5CDD505-2E9C-101B-9397-08002B2CF9AE}" pid="11" name="_ms_pID_7253432">
    <vt:lpwstr>tHlJMsD+X0NPXW9FGAcR3bk=</vt:lpwstr>
  </property>
  <property fmtid="{D5CDD505-2E9C-101B-9397-08002B2CF9AE}" pid="12" name="_ms_pID_7253432_00">
    <vt:lpwstr>_ms_pID_7253432</vt:lpwstr>
  </property>
  <property fmtid="{D5CDD505-2E9C-101B-9397-08002B2CF9AE}" pid="13" name="_ms_pID_725343_00">
    <vt:lpwstr>_ms_pID_725343</vt:lpwstr>
  </property>
  <property fmtid="{D5CDD505-2E9C-101B-9397-08002B2CF9AE}" pid="14"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5"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6" name="_new_ms_pID_725431_00">
    <vt:lpwstr>_new_ms_pID_725431</vt:lpwstr>
  </property>
  <property fmtid="{D5CDD505-2E9C-101B-9397-08002B2CF9AE}" pid="17"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MSIP_Label_0359f705-2ba0-454b-9cfc-6ce5bcaac040_Enabled">
    <vt:lpwstr>true</vt:lpwstr>
  </property>
  <property fmtid="{D5CDD505-2E9C-101B-9397-08002B2CF9AE}" pid="21" name="MSIP_Label_0359f705-2ba0-454b-9cfc-6ce5bcaac040_SetDate">
    <vt:lpwstr>2024-04-18T03:12:21Z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172656a7-efd6-4d55-ba05-25ce5bbaac26</vt:lpwstr>
  </property>
  <property fmtid="{D5CDD505-2E9C-101B-9397-08002B2CF9AE}" pid="26" name="MSIP_Label_0359f705-2ba0-454b-9cfc-6ce5bcaac040_ContentBits">
    <vt:lpwstr>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1716166783</vt:lpwstr>
  </property>
</Properties>
</file>