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eastAsia="宋体" w:cs="Arial"/>
          <w:b/>
          <w:bCs/>
          <w:sz w:val="24"/>
          <w:szCs w:val="28"/>
        </w:rPr>
      </w:pPr>
      <w:r>
        <w:rPr>
          <w:rFonts w:ascii="Arial" w:hAnsi="Arial" w:eastAsia="宋体" w:cs="Arial"/>
          <w:b/>
          <w:bCs/>
          <w:sz w:val="24"/>
          <w:szCs w:val="28"/>
        </w:rPr>
        <w:t xml:space="preserve">3GPP TSG-RAN WG4 Meeting # 111   </w:t>
      </w:r>
      <w:r>
        <w:rPr>
          <w:rFonts w:hint="eastAsia" w:ascii="Arial" w:hAnsi="Arial" w:eastAsia="宋体" w:cs="Arial"/>
          <w:b/>
          <w:bCs/>
          <w:sz w:val="24"/>
          <w:szCs w:val="28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sz w:val="24"/>
          <w:szCs w:val="28"/>
          <w:lang w:val="en-US" w:eastAsia="zh-CN"/>
        </w:rPr>
        <w:t xml:space="preserve">                </w:t>
      </w:r>
      <w:r>
        <w:rPr>
          <w:rFonts w:hint="eastAsia" w:ascii="Arial" w:hAnsi="Arial" w:eastAsia="宋体" w:cs="Arial"/>
          <w:b/>
          <w:bCs/>
          <w:sz w:val="24"/>
          <w:szCs w:val="28"/>
        </w:rPr>
        <w:t xml:space="preserve">             </w:t>
      </w:r>
      <w:r>
        <w:rPr>
          <w:rFonts w:ascii="Arial" w:hAnsi="Arial" w:eastAsia="宋体" w:cs="Arial"/>
          <w:b/>
          <w:bCs/>
          <w:sz w:val="24"/>
          <w:szCs w:val="28"/>
        </w:rPr>
        <w:t xml:space="preserve">  </w:t>
      </w:r>
      <w:r>
        <w:rPr>
          <w:rFonts w:hint="eastAsia" w:ascii="Arial" w:hAnsi="Arial" w:eastAsia="宋体" w:cs="Arial"/>
          <w:b/>
          <w:bCs/>
          <w:sz w:val="24"/>
          <w:szCs w:val="28"/>
        </w:rPr>
        <w:t>R4-2408216</w:t>
      </w:r>
    </w:p>
    <w:p>
      <w:pPr>
        <w:rPr>
          <w:rFonts w:ascii="Arial" w:hAnsi="Arial" w:eastAsia="宋体" w:cs="Arial"/>
          <w:b/>
          <w:bCs/>
          <w:sz w:val="24"/>
          <w:szCs w:val="28"/>
        </w:rPr>
      </w:pPr>
      <w:r>
        <w:rPr>
          <w:rFonts w:ascii="Arial" w:hAnsi="Arial" w:eastAsia="宋体" w:cs="Arial"/>
          <w:b/>
          <w:bCs/>
          <w:sz w:val="24"/>
          <w:szCs w:val="28"/>
        </w:rPr>
        <w:t>Fukuoka, Japan, 20 May – 24 May, 2024</w:t>
      </w:r>
    </w:p>
    <w:p>
      <w:pPr>
        <w:bidi w:val="0"/>
        <w:rPr>
          <w:lang w:val="en-US" w:eastAsia="zh-CN"/>
        </w:rPr>
      </w:pP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10.3.3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Discussion on parameters of 7125-8400MHz for sharing studies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WRC-23 agreed a WRC-27 agenda item 1.7 related to IMT. Working Party (WP) 5D is responsible for preparing the characteristics of terrestrial component of IMT for sharing and compatibility studies and a LS[1] is sent to RAN4 to ask for IMT parameters in following frequency bands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720" w:leftChars="0" w:hanging="360" w:firstLineChars="0"/>
        <w:textAlignment w:val="auto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4 400-4 800 MHz;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720" w:leftChars="0" w:hanging="360" w:firstLineChars="0"/>
        <w:textAlignment w:val="auto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7 125-8 400 MHz; and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720" w:leftChars="0" w:hanging="360" w:firstLineChars="0"/>
        <w:textAlignment w:val="auto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14.8-15.35 GHz.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In last RAN4 meeting, the timeline of responding to ITU-WP 5D is approved for each frequency range as below R4-2403653: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720" w:leftChars="0" w:hanging="360" w:firstLineChars="0"/>
        <w:textAlignment w:val="auto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4 400-4 800 MHz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Estimated date for completion: May 2024 (RAN WG4#111)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720" w:leftChars="0" w:hanging="360" w:firstLineChars="0"/>
        <w:textAlignment w:val="auto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7 125-8 400 MHz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Estimated date for completion: August 2024 (RAN WG4#112)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720" w:leftChars="0" w:hanging="360" w:firstLineChars="0"/>
        <w:textAlignment w:val="auto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14.8-15.35 GHz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Estimated date for completion: November 2024 (RAN WG4#113)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In last meeting, a WF for 7125-8400MHz has been approved.</w:t>
      </w:r>
    </w:p>
    <w:p>
      <w:pPr>
        <w:spacing w:after="180"/>
        <w:rPr>
          <w:rFonts w:hint="default" w:ascii="Times New Roman" w:hAnsi="Times New Roman" w:eastAsia="宋体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In this contribution, we focus on the discussion of terrestrial IMT parameters for 7125-8400MHz IMT operation bands.</w:t>
      </w:r>
    </w:p>
    <w:p>
      <w:pPr>
        <w:keepNext/>
        <w:keepLines/>
        <w:widowControl/>
        <w:numPr>
          <w:ilvl w:val="0"/>
          <w:numId w:val="3"/>
        </w:numPr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hint="eastAsia" w:ascii="Arial" w:hAnsi="Arial" w:eastAsiaTheme="minorEastAsia" w:cstheme="minorBidi"/>
          <w:sz w:val="32"/>
          <w:szCs w:val="36"/>
        </w:rPr>
      </w:pP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>
      <w:pPr>
        <w:numPr>
          <w:ilvl w:val="0"/>
          <w:numId w:val="4"/>
        </w:numPr>
        <w:spacing w:after="180"/>
        <w:ind w:left="420" w:leftChars="0" w:hanging="420" w:firstLineChars="0"/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7125-8400MHz: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after="180"/>
        <w:ind w:leftChars="0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3GPP has defined NR band n104 including frequency range from 6425 MHz to 7125 MHz which is much near to 7125-8400MHz. Now there is no study of this new band, at first we could use the parameters of n104 as starting point. The suggestions for table 1 is listed as below. For this high frequency band, only AAS BS is feasible.</w:t>
      </w:r>
    </w:p>
    <w:p>
      <w:pPr>
        <w:numPr>
          <w:ilvl w:val="0"/>
          <w:numId w:val="0"/>
        </w:numPr>
        <w:spacing w:after="180"/>
        <w:ind w:leftChars="0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1: the suggestions for 7125-8400MHz related parameters (table 1) are listed.</w:t>
      </w:r>
    </w:p>
    <w:p>
      <w:pPr>
        <w:pStyle w:val="57"/>
        <w:rPr>
          <w:rFonts w:eastAsia="MS Mincho"/>
        </w:rPr>
      </w:pPr>
      <w:r>
        <w:rPr>
          <w:rFonts w:eastAsia="MS Mincho"/>
        </w:rPr>
        <w:t xml:space="preserve">IMT-2030 specification related parameters in </w:t>
      </w:r>
      <w:r>
        <w:rPr>
          <w:rFonts w:hint="eastAsia" w:eastAsia="宋体"/>
          <w:lang w:val="en-US" w:eastAsia="zh-CN"/>
        </w:rPr>
        <w:t>7125-8400</w:t>
      </w:r>
      <w:r>
        <w:rPr>
          <w:rFonts w:eastAsia="MS Mincho"/>
        </w:rPr>
        <w:t xml:space="preserve"> MHz</w:t>
      </w:r>
    </w:p>
    <w:tbl>
      <w:tblPr>
        <w:tblStyle w:val="16"/>
        <w:tblW w:w="38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2641"/>
        <w:gridCol w:w="2197"/>
        <w:gridCol w:w="2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79" w:type="pct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hint="default" w:ascii="Times New Roman" w:hAnsi="Times New Roman" w:eastAsia="MS Mincho" w:cs="Times New Roman"/>
                <w:b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0"/>
              </w:rPr>
              <w:t>No.</w:t>
            </w:r>
          </w:p>
        </w:tc>
        <w:tc>
          <w:tcPr>
            <w:tcW w:w="1734" w:type="pct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hint="default" w:ascii="Times New Roman" w:hAnsi="Times New Roman" w:eastAsia="MS Mincho" w:cs="Times New Roman"/>
                <w:b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0"/>
              </w:rPr>
              <w:t>Parameter</w:t>
            </w:r>
          </w:p>
        </w:tc>
        <w:tc>
          <w:tcPr>
            <w:tcW w:w="1443" w:type="pct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hint="default" w:ascii="Times New Roman" w:hAnsi="Times New Roman" w:eastAsia="MS Mincho" w:cs="Times New Roman"/>
                <w:b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0"/>
              </w:rPr>
              <w:t>Base station (AAS)</w:t>
            </w:r>
          </w:p>
        </w:tc>
        <w:tc>
          <w:tcPr>
            <w:tcW w:w="1442" w:type="pct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hint="default" w:ascii="Times New Roman" w:hAnsi="Times New Roman" w:eastAsia="MS Mincho" w:cs="Times New Roman"/>
                <w:b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0"/>
              </w:rPr>
              <w:t>Mobile station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1</w:t>
            </w:r>
          </w:p>
        </w:tc>
        <w:tc>
          <w:tcPr>
            <w:tcW w:w="1734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Duplex Method</w:t>
            </w:r>
          </w:p>
        </w:tc>
        <w:tc>
          <w:tcPr>
            <w:tcW w:w="1443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TDD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SBFD is also allowed but considering ITU will not do the simulation between SBFD gNB and other concurrent services, it seems maybe we don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t need the reflect this SBFD mode to ITU</w:t>
            </w:r>
          </w:p>
        </w:tc>
        <w:tc>
          <w:tcPr>
            <w:tcW w:w="1442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TDD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SBFD is also allowed but considering ITU will not do the simulation between SBFD gNB and other concurrent services, it seems maybe we don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t need the reflect this SBFD mode to ITU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2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Channel bandwidth (MHz)</w:t>
            </w:r>
          </w:p>
        </w:tc>
        <w:tc>
          <w:tcPr>
            <w:tcW w:w="1443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100MHz (typical)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200MHz is also suggested considering larger frequency range</w:t>
            </w:r>
          </w:p>
        </w:tc>
        <w:tc>
          <w:tcPr>
            <w:tcW w:w="1442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100MHz (typical)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200MHz is also suggested considering larger frequency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3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 xml:space="preserve">Signal bandwidth </w:t>
            </w:r>
            <w:r>
              <w:rPr>
                <w:rFonts w:hint="default" w:ascii="Times New Roman" w:hAnsi="Times New Roman" w:cs="Times New Roman"/>
                <w:sz w:val="20"/>
                <w:lang w:eastAsia="zh-CN"/>
              </w:rPr>
              <w:t>(MHz)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Related to channel bandwidth, see 38.104 section 5.3.2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Higher bandwidth with assuming the similar spectrum utilization as 100MHz</w:t>
            </w:r>
          </w:p>
        </w:tc>
        <w:tc>
          <w:tcPr>
            <w:tcW w:w="144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Related to channel bandwidth, see 38.101-1 section 5.3.2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Higher bandwidth with assuming the similar spectrum utilization as 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Transmitter characteristics</w:t>
            </w:r>
          </w:p>
        </w:tc>
        <w:tc>
          <w:tcPr>
            <w:tcW w:w="1443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</w:p>
        </w:tc>
        <w:tc>
          <w:tcPr>
            <w:tcW w:w="1442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4.1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Power dynamic range (dB)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0dB</w:t>
            </w:r>
          </w:p>
        </w:tc>
        <w:tc>
          <w:tcPr>
            <w:tcW w:w="1442" w:type="pct"/>
            <w:shd w:val="clear" w:color="auto" w:fill="auto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56dB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4.2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Spectral mask (dB)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38.104 section 6.6.4.2 for n104</w:t>
            </w:r>
          </w:p>
        </w:tc>
        <w:tc>
          <w:tcPr>
            <w:tcW w:w="1442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1-1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section 6.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.2 for n104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4.3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ACLR (dB)</w:t>
            </w:r>
          </w:p>
        </w:tc>
        <w:tc>
          <w:tcPr>
            <w:tcW w:w="1443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Use n104</w:t>
            </w:r>
          </w:p>
        </w:tc>
        <w:tc>
          <w:tcPr>
            <w:tcW w:w="1442" w:type="pct"/>
            <w:shd w:val="clear" w:color="auto" w:fill="auto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30dBm for PC3 and 31dBm for PC2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4.4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Spurious emissions /out of band emissions</w:t>
            </w:r>
          </w:p>
        </w:tc>
        <w:tc>
          <w:tcPr>
            <w:tcW w:w="1443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see 38.104 section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6.6.5</w:t>
            </w:r>
          </w:p>
        </w:tc>
        <w:tc>
          <w:tcPr>
            <w:tcW w:w="1442" w:type="pct"/>
            <w:shd w:val="clear" w:color="auto" w:fill="auto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1-1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section 6.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4.5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Maximum output power (dBm)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Defined by the conducted power per antenna element,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 22dB for macro suburban, 22dB for macro urban, 16dB for small cell outdoor/micro urban, 9dB for small cell indoor/indoor urban</w:t>
            </w:r>
          </w:p>
        </w:tc>
        <w:tc>
          <w:tcPr>
            <w:tcW w:w="1442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eastAsia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23dBm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 xml:space="preserve"> baseline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26dBm optional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br w:type="page"/>
            </w:r>
            <w:r>
              <w:rPr>
                <w:rFonts w:hint="default" w:ascii="Times New Roman" w:hAnsi="Times New Roman" w:eastAsia="MS Mincho" w:cs="Times New Roman"/>
                <w:sz w:val="20"/>
              </w:rPr>
              <w:t>5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Receiver characteristics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</w:p>
        </w:tc>
        <w:tc>
          <w:tcPr>
            <w:tcW w:w="144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5.1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Noise figure (dB)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6 dB (Wide Area BS)</w:t>
            </w:r>
            <w:r>
              <w:rPr>
                <w:rFonts w:hint="default" w:ascii="Times New Roman" w:hAnsi="Times New Roman" w:cs="Times New Roman"/>
                <w:sz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</w:rPr>
              <w:t>11 dB (Medium Range BS)</w:t>
            </w:r>
            <w:r>
              <w:rPr>
                <w:rFonts w:hint="default" w:ascii="Times New Roman" w:hAnsi="Times New Roman" w:cs="Times New Roman"/>
                <w:sz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</w:rPr>
              <w:t>14 dB (Local Area BS)</w:t>
            </w:r>
          </w:p>
        </w:tc>
        <w:tc>
          <w:tcPr>
            <w:tcW w:w="1442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9dB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5.2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Sensitivity (dBm)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see 38.104 section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7.2.2</w:t>
            </w:r>
          </w:p>
        </w:tc>
        <w:tc>
          <w:tcPr>
            <w:tcW w:w="144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It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s suggested to further check the sensitivity considering coverage.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5.3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Blocking response</w:t>
            </w:r>
          </w:p>
        </w:tc>
        <w:tc>
          <w:tcPr>
            <w:tcW w:w="1443" w:type="pct"/>
            <w:vAlign w:val="top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In-band blocking: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see 38.104 section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7.4.2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Out-of-band blocking: 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see 38.104 section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7.5.2</w:t>
            </w:r>
          </w:p>
        </w:tc>
        <w:tc>
          <w:tcPr>
            <w:tcW w:w="1442" w:type="pct"/>
            <w:vAlign w:val="top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In-band blocking: 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1-1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table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7.6.2-4 for band n104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Out-of-band blocking: 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1-1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table 7.6.3-4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5.4</w:t>
            </w:r>
          </w:p>
        </w:tc>
        <w:tc>
          <w:tcPr>
            <w:tcW w:w="1734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ACS</w:t>
            </w:r>
          </w:p>
        </w:tc>
        <w:tc>
          <w:tcPr>
            <w:tcW w:w="1443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42dB</w:t>
            </w:r>
          </w:p>
        </w:tc>
        <w:tc>
          <w:tcPr>
            <w:tcW w:w="1442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32dB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5.5</w:t>
            </w:r>
          </w:p>
        </w:tc>
        <w:tc>
          <w:tcPr>
            <w:tcW w:w="1734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SINR operating range (dB)</w:t>
            </w:r>
          </w:p>
        </w:tc>
        <w:tc>
          <w:tcPr>
            <w:tcW w:w="2885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As below</w:t>
            </w:r>
          </w:p>
        </w:tc>
      </w:tr>
    </w:tbl>
    <w:p>
      <w:pPr>
        <w:spacing w:before="0"/>
        <w:rPr>
          <w:sz w:val="20"/>
          <w:lang w:eastAsia="zh-CN"/>
        </w:rPr>
      </w:pPr>
    </w:p>
    <w:p>
      <w:pPr>
        <w:numPr>
          <w:ilvl w:val="0"/>
          <w:numId w:val="0"/>
        </w:numPr>
        <w:spacing w:after="180"/>
        <w:ind w:leftChars="0"/>
        <w:rPr>
          <w:rFonts w:hint="default" w:ascii="Times New Roman" w:hAnsi="Times New Roman" w:cs="Times New Roman"/>
          <w:b w:val="0"/>
          <w:bCs w:val="0"/>
          <w:sz w:val="20"/>
          <w:szCs w:val="20"/>
          <w:highlight w:val="yellow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For the beam forming antenna characteristics, the sub-array modeling captured into TR 38.803 is based on testing of massive commercial BS. Considering antenna performance is much similar for a large frequency range and there is no commercial BS operating 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highlight w:val="none"/>
          <w:lang w:val="en-US" w:eastAsia="zh-CN"/>
        </w:rPr>
        <w:t>at 7125-8400MHz for further testing, it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highlight w:val="none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s reasonable to assume the legacy sub-array antenna modeling is still applicable for this new band. </w:t>
      </w:r>
    </w:p>
    <w:p>
      <w:pPr>
        <w:numPr>
          <w:ilvl w:val="0"/>
          <w:numId w:val="0"/>
        </w:numPr>
        <w:spacing w:after="180"/>
        <w:ind w:leftChars="0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Observation 1: the legacy sub-array antenna modeling in TR 38.803 is still applicable for the band 7125-8400MHz.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>
      <w:pPr>
        <w:spacing w:after="156" w:afterLines="5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hint="eastAsia" w:ascii="Times New Roman" w:hAnsi="Times New Roman"/>
          <w:sz w:val="20"/>
          <w:lang w:val="en-US" w:eastAsia="zh-CN"/>
        </w:rPr>
        <w:t>terrestrial IMT parameters for new candidate IMT operation bands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4400-4800MHz and 7125-8400MHz are discussed with following observations and proposals.</w:t>
      </w:r>
    </w:p>
    <w:p>
      <w:pPr>
        <w:numPr>
          <w:ilvl w:val="0"/>
          <w:numId w:val="0"/>
        </w:numPr>
        <w:spacing w:after="180"/>
        <w:ind w:leftChars="0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1: the suggestions for 7125-8400MHz related parameters (table 1) are listed as below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.</w:t>
      </w:r>
    </w:p>
    <w:p>
      <w:pPr>
        <w:pStyle w:val="57"/>
        <w:rPr>
          <w:rFonts w:eastAsia="MS Mincho"/>
        </w:rPr>
      </w:pPr>
      <w:r>
        <w:rPr>
          <w:rFonts w:eastAsia="MS Mincho"/>
        </w:rPr>
        <w:t>IMT-2030 specification related parameters in [</w:t>
      </w:r>
      <w:r>
        <w:rPr>
          <w:rFonts w:hint="eastAsia" w:eastAsia="宋体"/>
          <w:lang w:val="en-US" w:eastAsia="zh-CN"/>
        </w:rPr>
        <w:t>7125-8400</w:t>
      </w:r>
      <w:r>
        <w:rPr>
          <w:rFonts w:eastAsia="MS Mincho"/>
        </w:rPr>
        <w:t>] MHz</w:t>
      </w:r>
    </w:p>
    <w:tbl>
      <w:tblPr>
        <w:tblStyle w:val="16"/>
        <w:tblW w:w="38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2641"/>
        <w:gridCol w:w="2197"/>
        <w:gridCol w:w="2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79" w:type="pct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hint="default" w:ascii="Times New Roman" w:hAnsi="Times New Roman" w:eastAsia="MS Mincho" w:cs="Times New Roman"/>
                <w:b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0"/>
              </w:rPr>
              <w:t>No.</w:t>
            </w:r>
          </w:p>
        </w:tc>
        <w:tc>
          <w:tcPr>
            <w:tcW w:w="1734" w:type="pct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hint="default" w:ascii="Times New Roman" w:hAnsi="Times New Roman" w:eastAsia="MS Mincho" w:cs="Times New Roman"/>
                <w:b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0"/>
              </w:rPr>
              <w:t>Parameter</w:t>
            </w:r>
          </w:p>
        </w:tc>
        <w:tc>
          <w:tcPr>
            <w:tcW w:w="1443" w:type="pct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hint="default" w:ascii="Times New Roman" w:hAnsi="Times New Roman" w:eastAsia="MS Mincho" w:cs="Times New Roman"/>
                <w:b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0"/>
              </w:rPr>
              <w:t>Base station (AAS)</w:t>
            </w:r>
          </w:p>
        </w:tc>
        <w:tc>
          <w:tcPr>
            <w:tcW w:w="1442" w:type="pct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hint="default" w:ascii="Times New Roman" w:hAnsi="Times New Roman" w:eastAsia="MS Mincho" w:cs="Times New Roman"/>
                <w:b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0"/>
              </w:rPr>
              <w:t>Mobile station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1</w:t>
            </w:r>
          </w:p>
        </w:tc>
        <w:tc>
          <w:tcPr>
            <w:tcW w:w="1734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Duplex Method</w:t>
            </w:r>
          </w:p>
        </w:tc>
        <w:tc>
          <w:tcPr>
            <w:tcW w:w="1443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TDD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SBFD is also allowed but considering ITU will not do the simulation between SBFD gNB and other concurrent services, it seems maybe we don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t need the reflect this SBFD mode to ITU</w:t>
            </w:r>
          </w:p>
        </w:tc>
        <w:tc>
          <w:tcPr>
            <w:tcW w:w="1442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TDD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SBFD is also allowed but considering ITU will not do the simulation between SBFD gNB and other concurrent services, it seems maybe we don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t need the reflect this SBFD mode to ITU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2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Channel bandwidth (MHz)</w:t>
            </w:r>
          </w:p>
        </w:tc>
        <w:tc>
          <w:tcPr>
            <w:tcW w:w="1443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100MHz (typical)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200MHz is also suggested considering larger frequency range</w:t>
            </w:r>
          </w:p>
        </w:tc>
        <w:tc>
          <w:tcPr>
            <w:tcW w:w="1442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100MHz (typical)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200MHz is also suggested considering larger frequency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3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 xml:space="preserve">Signal bandwidth </w:t>
            </w:r>
            <w:r>
              <w:rPr>
                <w:rFonts w:hint="default" w:ascii="Times New Roman" w:hAnsi="Times New Roman" w:cs="Times New Roman"/>
                <w:sz w:val="20"/>
                <w:lang w:eastAsia="zh-CN"/>
              </w:rPr>
              <w:t>(MHz)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Related to channel bandwidth, see 38.104 section 5.3.2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Higher bandwidth with assuming the similar spectrum utilization as 100MHz</w:t>
            </w:r>
          </w:p>
        </w:tc>
        <w:tc>
          <w:tcPr>
            <w:tcW w:w="144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Related to channel bandwidth, see 38.101-1 section 5.3.2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Higher bandwidth with assuming the similar spectrum utilization as 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Transmitter characteristics</w:t>
            </w:r>
          </w:p>
        </w:tc>
        <w:tc>
          <w:tcPr>
            <w:tcW w:w="1443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</w:p>
        </w:tc>
        <w:tc>
          <w:tcPr>
            <w:tcW w:w="1442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4.1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Power dynamic range (dB)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0dB</w:t>
            </w:r>
          </w:p>
        </w:tc>
        <w:tc>
          <w:tcPr>
            <w:tcW w:w="1442" w:type="pct"/>
            <w:shd w:val="clear" w:color="auto" w:fill="auto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56dB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4.2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Spectral mask (dB)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38.104 section 6.6.4.2 for n104</w:t>
            </w:r>
          </w:p>
        </w:tc>
        <w:tc>
          <w:tcPr>
            <w:tcW w:w="1442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1-1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section 6.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.2 for n104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4.3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ACLR (dB)</w:t>
            </w:r>
          </w:p>
        </w:tc>
        <w:tc>
          <w:tcPr>
            <w:tcW w:w="1443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Use n104</w:t>
            </w:r>
          </w:p>
        </w:tc>
        <w:tc>
          <w:tcPr>
            <w:tcW w:w="1442" w:type="pct"/>
            <w:shd w:val="clear" w:color="auto" w:fill="auto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30dBm for PC3 and 31dBm for PC2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4.4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Spurious emissions /out of band emissions</w:t>
            </w:r>
          </w:p>
        </w:tc>
        <w:tc>
          <w:tcPr>
            <w:tcW w:w="1443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see 38.104 section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6.6.5</w:t>
            </w:r>
          </w:p>
        </w:tc>
        <w:tc>
          <w:tcPr>
            <w:tcW w:w="1442" w:type="pct"/>
            <w:shd w:val="clear" w:color="auto" w:fill="auto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1-1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section 6.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4.5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Maximum output power (dBm)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Defined by the conducted power per antenna element,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 22dB for macro suburban, 22dB for macro urban, 16dB for small cell outdoor/micro urban, 9dB for small cell indoor/indoor urban</w:t>
            </w:r>
          </w:p>
        </w:tc>
        <w:tc>
          <w:tcPr>
            <w:tcW w:w="1442" w:type="pct"/>
            <w:shd w:val="clear" w:color="auto" w:fill="auto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eastAsia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23dBm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 xml:space="preserve"> baseline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26dBm optional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br w:type="page"/>
            </w:r>
            <w:r>
              <w:rPr>
                <w:rFonts w:hint="default" w:ascii="Times New Roman" w:hAnsi="Times New Roman" w:eastAsia="MS Mincho" w:cs="Times New Roman"/>
                <w:sz w:val="20"/>
              </w:rPr>
              <w:t>5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Receiver characteristics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</w:p>
        </w:tc>
        <w:tc>
          <w:tcPr>
            <w:tcW w:w="144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5.1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Noise figure (dB)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6 dB (Wide Area BS)</w:t>
            </w:r>
            <w:r>
              <w:rPr>
                <w:rFonts w:hint="default" w:ascii="Times New Roman" w:hAnsi="Times New Roman" w:cs="Times New Roman"/>
                <w:sz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</w:rPr>
              <w:t>11 dB (Medium Range BS)</w:t>
            </w:r>
            <w:r>
              <w:rPr>
                <w:rFonts w:hint="default" w:ascii="Times New Roman" w:hAnsi="Times New Roman" w:cs="Times New Roman"/>
                <w:sz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</w:rPr>
              <w:t>14 dB (Local Area BS)</w:t>
            </w:r>
          </w:p>
        </w:tc>
        <w:tc>
          <w:tcPr>
            <w:tcW w:w="1442" w:type="pct"/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9dB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5.2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Sensitivity (dBm)</w:t>
            </w:r>
          </w:p>
        </w:tc>
        <w:tc>
          <w:tcPr>
            <w:tcW w:w="1443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see 38.104 section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7.2.2</w:t>
            </w:r>
          </w:p>
        </w:tc>
        <w:tc>
          <w:tcPr>
            <w:tcW w:w="144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It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s suggested to further check the sensitivity considering coverage.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5.3</w:t>
            </w:r>
          </w:p>
        </w:tc>
        <w:tc>
          <w:tcPr>
            <w:tcW w:w="1734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Blocking response</w:t>
            </w:r>
          </w:p>
        </w:tc>
        <w:tc>
          <w:tcPr>
            <w:tcW w:w="1443" w:type="pct"/>
            <w:vAlign w:val="top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In-band blocking: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see 38.104 section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7.4.2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Out-of-band blocking: 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see 38.104 section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7.5.2</w:t>
            </w:r>
          </w:p>
        </w:tc>
        <w:tc>
          <w:tcPr>
            <w:tcW w:w="1442" w:type="pct"/>
            <w:vAlign w:val="top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In-band blocking: 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1-1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table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7.6.2-4 for band n104</w:t>
            </w:r>
          </w:p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Out-of-band blocking: 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see 38.10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1-1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table 7.6.3-4</w:t>
            </w: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5.4</w:t>
            </w:r>
          </w:p>
        </w:tc>
        <w:tc>
          <w:tcPr>
            <w:tcW w:w="1734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ACS</w:t>
            </w:r>
          </w:p>
        </w:tc>
        <w:tc>
          <w:tcPr>
            <w:tcW w:w="1443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42dB</w:t>
            </w:r>
          </w:p>
        </w:tc>
        <w:tc>
          <w:tcPr>
            <w:tcW w:w="1442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32dB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9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5.5</w:t>
            </w:r>
          </w:p>
        </w:tc>
        <w:tc>
          <w:tcPr>
            <w:tcW w:w="1734" w:type="pct"/>
            <w:tcBorders>
              <w:bottom w:val="single" w:color="auto" w:sz="4" w:space="0"/>
            </w:tcBorders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default" w:ascii="Times New Roman" w:hAnsi="Times New Roman" w:eastAsia="MS Mincho" w:cs="Times New Roman"/>
                <w:sz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</w:rPr>
              <w:t>SINR operating range (dB)</w:t>
            </w:r>
          </w:p>
        </w:tc>
        <w:tc>
          <w:tcPr>
            <w:tcW w:w="2885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As below</w:t>
            </w:r>
          </w:p>
        </w:tc>
      </w:tr>
    </w:tbl>
    <w:p>
      <w:pPr>
        <w:numPr>
          <w:ilvl w:val="0"/>
          <w:numId w:val="0"/>
        </w:numPr>
        <w:spacing w:after="180"/>
        <w:ind w:leftChars="0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4. Reference</w:t>
      </w:r>
    </w:p>
    <w:p>
      <w:pPr>
        <w:numPr>
          <w:ilvl w:val="0"/>
          <w:numId w:val="5"/>
        </w:numPr>
        <w:tabs>
          <w:tab w:val="right" w:pos="10440"/>
          <w:tab w:val="right" w:pos="13323"/>
        </w:tabs>
        <w:spacing w:after="0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highlight w:val="none"/>
        </w:rPr>
        <w:t>R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-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2400333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,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Parameters of terrestrial component of IMT for sharing and compatibility studies in the frequency bands 4 400-4 800 MHz, 7 125-8 400 MHz and 14.8-15.35 GHz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, ITU-R Working Party 5D.</w:t>
      </w:r>
    </w:p>
    <w:p>
      <w:pPr>
        <w:numPr>
          <w:ilvl w:val="0"/>
          <w:numId w:val="5"/>
        </w:numPr>
        <w:tabs>
          <w:tab w:val="right" w:pos="10440"/>
          <w:tab w:val="right" w:pos="13323"/>
        </w:tabs>
        <w:spacing w:after="0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R4-2403653, LS on Parameters of terrestrial component of IMT for sharing and compatibility studies in the frequency bands 4 400-4 800 MHz, 7 125-8 400 MHz and 14.8-15.35 GHz, Ericsson</w:t>
      </w:r>
    </w:p>
    <w:p>
      <w:pPr>
        <w:numPr>
          <w:ilvl w:val="0"/>
          <w:numId w:val="5"/>
        </w:numPr>
        <w:tabs>
          <w:tab w:val="right" w:pos="10440"/>
          <w:tab w:val="right" w:pos="13323"/>
        </w:tabs>
        <w:spacing w:after="0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R4-2406615, CATT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44EE66C"/>
    <w:multiLevelType w:val="multilevel"/>
    <w:tmpl w:val="044EE66C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42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2">
    <w:nsid w:val="05759DDB"/>
    <w:multiLevelType w:val="singleLevel"/>
    <w:tmpl w:val="05759DD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20D3FB4B"/>
    <w:multiLevelType w:val="multilevel"/>
    <w:tmpl w:val="20D3FB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ambria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ambria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ambria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9A1A71E"/>
    <w:multiLevelType w:val="multilevel"/>
    <w:tmpl w:val="39A1A71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ambria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ambria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ambria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21E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970CA"/>
    <w:rsid w:val="028E1852"/>
    <w:rsid w:val="02C81B1F"/>
    <w:rsid w:val="035967B1"/>
    <w:rsid w:val="035D4591"/>
    <w:rsid w:val="03631D1E"/>
    <w:rsid w:val="036A712A"/>
    <w:rsid w:val="03E26584"/>
    <w:rsid w:val="04492C16"/>
    <w:rsid w:val="04556D28"/>
    <w:rsid w:val="04A732AF"/>
    <w:rsid w:val="04B527F1"/>
    <w:rsid w:val="05026E46"/>
    <w:rsid w:val="053C405B"/>
    <w:rsid w:val="056F5AD7"/>
    <w:rsid w:val="059E10D1"/>
    <w:rsid w:val="05A012C8"/>
    <w:rsid w:val="05BF54F8"/>
    <w:rsid w:val="05D617A2"/>
    <w:rsid w:val="06305334"/>
    <w:rsid w:val="06434355"/>
    <w:rsid w:val="06CC0A35"/>
    <w:rsid w:val="0769686A"/>
    <w:rsid w:val="076E27BD"/>
    <w:rsid w:val="0770402F"/>
    <w:rsid w:val="078E5270"/>
    <w:rsid w:val="07B42F31"/>
    <w:rsid w:val="07CA6B66"/>
    <w:rsid w:val="07F15671"/>
    <w:rsid w:val="08200491"/>
    <w:rsid w:val="08425E71"/>
    <w:rsid w:val="085D3E3F"/>
    <w:rsid w:val="08973524"/>
    <w:rsid w:val="08A65D3D"/>
    <w:rsid w:val="0900762B"/>
    <w:rsid w:val="093E65CC"/>
    <w:rsid w:val="09626007"/>
    <w:rsid w:val="09706A8B"/>
    <w:rsid w:val="09993AB5"/>
    <w:rsid w:val="09EC6054"/>
    <w:rsid w:val="09F66D51"/>
    <w:rsid w:val="0A0219DF"/>
    <w:rsid w:val="0A470CEC"/>
    <w:rsid w:val="0A9E16FB"/>
    <w:rsid w:val="0AA20101"/>
    <w:rsid w:val="0ABA1F25"/>
    <w:rsid w:val="0ADD2F10"/>
    <w:rsid w:val="0AE113D2"/>
    <w:rsid w:val="0AF67B8B"/>
    <w:rsid w:val="0B0758A7"/>
    <w:rsid w:val="0B1B4548"/>
    <w:rsid w:val="0B676BC5"/>
    <w:rsid w:val="0BBF5056"/>
    <w:rsid w:val="0BC542EA"/>
    <w:rsid w:val="0BE65845"/>
    <w:rsid w:val="0BF0521B"/>
    <w:rsid w:val="0BF7455D"/>
    <w:rsid w:val="0BFE4B3A"/>
    <w:rsid w:val="0C296C83"/>
    <w:rsid w:val="0C8D3125"/>
    <w:rsid w:val="0D545798"/>
    <w:rsid w:val="0D624402"/>
    <w:rsid w:val="0D747B9F"/>
    <w:rsid w:val="0E037D57"/>
    <w:rsid w:val="0E041A0C"/>
    <w:rsid w:val="0E1D4B35"/>
    <w:rsid w:val="0E5F68A3"/>
    <w:rsid w:val="0E7813A9"/>
    <w:rsid w:val="0EBD33B9"/>
    <w:rsid w:val="0EBE690E"/>
    <w:rsid w:val="0F1A117A"/>
    <w:rsid w:val="0F5116AE"/>
    <w:rsid w:val="0F596ABB"/>
    <w:rsid w:val="0F5F09C4"/>
    <w:rsid w:val="0F5F4247"/>
    <w:rsid w:val="0F6273CA"/>
    <w:rsid w:val="0F7D4B34"/>
    <w:rsid w:val="0FA367AC"/>
    <w:rsid w:val="0FC419ED"/>
    <w:rsid w:val="0FD9288C"/>
    <w:rsid w:val="0FEE6FAE"/>
    <w:rsid w:val="0FF20B73"/>
    <w:rsid w:val="10003991"/>
    <w:rsid w:val="100565B7"/>
    <w:rsid w:val="10254F0A"/>
    <w:rsid w:val="104963C3"/>
    <w:rsid w:val="107B7E97"/>
    <w:rsid w:val="109C57D8"/>
    <w:rsid w:val="10D64689"/>
    <w:rsid w:val="10DB6961"/>
    <w:rsid w:val="10EF7E56"/>
    <w:rsid w:val="11321BC4"/>
    <w:rsid w:val="1155307D"/>
    <w:rsid w:val="117C38F8"/>
    <w:rsid w:val="117D6EEE"/>
    <w:rsid w:val="119C37F2"/>
    <w:rsid w:val="11B5219D"/>
    <w:rsid w:val="11DF67EB"/>
    <w:rsid w:val="122946DB"/>
    <w:rsid w:val="12750F57"/>
    <w:rsid w:val="12E83AF4"/>
    <w:rsid w:val="132E0705"/>
    <w:rsid w:val="13771DFE"/>
    <w:rsid w:val="13F25EC4"/>
    <w:rsid w:val="14245767"/>
    <w:rsid w:val="145C23B3"/>
    <w:rsid w:val="149931DA"/>
    <w:rsid w:val="149E7662"/>
    <w:rsid w:val="1508348E"/>
    <w:rsid w:val="153220D4"/>
    <w:rsid w:val="15350710"/>
    <w:rsid w:val="155F416A"/>
    <w:rsid w:val="156206A5"/>
    <w:rsid w:val="156354FD"/>
    <w:rsid w:val="156C0FB4"/>
    <w:rsid w:val="157A51BC"/>
    <w:rsid w:val="159557BE"/>
    <w:rsid w:val="15CD7D54"/>
    <w:rsid w:val="15D00CD9"/>
    <w:rsid w:val="15E450B5"/>
    <w:rsid w:val="16371982"/>
    <w:rsid w:val="163D388B"/>
    <w:rsid w:val="168B5B89"/>
    <w:rsid w:val="16B334CA"/>
    <w:rsid w:val="16C005E1"/>
    <w:rsid w:val="175862BF"/>
    <w:rsid w:val="17F263D4"/>
    <w:rsid w:val="17F52BDC"/>
    <w:rsid w:val="180D2D20"/>
    <w:rsid w:val="182249A5"/>
    <w:rsid w:val="18642373"/>
    <w:rsid w:val="18834ED9"/>
    <w:rsid w:val="18AA5B83"/>
    <w:rsid w:val="18E26C79"/>
    <w:rsid w:val="18E55D68"/>
    <w:rsid w:val="18FE0AB6"/>
    <w:rsid w:val="190D7E26"/>
    <w:rsid w:val="19813C3F"/>
    <w:rsid w:val="199B6944"/>
    <w:rsid w:val="19B263B5"/>
    <w:rsid w:val="19DF2D99"/>
    <w:rsid w:val="19EA686E"/>
    <w:rsid w:val="1A5C0DCD"/>
    <w:rsid w:val="1A8670A6"/>
    <w:rsid w:val="1AB02A55"/>
    <w:rsid w:val="1AFD11C6"/>
    <w:rsid w:val="1B00542F"/>
    <w:rsid w:val="1B2F42F1"/>
    <w:rsid w:val="1B3F3E40"/>
    <w:rsid w:val="1B5A0CF0"/>
    <w:rsid w:val="1B7C00B3"/>
    <w:rsid w:val="1B7C0EA4"/>
    <w:rsid w:val="1BC5039F"/>
    <w:rsid w:val="1BF509C2"/>
    <w:rsid w:val="1BF95FEE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233701"/>
    <w:rsid w:val="1E3D0B9B"/>
    <w:rsid w:val="1E81151C"/>
    <w:rsid w:val="1E884DB6"/>
    <w:rsid w:val="1EFE1319"/>
    <w:rsid w:val="1F0D1045"/>
    <w:rsid w:val="1F1F489E"/>
    <w:rsid w:val="1F2F076D"/>
    <w:rsid w:val="1FFB17BC"/>
    <w:rsid w:val="201828B7"/>
    <w:rsid w:val="203D39F0"/>
    <w:rsid w:val="20817033"/>
    <w:rsid w:val="20990887"/>
    <w:rsid w:val="20E833A7"/>
    <w:rsid w:val="20EA2C10"/>
    <w:rsid w:val="216C01F4"/>
    <w:rsid w:val="219168A1"/>
    <w:rsid w:val="21B038D2"/>
    <w:rsid w:val="21D70408"/>
    <w:rsid w:val="21F531C2"/>
    <w:rsid w:val="221E7789"/>
    <w:rsid w:val="221F520B"/>
    <w:rsid w:val="22264B96"/>
    <w:rsid w:val="228B3B2E"/>
    <w:rsid w:val="22BF3A8F"/>
    <w:rsid w:val="22E84C54"/>
    <w:rsid w:val="23436267"/>
    <w:rsid w:val="235E2230"/>
    <w:rsid w:val="2370600B"/>
    <w:rsid w:val="23CA7445"/>
    <w:rsid w:val="241B0EB4"/>
    <w:rsid w:val="24513BF6"/>
    <w:rsid w:val="24683E4B"/>
    <w:rsid w:val="246C2851"/>
    <w:rsid w:val="24841763"/>
    <w:rsid w:val="2488042D"/>
    <w:rsid w:val="24896A55"/>
    <w:rsid w:val="24C36C6D"/>
    <w:rsid w:val="254E0ABD"/>
    <w:rsid w:val="25641764"/>
    <w:rsid w:val="258A21E5"/>
    <w:rsid w:val="25A10883"/>
    <w:rsid w:val="25BB59F6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4B1605"/>
    <w:rsid w:val="277D7855"/>
    <w:rsid w:val="278B3C06"/>
    <w:rsid w:val="27990C94"/>
    <w:rsid w:val="27E33F9B"/>
    <w:rsid w:val="27F23097"/>
    <w:rsid w:val="2805016B"/>
    <w:rsid w:val="286036CB"/>
    <w:rsid w:val="28AA4C8A"/>
    <w:rsid w:val="294A494E"/>
    <w:rsid w:val="29560760"/>
    <w:rsid w:val="2960326E"/>
    <w:rsid w:val="2975343F"/>
    <w:rsid w:val="29922597"/>
    <w:rsid w:val="29C71D19"/>
    <w:rsid w:val="2A144016"/>
    <w:rsid w:val="2A24682F"/>
    <w:rsid w:val="2A2C74BF"/>
    <w:rsid w:val="2A53737E"/>
    <w:rsid w:val="2A704730"/>
    <w:rsid w:val="2AC70C94"/>
    <w:rsid w:val="2AE34B42"/>
    <w:rsid w:val="2AE354DA"/>
    <w:rsid w:val="2B1E47FB"/>
    <w:rsid w:val="2B2A3B5F"/>
    <w:rsid w:val="2BCB58E6"/>
    <w:rsid w:val="2C0547C6"/>
    <w:rsid w:val="2C1C21ED"/>
    <w:rsid w:val="2C380499"/>
    <w:rsid w:val="2C401128"/>
    <w:rsid w:val="2C7E06D0"/>
    <w:rsid w:val="2C8A2F49"/>
    <w:rsid w:val="2C9917B7"/>
    <w:rsid w:val="2C9F3BCE"/>
    <w:rsid w:val="2CA54F7E"/>
    <w:rsid w:val="2CA64350"/>
    <w:rsid w:val="2D4D51B1"/>
    <w:rsid w:val="2D4D79AC"/>
    <w:rsid w:val="2DB7418D"/>
    <w:rsid w:val="2DD5373D"/>
    <w:rsid w:val="2DF80479"/>
    <w:rsid w:val="2E747DC3"/>
    <w:rsid w:val="2E9C0F87"/>
    <w:rsid w:val="2EB7077F"/>
    <w:rsid w:val="2EB8044F"/>
    <w:rsid w:val="2EC16B9C"/>
    <w:rsid w:val="2EDF426C"/>
    <w:rsid w:val="2EEC4E92"/>
    <w:rsid w:val="2EFD44A4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7E6F1F"/>
    <w:rsid w:val="3099089E"/>
    <w:rsid w:val="31432160"/>
    <w:rsid w:val="31490DA5"/>
    <w:rsid w:val="31570E00"/>
    <w:rsid w:val="315F5D75"/>
    <w:rsid w:val="31CA113F"/>
    <w:rsid w:val="31E91E87"/>
    <w:rsid w:val="3243059C"/>
    <w:rsid w:val="32697D44"/>
    <w:rsid w:val="326D0948"/>
    <w:rsid w:val="328A5CFA"/>
    <w:rsid w:val="32C835E0"/>
    <w:rsid w:val="32DF7982"/>
    <w:rsid w:val="33020E3C"/>
    <w:rsid w:val="331537CD"/>
    <w:rsid w:val="33180DE1"/>
    <w:rsid w:val="331E4E70"/>
    <w:rsid w:val="336A7566"/>
    <w:rsid w:val="336E17F0"/>
    <w:rsid w:val="33E2230D"/>
    <w:rsid w:val="33FB26D9"/>
    <w:rsid w:val="34191B30"/>
    <w:rsid w:val="34291F23"/>
    <w:rsid w:val="34413D46"/>
    <w:rsid w:val="344A45A5"/>
    <w:rsid w:val="345C5BF5"/>
    <w:rsid w:val="348103B3"/>
    <w:rsid w:val="34E34BD5"/>
    <w:rsid w:val="353942DE"/>
    <w:rsid w:val="357C3ACE"/>
    <w:rsid w:val="357D1550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510879"/>
    <w:rsid w:val="37036DCD"/>
    <w:rsid w:val="372F46A7"/>
    <w:rsid w:val="37726C9D"/>
    <w:rsid w:val="379A1E22"/>
    <w:rsid w:val="37BD6848"/>
    <w:rsid w:val="37CC6816"/>
    <w:rsid w:val="37DE6907"/>
    <w:rsid w:val="37E810A7"/>
    <w:rsid w:val="380E1C87"/>
    <w:rsid w:val="38A9437C"/>
    <w:rsid w:val="38C2712E"/>
    <w:rsid w:val="38D16127"/>
    <w:rsid w:val="392F1CE1"/>
    <w:rsid w:val="393C0FF6"/>
    <w:rsid w:val="39706EC7"/>
    <w:rsid w:val="39787B56"/>
    <w:rsid w:val="398E1CFA"/>
    <w:rsid w:val="39B62EBE"/>
    <w:rsid w:val="39F71729"/>
    <w:rsid w:val="3A3F5379"/>
    <w:rsid w:val="3A436689"/>
    <w:rsid w:val="3A675260"/>
    <w:rsid w:val="3AAC45FF"/>
    <w:rsid w:val="3AC37B79"/>
    <w:rsid w:val="3AE070A1"/>
    <w:rsid w:val="3B1E2869"/>
    <w:rsid w:val="3B617677"/>
    <w:rsid w:val="3B757B5E"/>
    <w:rsid w:val="3BA65BED"/>
    <w:rsid w:val="3BDB4DC2"/>
    <w:rsid w:val="3C09240E"/>
    <w:rsid w:val="3C146221"/>
    <w:rsid w:val="3CC365B8"/>
    <w:rsid w:val="3CD51844"/>
    <w:rsid w:val="3CE979FE"/>
    <w:rsid w:val="3D014BA4"/>
    <w:rsid w:val="3D08452F"/>
    <w:rsid w:val="3D267363"/>
    <w:rsid w:val="3D3675FD"/>
    <w:rsid w:val="3D5001A7"/>
    <w:rsid w:val="3D515C28"/>
    <w:rsid w:val="3D55441E"/>
    <w:rsid w:val="3D6B2F4F"/>
    <w:rsid w:val="3D713555"/>
    <w:rsid w:val="3D741DEE"/>
    <w:rsid w:val="3D7804A1"/>
    <w:rsid w:val="3D85737C"/>
    <w:rsid w:val="3D9C3FFF"/>
    <w:rsid w:val="3DDE328E"/>
    <w:rsid w:val="3E0B0DB0"/>
    <w:rsid w:val="3E116F60"/>
    <w:rsid w:val="3E410732"/>
    <w:rsid w:val="3E572F58"/>
    <w:rsid w:val="3E636D6A"/>
    <w:rsid w:val="3E872DEF"/>
    <w:rsid w:val="3E962A3C"/>
    <w:rsid w:val="3E9704BE"/>
    <w:rsid w:val="3F043070"/>
    <w:rsid w:val="3F1D2CEE"/>
    <w:rsid w:val="3F2548AA"/>
    <w:rsid w:val="3F4418DB"/>
    <w:rsid w:val="3F4D6968"/>
    <w:rsid w:val="3F8B424E"/>
    <w:rsid w:val="3F934EDE"/>
    <w:rsid w:val="3FCE6ABE"/>
    <w:rsid w:val="40130E98"/>
    <w:rsid w:val="401776B5"/>
    <w:rsid w:val="403501D5"/>
    <w:rsid w:val="40516596"/>
    <w:rsid w:val="407E4ADB"/>
    <w:rsid w:val="40B04E56"/>
    <w:rsid w:val="40C60753"/>
    <w:rsid w:val="40D24565"/>
    <w:rsid w:val="410113A2"/>
    <w:rsid w:val="41597CC1"/>
    <w:rsid w:val="41880811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CE0B28"/>
    <w:rsid w:val="436807A8"/>
    <w:rsid w:val="438C7FE1"/>
    <w:rsid w:val="439901E8"/>
    <w:rsid w:val="43CD51C7"/>
    <w:rsid w:val="43EC12FF"/>
    <w:rsid w:val="43EE4803"/>
    <w:rsid w:val="43F11B33"/>
    <w:rsid w:val="43F17986"/>
    <w:rsid w:val="43FF4262"/>
    <w:rsid w:val="444678CE"/>
    <w:rsid w:val="44565A46"/>
    <w:rsid w:val="44604594"/>
    <w:rsid w:val="447E086E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D51A8"/>
    <w:rsid w:val="459B4244"/>
    <w:rsid w:val="45A33E4B"/>
    <w:rsid w:val="45A94422"/>
    <w:rsid w:val="45AA427C"/>
    <w:rsid w:val="45B253E8"/>
    <w:rsid w:val="45CC5F92"/>
    <w:rsid w:val="46236563"/>
    <w:rsid w:val="465C2D4B"/>
    <w:rsid w:val="465C457C"/>
    <w:rsid w:val="467609A9"/>
    <w:rsid w:val="46E67A01"/>
    <w:rsid w:val="47262D4B"/>
    <w:rsid w:val="475A0C1C"/>
    <w:rsid w:val="47670737"/>
    <w:rsid w:val="47F00216"/>
    <w:rsid w:val="480F5247"/>
    <w:rsid w:val="483031FD"/>
    <w:rsid w:val="4839608B"/>
    <w:rsid w:val="483A3F41"/>
    <w:rsid w:val="48B06FCF"/>
    <w:rsid w:val="48FF25D1"/>
    <w:rsid w:val="49281A93"/>
    <w:rsid w:val="492F313E"/>
    <w:rsid w:val="495010D7"/>
    <w:rsid w:val="4955555E"/>
    <w:rsid w:val="498C7C37"/>
    <w:rsid w:val="49A21DDA"/>
    <w:rsid w:val="49E453DD"/>
    <w:rsid w:val="49EE4458"/>
    <w:rsid w:val="4A521971"/>
    <w:rsid w:val="4A880DD3"/>
    <w:rsid w:val="4A9C4E28"/>
    <w:rsid w:val="4AFF7B18"/>
    <w:rsid w:val="4B254325"/>
    <w:rsid w:val="4B2941E0"/>
    <w:rsid w:val="4B3C27E9"/>
    <w:rsid w:val="4BB11B3A"/>
    <w:rsid w:val="4BFF2F3E"/>
    <w:rsid w:val="4C261BDE"/>
    <w:rsid w:val="4C334692"/>
    <w:rsid w:val="4C660668"/>
    <w:rsid w:val="4C816990"/>
    <w:rsid w:val="4C9359B0"/>
    <w:rsid w:val="4CCC6E0F"/>
    <w:rsid w:val="4D1B40EF"/>
    <w:rsid w:val="4D2079EB"/>
    <w:rsid w:val="4D2B4C2A"/>
    <w:rsid w:val="4D570F71"/>
    <w:rsid w:val="4DC12B9F"/>
    <w:rsid w:val="4DEE01EB"/>
    <w:rsid w:val="4DF036EE"/>
    <w:rsid w:val="4DF30DF0"/>
    <w:rsid w:val="4DFC16FF"/>
    <w:rsid w:val="4E03108A"/>
    <w:rsid w:val="4E2822B5"/>
    <w:rsid w:val="4E5A1A99"/>
    <w:rsid w:val="4E640249"/>
    <w:rsid w:val="4E723844"/>
    <w:rsid w:val="4E85035F"/>
    <w:rsid w:val="4EB95335"/>
    <w:rsid w:val="4ED33CE1"/>
    <w:rsid w:val="4F01352B"/>
    <w:rsid w:val="4F13254C"/>
    <w:rsid w:val="4F423F95"/>
    <w:rsid w:val="4F7769ED"/>
    <w:rsid w:val="4FBF6DE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A227FA"/>
    <w:rsid w:val="51A57002"/>
    <w:rsid w:val="51F65583"/>
    <w:rsid w:val="52013E99"/>
    <w:rsid w:val="521274CB"/>
    <w:rsid w:val="525A47BF"/>
    <w:rsid w:val="528278EA"/>
    <w:rsid w:val="52B51198"/>
    <w:rsid w:val="52E03A67"/>
    <w:rsid w:val="52FC46EA"/>
    <w:rsid w:val="534D042C"/>
    <w:rsid w:val="5350703E"/>
    <w:rsid w:val="538C361F"/>
    <w:rsid w:val="538D10A1"/>
    <w:rsid w:val="53A46AC8"/>
    <w:rsid w:val="53A54549"/>
    <w:rsid w:val="53F47B4C"/>
    <w:rsid w:val="5403314B"/>
    <w:rsid w:val="544A4CD7"/>
    <w:rsid w:val="545309AA"/>
    <w:rsid w:val="54BF0519"/>
    <w:rsid w:val="54E33BD1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941399"/>
    <w:rsid w:val="569F71AC"/>
    <w:rsid w:val="56BA15D9"/>
    <w:rsid w:val="56EF3AF5"/>
    <w:rsid w:val="56F83407"/>
    <w:rsid w:val="571E54DC"/>
    <w:rsid w:val="572210F5"/>
    <w:rsid w:val="572A730E"/>
    <w:rsid w:val="574B7843"/>
    <w:rsid w:val="576146B9"/>
    <w:rsid w:val="577865C9"/>
    <w:rsid w:val="578F7CCE"/>
    <w:rsid w:val="579C1BCB"/>
    <w:rsid w:val="57B35F6D"/>
    <w:rsid w:val="57B74973"/>
    <w:rsid w:val="57E1103B"/>
    <w:rsid w:val="57E23AB5"/>
    <w:rsid w:val="58467715"/>
    <w:rsid w:val="587B1239"/>
    <w:rsid w:val="58886F75"/>
    <w:rsid w:val="58B65B9B"/>
    <w:rsid w:val="593309E8"/>
    <w:rsid w:val="593A0373"/>
    <w:rsid w:val="59A92BA5"/>
    <w:rsid w:val="59B07FB1"/>
    <w:rsid w:val="59FB712C"/>
    <w:rsid w:val="59FD262F"/>
    <w:rsid w:val="5A050D40"/>
    <w:rsid w:val="5A770B6E"/>
    <w:rsid w:val="5A8A0BF0"/>
    <w:rsid w:val="5AB246DC"/>
    <w:rsid w:val="5AB3215E"/>
    <w:rsid w:val="5AD42692"/>
    <w:rsid w:val="5B2F7529"/>
    <w:rsid w:val="5BBA168B"/>
    <w:rsid w:val="5BBD01B3"/>
    <w:rsid w:val="5C13779B"/>
    <w:rsid w:val="5CCF11D3"/>
    <w:rsid w:val="5CEF6D29"/>
    <w:rsid w:val="5D4A309B"/>
    <w:rsid w:val="5D7F7CF2"/>
    <w:rsid w:val="5D851C35"/>
    <w:rsid w:val="5EE061E5"/>
    <w:rsid w:val="5F187E14"/>
    <w:rsid w:val="5F255EFF"/>
    <w:rsid w:val="5F5159EF"/>
    <w:rsid w:val="5FDA5B33"/>
    <w:rsid w:val="5FDC7E75"/>
    <w:rsid w:val="5FF120B4"/>
    <w:rsid w:val="603A596D"/>
    <w:rsid w:val="60467201"/>
    <w:rsid w:val="607B393B"/>
    <w:rsid w:val="609B470C"/>
    <w:rsid w:val="60AC4695"/>
    <w:rsid w:val="60BA2331"/>
    <w:rsid w:val="60EB32AF"/>
    <w:rsid w:val="61171AD8"/>
    <w:rsid w:val="61254671"/>
    <w:rsid w:val="6142291C"/>
    <w:rsid w:val="61B73BDF"/>
    <w:rsid w:val="61CE3805"/>
    <w:rsid w:val="61FE0917"/>
    <w:rsid w:val="623E513D"/>
    <w:rsid w:val="62563CE5"/>
    <w:rsid w:val="62E47AC9"/>
    <w:rsid w:val="6350047D"/>
    <w:rsid w:val="63A13700"/>
    <w:rsid w:val="6412053C"/>
    <w:rsid w:val="642B744B"/>
    <w:rsid w:val="643C4C03"/>
    <w:rsid w:val="64430D0B"/>
    <w:rsid w:val="648065F1"/>
    <w:rsid w:val="65046BCA"/>
    <w:rsid w:val="650A2CD2"/>
    <w:rsid w:val="651435E1"/>
    <w:rsid w:val="654153AA"/>
    <w:rsid w:val="654D4A40"/>
    <w:rsid w:val="6566621E"/>
    <w:rsid w:val="65821697"/>
    <w:rsid w:val="65CE6293"/>
    <w:rsid w:val="661E7317"/>
    <w:rsid w:val="66495BDD"/>
    <w:rsid w:val="669E696B"/>
    <w:rsid w:val="66C60005"/>
    <w:rsid w:val="66D435C2"/>
    <w:rsid w:val="66ED66EB"/>
    <w:rsid w:val="67763396"/>
    <w:rsid w:val="678A1A6C"/>
    <w:rsid w:val="679F070D"/>
    <w:rsid w:val="67A9335C"/>
    <w:rsid w:val="67D44D17"/>
    <w:rsid w:val="680C4CB4"/>
    <w:rsid w:val="680E2045"/>
    <w:rsid w:val="68374408"/>
    <w:rsid w:val="68976726"/>
    <w:rsid w:val="69156EBB"/>
    <w:rsid w:val="69760313"/>
    <w:rsid w:val="698A6FB3"/>
    <w:rsid w:val="69DD483F"/>
    <w:rsid w:val="69F942E4"/>
    <w:rsid w:val="6A0568FD"/>
    <w:rsid w:val="6A2B6B3C"/>
    <w:rsid w:val="6A5F0290"/>
    <w:rsid w:val="6A865F51"/>
    <w:rsid w:val="6B3E279D"/>
    <w:rsid w:val="6B6A52CA"/>
    <w:rsid w:val="6B9F60AC"/>
    <w:rsid w:val="6BA350A4"/>
    <w:rsid w:val="6BCD756D"/>
    <w:rsid w:val="6BFA38B5"/>
    <w:rsid w:val="6C0A3B4F"/>
    <w:rsid w:val="6C254067"/>
    <w:rsid w:val="6C3426E1"/>
    <w:rsid w:val="6C7A1884"/>
    <w:rsid w:val="6D0A6F75"/>
    <w:rsid w:val="6D2E4BAB"/>
    <w:rsid w:val="6D4A44DB"/>
    <w:rsid w:val="6D63623C"/>
    <w:rsid w:val="6D853006"/>
    <w:rsid w:val="6DEB7F47"/>
    <w:rsid w:val="6E123F24"/>
    <w:rsid w:val="6E3766E2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25039A"/>
    <w:rsid w:val="6F7E447B"/>
    <w:rsid w:val="6F7F1EFD"/>
    <w:rsid w:val="6F851C91"/>
    <w:rsid w:val="6F9C01A8"/>
    <w:rsid w:val="6FA8783E"/>
    <w:rsid w:val="6FBC2EB1"/>
    <w:rsid w:val="70105F68"/>
    <w:rsid w:val="703A6DAC"/>
    <w:rsid w:val="70623166"/>
    <w:rsid w:val="7073020B"/>
    <w:rsid w:val="709C35CE"/>
    <w:rsid w:val="70D127A3"/>
    <w:rsid w:val="70F86AD9"/>
    <w:rsid w:val="71032079"/>
    <w:rsid w:val="71936767"/>
    <w:rsid w:val="72100F31"/>
    <w:rsid w:val="72287D95"/>
    <w:rsid w:val="72304FDF"/>
    <w:rsid w:val="72434C03"/>
    <w:rsid w:val="7247717D"/>
    <w:rsid w:val="729926C8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C19D5"/>
    <w:rsid w:val="741A7D2C"/>
    <w:rsid w:val="74694588"/>
    <w:rsid w:val="746C550D"/>
    <w:rsid w:val="746D457D"/>
    <w:rsid w:val="74AB3A32"/>
    <w:rsid w:val="74AF2AFE"/>
    <w:rsid w:val="74E146D2"/>
    <w:rsid w:val="74F86B15"/>
    <w:rsid w:val="74FB236E"/>
    <w:rsid w:val="756A3232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693C0F"/>
    <w:rsid w:val="77695CCA"/>
    <w:rsid w:val="776C5E7A"/>
    <w:rsid w:val="778A0CAD"/>
    <w:rsid w:val="779415BD"/>
    <w:rsid w:val="779C0BC8"/>
    <w:rsid w:val="779C4C9B"/>
    <w:rsid w:val="77C2468B"/>
    <w:rsid w:val="7855167B"/>
    <w:rsid w:val="78A92755"/>
    <w:rsid w:val="78B9366E"/>
    <w:rsid w:val="78BC17CD"/>
    <w:rsid w:val="78D366C6"/>
    <w:rsid w:val="790B20A3"/>
    <w:rsid w:val="796C47DC"/>
    <w:rsid w:val="79DF2C7C"/>
    <w:rsid w:val="79E47779"/>
    <w:rsid w:val="79F57AA2"/>
    <w:rsid w:val="7A1F66E8"/>
    <w:rsid w:val="7A4C3D34"/>
    <w:rsid w:val="7A7D4CC5"/>
    <w:rsid w:val="7AE67D87"/>
    <w:rsid w:val="7AFD02D5"/>
    <w:rsid w:val="7B6E2211"/>
    <w:rsid w:val="7B8472B4"/>
    <w:rsid w:val="7BC80470"/>
    <w:rsid w:val="7BCA41A5"/>
    <w:rsid w:val="7BE0484E"/>
    <w:rsid w:val="7C081A8C"/>
    <w:rsid w:val="7C0F40E4"/>
    <w:rsid w:val="7C153320"/>
    <w:rsid w:val="7C3F79E7"/>
    <w:rsid w:val="7C6248B5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9E07CB"/>
    <w:rsid w:val="7EDD5D31"/>
    <w:rsid w:val="7F23352A"/>
    <w:rsid w:val="7F5759FB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6"/>
    <w:unhideWhenUsed/>
    <w:qFormat/>
    <w:uiPriority w:val="9"/>
    <w:pPr>
      <w:keepNext/>
      <w:keepLines/>
      <w:spacing w:before="50" w:beforeLines="50" w:after="50" w:afterLines="50" w:line="240" w:lineRule="auto"/>
      <w:outlineLvl w:val="2"/>
    </w:pPr>
    <w:rPr>
      <w:rFonts w:ascii="Arial" w:hAnsi="Arial" w:eastAsia="Arial Unicode MS"/>
      <w:bCs/>
      <w:sz w:val="30"/>
      <w:szCs w:val="32"/>
    </w:rPr>
  </w:style>
  <w:style w:type="paragraph" w:styleId="5">
    <w:name w:val="heading 5"/>
    <w:basedOn w:val="1"/>
    <w:next w:val="1"/>
    <w:link w:val="5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0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7">
    <w:name w:val="Document Map"/>
    <w:basedOn w:val="1"/>
    <w:link w:val="39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7"/>
    <w:unhideWhenUsed/>
    <w:qFormat/>
    <w:uiPriority w:val="0"/>
    <w:pPr>
      <w:jc w:val="left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annotation subject"/>
    <w:basedOn w:val="8"/>
    <w:next w:val="8"/>
    <w:link w:val="38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character" w:customStyle="1" w:styleId="21">
    <w:name w:val="Header Char"/>
    <w:basedOn w:val="18"/>
    <w:link w:val="13"/>
    <w:qFormat/>
    <w:uiPriority w:val="99"/>
    <w:rPr>
      <w:sz w:val="18"/>
      <w:szCs w:val="18"/>
    </w:rPr>
  </w:style>
  <w:style w:type="character" w:customStyle="1" w:styleId="22">
    <w:name w:val="Footer Char"/>
    <w:basedOn w:val="18"/>
    <w:link w:val="12"/>
    <w:qFormat/>
    <w:uiPriority w:val="99"/>
    <w:rPr>
      <w:sz w:val="18"/>
      <w:szCs w:val="18"/>
    </w:rPr>
  </w:style>
  <w:style w:type="character" w:customStyle="1" w:styleId="23">
    <w:name w:val="Char Char"/>
    <w:link w:val="24"/>
    <w:qFormat/>
    <w:uiPriority w:val="0"/>
    <w:rPr>
      <w:rFonts w:ascii="Arial" w:hAnsi="Arial"/>
      <w:sz w:val="32"/>
      <w:szCs w:val="36"/>
    </w:rPr>
  </w:style>
  <w:style w:type="paragraph" w:customStyle="1" w:styleId="24">
    <w:name w:val="Char"/>
    <w:basedOn w:val="25"/>
    <w:link w:val="23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5">
    <w:name w:val="List Paragraph"/>
    <w:basedOn w:val="1"/>
    <w:link w:val="41"/>
    <w:qFormat/>
    <w:uiPriority w:val="34"/>
    <w:pPr>
      <w:ind w:firstLine="420" w:firstLineChars="200"/>
    </w:pPr>
  </w:style>
  <w:style w:type="character" w:customStyle="1" w:styleId="26">
    <w:name w:val="TAH Car"/>
    <w:link w:val="27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7">
    <w:name w:val="TAH"/>
    <w:basedOn w:val="28"/>
    <w:link w:val="26"/>
    <w:qFormat/>
    <w:uiPriority w:val="0"/>
    <w:rPr>
      <w:b/>
    </w:rPr>
  </w:style>
  <w:style w:type="paragraph" w:customStyle="1" w:styleId="28">
    <w:name w:val="TAC"/>
    <w:basedOn w:val="29"/>
    <w:link w:val="32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29">
    <w:name w:val="TAL"/>
    <w:basedOn w:val="1"/>
    <w:link w:val="36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30">
    <w:name w:val="B1 Char"/>
    <w:link w:val="31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31">
    <w:name w:val="B1"/>
    <w:basedOn w:val="10"/>
    <w:link w:val="30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2">
    <w:name w:val="TAC Char"/>
    <w:link w:val="2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3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4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5">
    <w:name w:val="Balloon Text Char"/>
    <w:basedOn w:val="18"/>
    <w:link w:val="11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6">
    <w:name w:val="TAL Char"/>
    <w:link w:val="2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7">
    <w:name w:val="Comment Text Char"/>
    <w:basedOn w:val="18"/>
    <w:link w:val="8"/>
    <w:qFormat/>
    <w:uiPriority w:val="0"/>
    <w:rPr>
      <w:rFonts w:ascii="CG Times (WN)" w:hAnsi="CG Times (WN)" w:eastAsia="宋体" w:cs="Times New Roman"/>
    </w:rPr>
  </w:style>
  <w:style w:type="character" w:customStyle="1" w:styleId="38">
    <w:name w:val="Comment Subject Char"/>
    <w:basedOn w:val="37"/>
    <w:link w:val="15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39">
    <w:name w:val="Document Map Char"/>
    <w:basedOn w:val="18"/>
    <w:link w:val="7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40">
    <w:name w:val="Caption Char"/>
    <w:link w:val="6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1">
    <w:name w:val="List Paragraph Char"/>
    <w:link w:val="25"/>
    <w:qFormat/>
    <w:uiPriority w:val="34"/>
    <w:rPr>
      <w:rFonts w:ascii="CG Times (WN)" w:hAnsi="CG Times (WN)" w:eastAsia="宋体" w:cs="Times New Roman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3">
    <w:name w:val="Heading 2 Char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4">
    <w:name w:val="网格型1"/>
    <w:basedOn w:val="16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">
    <w:name w:val="网格型2"/>
    <w:basedOn w:val="16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6">
    <w:name w:val="Heading 3 Char"/>
    <w:basedOn w:val="18"/>
    <w:link w:val="4"/>
    <w:qFormat/>
    <w:uiPriority w:val="9"/>
    <w:rPr>
      <w:rFonts w:ascii="Arial" w:hAnsi="Arial" w:eastAsia="Arial Unicode MS" w:cs="Times New Roman"/>
      <w:bCs/>
      <w:sz w:val="30"/>
      <w:szCs w:val="32"/>
    </w:rPr>
  </w:style>
  <w:style w:type="table" w:customStyle="1" w:styleId="47">
    <w:name w:val="网格型3"/>
    <w:basedOn w:val="1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table" w:customStyle="1" w:styleId="49">
    <w:name w:val="Table Grid1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">
    <w:name w:val="Heading 5 Char"/>
    <w:basedOn w:val="18"/>
    <w:link w:val="5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2"/>
    <w:basedOn w:val="9"/>
    <w:qFormat/>
    <w:uiPriority w:val="0"/>
  </w:style>
  <w:style w:type="paragraph" w:customStyle="1" w:styleId="54">
    <w:name w:val="TAN"/>
    <w:basedOn w:val="29"/>
    <w:qFormat/>
    <w:uiPriority w:val="0"/>
    <w:pPr>
      <w:ind w:left="851" w:hanging="851"/>
    </w:pPr>
  </w:style>
  <w:style w:type="character" w:customStyle="1" w:styleId="55">
    <w:name w:val="B1 Char1"/>
    <w:qFormat/>
    <w:uiPriority w:val="0"/>
    <w:rPr>
      <w:rFonts w:eastAsia="Times New Roman"/>
    </w:rPr>
  </w:style>
  <w:style w:type="paragraph" w:customStyle="1" w:styleId="56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57">
    <w:name w:val="Table_title"/>
    <w:basedOn w:val="1"/>
    <w:next w:val="58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58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59">
    <w:name w:val="enumlev2"/>
    <w:basedOn w:val="56"/>
    <w:qFormat/>
    <w:uiPriority w:val="99"/>
    <w:pPr>
      <w:ind w:left="1871" w:hanging="737"/>
    </w:pPr>
  </w:style>
  <w:style w:type="paragraph" w:customStyle="1" w:styleId="60">
    <w:name w:val="enumlev3"/>
    <w:basedOn w:val="59"/>
    <w:qFormat/>
    <w:uiPriority w:val="0"/>
    <w:pPr>
      <w:ind w:left="2268" w:hanging="397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787</Words>
  <Characters>4487</Characters>
  <Lines>37</Lines>
  <Paragraphs>10</Paragraphs>
  <TotalTime>1</TotalTime>
  <ScaleCrop>false</ScaleCrop>
  <LinksUpToDate>false</LinksUpToDate>
  <CharactersWithSpaces>5264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:creator>cmcc</dc:creator>
  <cp:lastModifiedBy>cmcc-chunxia Guo</cp:lastModifiedBy>
  <dcterms:modified xsi:type="dcterms:W3CDTF">2024-05-13T11:07:44Z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