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7CEE6BA9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943D57">
        <w:rPr>
          <w:rFonts w:ascii="Arial" w:eastAsiaTheme="minorEastAsia" w:hAnsi="Arial" w:cs="Arial"/>
          <w:b/>
          <w:sz w:val="24"/>
          <w:szCs w:val="24"/>
          <w:lang w:eastAsia="zh-CN"/>
        </w:rPr>
        <w:t>10bis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B564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943D57">
        <w:rPr>
          <w:rFonts w:ascii="Arial" w:eastAsiaTheme="minorEastAsia" w:hAnsi="Arial" w:cs="Arial"/>
          <w:b/>
          <w:sz w:val="24"/>
          <w:szCs w:val="24"/>
          <w:lang w:eastAsia="zh-CN"/>
        </w:rPr>
        <w:t>2406681</w:t>
      </w:r>
    </w:p>
    <w:p w14:paraId="4A0348EB" w14:textId="0F7EA2EB" w:rsidR="00B465A4" w:rsidRPr="003F2F99" w:rsidRDefault="00943D57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Changsha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April 15</w:t>
      </w:r>
      <w:r w:rsidRPr="00943D57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19</w:t>
      </w:r>
      <w:proofErr w:type="gramStart"/>
      <w:r w:rsidRPr="00943D57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62E93033" w14:textId="77777777" w:rsidR="00943D5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43D57" w:rsidRPr="00943D57">
        <w:rPr>
          <w:rFonts w:ascii="Arial" w:hAnsi="Arial" w:cs="Arial"/>
          <w:sz w:val="22"/>
          <w:lang w:eastAsia="zh-CN"/>
        </w:rPr>
        <w:t>WF on MSD test point selection for intra-band uplink CA</w:t>
      </w:r>
    </w:p>
    <w:p w14:paraId="73AD8CE3" w14:textId="7F0EA74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43D57">
        <w:rPr>
          <w:rFonts w:ascii="Arial" w:hAnsi="Arial" w:cs="Arial"/>
          <w:sz w:val="22"/>
          <w:lang w:eastAsia="zh-CN"/>
        </w:rPr>
        <w:t>5</w:t>
      </w:r>
      <w:r w:rsidR="00F2750F" w:rsidRPr="00F2750F">
        <w:rPr>
          <w:rFonts w:ascii="Arial" w:hAnsi="Arial" w:cs="Arial"/>
          <w:sz w:val="22"/>
          <w:lang w:eastAsia="zh-CN"/>
        </w:rPr>
        <w:t>.1.1.</w:t>
      </w:r>
      <w:r w:rsidR="00943D57">
        <w:rPr>
          <w:rFonts w:ascii="Arial" w:hAnsi="Arial" w:cs="Arial"/>
          <w:sz w:val="22"/>
          <w:lang w:eastAsia="zh-CN"/>
        </w:rPr>
        <w:t>1</w:t>
      </w:r>
    </w:p>
    <w:p w14:paraId="6402E503" w14:textId="6E1AE39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3D57">
        <w:rPr>
          <w:rFonts w:ascii="Arial" w:hAnsi="Arial" w:cs="Arial"/>
          <w:b/>
          <w:sz w:val="22"/>
        </w:rPr>
        <w:t>Qualcomm</w:t>
      </w:r>
      <w:r w:rsidR="006A11C3">
        <w:rPr>
          <w:rFonts w:ascii="Arial" w:hAnsi="Arial" w:cs="Arial"/>
          <w:b/>
          <w:sz w:val="22"/>
        </w:rPr>
        <w:t>, Skyworks</w:t>
      </w:r>
      <w:r w:rsidR="00EE194F">
        <w:rPr>
          <w:rFonts w:ascii="Arial" w:hAnsi="Arial" w:cs="Arial"/>
          <w:b/>
          <w:sz w:val="22"/>
        </w:rPr>
        <w:t>, Murata Manufacturing Co Ltd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F2750F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4E23C072" w14:textId="17C5B17C" w:rsidR="00D3033E" w:rsidRDefault="00D3033E" w:rsidP="004F5E03">
      <w:pPr>
        <w:spacing w:after="0"/>
        <w:jc w:val="both"/>
      </w:pPr>
      <w:r>
        <w:t>In RAN4#108, a WF on intra-band contiguous UL-CA MSD was agreed [1].</w:t>
      </w:r>
    </w:p>
    <w:p w14:paraId="49C7C82F" w14:textId="61DF8A41" w:rsidR="00D3033E" w:rsidRDefault="00D3033E" w:rsidP="004F5E03">
      <w:pPr>
        <w:spacing w:after="0"/>
        <w:jc w:val="both"/>
      </w:pPr>
      <w:r>
        <w:t>This WF further clarifies the MSD test point selection.</w:t>
      </w:r>
    </w:p>
    <w:p w14:paraId="448901F5" w14:textId="77777777" w:rsidR="00D3033E" w:rsidRDefault="00D3033E" w:rsidP="004F5E03">
      <w:pPr>
        <w:spacing w:after="0"/>
        <w:jc w:val="both"/>
      </w:pPr>
    </w:p>
    <w:p w14:paraId="1A5E5EB3" w14:textId="0A75241B" w:rsidR="00F2750F" w:rsidRPr="00AB149D" w:rsidRDefault="005D7EF4" w:rsidP="00F2750F">
      <w:pPr>
        <w:spacing w:after="0"/>
      </w:pPr>
      <w:r>
        <w:t xml:space="preserve"> </w:t>
      </w:r>
    </w:p>
    <w:p w14:paraId="070F65FD" w14:textId="77777777" w:rsidR="00D71576" w:rsidRDefault="00F2750F" w:rsidP="00D71576">
      <w:pPr>
        <w:pStyle w:val="Heading1"/>
        <w:numPr>
          <w:ilvl w:val="0"/>
          <w:numId w:val="33"/>
        </w:numPr>
        <w:ind w:left="1138" w:hanging="1138"/>
      </w:pPr>
      <w:r>
        <w:t>Way forward</w:t>
      </w:r>
    </w:p>
    <w:p w14:paraId="4870C35B" w14:textId="249283C5" w:rsidR="00F36EA0" w:rsidRDefault="00F36EA0" w:rsidP="00F36EA0">
      <w:r>
        <w:rPr>
          <w:lang w:eastAsia="zh-CN"/>
        </w:rPr>
        <w:t>&lt;</w:t>
      </w:r>
      <w:r w:rsidRPr="00D71576">
        <w:rPr>
          <w:b/>
          <w:bCs/>
          <w:lang w:eastAsia="zh-CN"/>
        </w:rPr>
        <w:t>Agreement</w:t>
      </w:r>
      <w:r>
        <w:rPr>
          <w:b/>
          <w:bCs/>
          <w:lang w:eastAsia="zh-CN"/>
        </w:rPr>
        <w:t xml:space="preserve"> #</w:t>
      </w:r>
      <w:r w:rsidR="00D3033E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 on UL PCC/SCC channel bandwidth (CBW) and RB allocation (L</w:t>
      </w:r>
      <w:r w:rsidRPr="00F36EA0">
        <w:rPr>
          <w:b/>
          <w:bCs/>
          <w:vertAlign w:val="subscript"/>
          <w:lang w:eastAsia="zh-CN"/>
        </w:rPr>
        <w:t>CRB</w:t>
      </w:r>
      <w:r>
        <w:rPr>
          <w:b/>
          <w:bCs/>
          <w:lang w:eastAsia="zh-CN"/>
        </w:rPr>
        <w:t>)</w:t>
      </w:r>
      <w:r>
        <w:rPr>
          <w:lang w:eastAsia="zh-CN"/>
        </w:rPr>
        <w:t>&gt;</w:t>
      </w:r>
    </w:p>
    <w:p w14:paraId="7832E04F" w14:textId="1F14A8F1" w:rsidR="0062000B" w:rsidRPr="0062000B" w:rsidRDefault="0062000B" w:rsidP="0062000B">
      <w:pPr>
        <w:rPr>
          <w:lang w:val="en-US" w:eastAsia="zh-CN"/>
        </w:rPr>
      </w:pPr>
      <w:r>
        <w:rPr>
          <w:lang w:eastAsia="zh-CN"/>
        </w:rPr>
        <w:t>For intra-band contiguous UL-CA:</w:t>
      </w:r>
    </w:p>
    <w:p w14:paraId="243C14FF" w14:textId="0426341D" w:rsidR="00CB16B0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It is sufficient to specify only one dual-uplink MSD test point per BCS. </w:t>
      </w:r>
    </w:p>
    <w:p w14:paraId="37111DFD" w14:textId="11265742" w:rsidR="0062000B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If a test point can only be supported by a given BCS, a footnote is needed to indicate this restriction. This is consistent with agreements for MSD test points for EN-DC intra-band contiguous </w:t>
      </w:r>
      <w:r w:rsidRPr="0062000B">
        <w:rPr>
          <w:lang w:eastAsia="zh-CN"/>
        </w:rPr>
        <w:t>Table 7.3B.2.1-1</w:t>
      </w:r>
      <w:r>
        <w:rPr>
          <w:lang w:eastAsia="zh-CN"/>
        </w:rPr>
        <w:t>.</w:t>
      </w:r>
    </w:p>
    <w:p w14:paraId="33A208CB" w14:textId="59180A42" w:rsidR="0062000B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test point is selected to specify the </w:t>
      </w:r>
      <w:r w:rsidRPr="0062000B">
        <w:rPr>
          <w:lang w:eastAsia="zh-CN"/>
        </w:rPr>
        <w:t xml:space="preserve">worst-case (highest) MSD </w:t>
      </w:r>
      <w:r>
        <w:rPr>
          <w:lang w:eastAsia="zh-CN"/>
        </w:rPr>
        <w:t>level for the PCC</w:t>
      </w:r>
      <w:r w:rsidR="00D3033E">
        <w:rPr>
          <w:lang w:eastAsia="zh-CN"/>
        </w:rPr>
        <w:t xml:space="preserve">. SCC MSD is not considered in test point selection </w:t>
      </w:r>
      <w:proofErr w:type="spellStart"/>
      <w:r w:rsidR="00D3033E">
        <w:rPr>
          <w:lang w:eastAsia="zh-CN"/>
        </w:rPr>
        <w:t>i.e</w:t>
      </w:r>
      <w:proofErr w:type="spellEnd"/>
      <w:r w:rsidR="00D3033E">
        <w:rPr>
          <w:lang w:eastAsia="zh-CN"/>
        </w:rPr>
        <w:t xml:space="preserve"> the SCC MSD may not be worst case as PCC MSD is maximised.</w:t>
      </w:r>
      <w:r>
        <w:rPr>
          <w:lang w:eastAsia="zh-CN"/>
        </w:rPr>
        <w:t xml:space="preserve"> </w:t>
      </w:r>
    </w:p>
    <w:p w14:paraId="7BE4345E" w14:textId="34D55E26" w:rsidR="0062000B" w:rsidRPr="00D12F84" w:rsidRDefault="00A7566E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>For UL RB allocation</w:t>
      </w:r>
      <w:r w:rsidR="00D12F84">
        <w:rPr>
          <w:lang w:eastAsia="zh-CN"/>
        </w:rPr>
        <w:t>,</w:t>
      </w:r>
    </w:p>
    <w:p w14:paraId="53AD8CEB" w14:textId="1D82EAC3" w:rsidR="00D12F84" w:rsidRPr="00BF64D7" w:rsidRDefault="00D12F84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total number of UL RBs is equal to the UL RB configuration </w:t>
      </w:r>
      <w:bookmarkStart w:id="0" w:name="_Hlk164328996"/>
      <w:r>
        <w:rPr>
          <w:lang w:eastAsia="zh-CN"/>
        </w:rPr>
        <w:t xml:space="preserve">defined in </w:t>
      </w:r>
      <w:r w:rsidRPr="00D12F84">
        <w:rPr>
          <w:lang w:eastAsia="zh-CN"/>
        </w:rPr>
        <w:t>Table 7.3.2-3</w:t>
      </w:r>
      <w:r>
        <w:rPr>
          <w:lang w:eastAsia="zh-CN"/>
        </w:rPr>
        <w:t xml:space="preserve"> </w:t>
      </w:r>
      <w:bookmarkEnd w:id="0"/>
      <w:r w:rsidRPr="00D12F84">
        <w:rPr>
          <w:lang w:eastAsia="zh-CN"/>
        </w:rPr>
        <w:t>Uplink configuration for reference sensitivity</w:t>
      </w:r>
      <w:r>
        <w:rPr>
          <w:lang w:eastAsia="zh-CN"/>
        </w:rPr>
        <w:t xml:space="preserve"> for the DL maximum aggregated channel bandwidth. The total number of UL RBs is defined as the sum of the PCC UL RBs and the SCC UL RBs</w:t>
      </w:r>
    </w:p>
    <w:p w14:paraId="697C2BF7" w14:textId="5BAF8F9A" w:rsidR="00C77A7D" w:rsidRPr="00C77A7D" w:rsidRDefault="00C77A7D" w:rsidP="00C77A7D">
      <w:pPr>
        <w:pStyle w:val="ListParagraph"/>
        <w:numPr>
          <w:ilvl w:val="2"/>
          <w:numId w:val="36"/>
        </w:numPr>
        <w:ind w:firstLineChars="0"/>
        <w:rPr>
          <w:lang w:val="en-US" w:eastAsia="zh-CN"/>
        </w:rPr>
      </w:pPr>
      <w:r w:rsidRPr="00C77A7D">
        <w:rPr>
          <w:lang w:val="en-US" w:eastAsia="zh-CN"/>
        </w:rPr>
        <w:t>The UL RB configuration defined in Table 7.3.2-3 for largest supported UL BW is used in case the aggregated BW exceeds the largest supported UL BW</w:t>
      </w:r>
    </w:p>
    <w:p w14:paraId="3FE9896A" w14:textId="5CC4C735" w:rsidR="00D12F84" w:rsidRPr="00BF64D7" w:rsidRDefault="00D12F84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>The PCC/SCC Lcrb is specified to achieve equal PSD.</w:t>
      </w:r>
    </w:p>
    <w:p w14:paraId="5FE0289A" w14:textId="6AAC1909" w:rsidR="00BF64D7" w:rsidRPr="00C77A7D" w:rsidRDefault="00BF64D7" w:rsidP="00BF64D7">
      <w:pPr>
        <w:pStyle w:val="ListParagraph"/>
        <w:numPr>
          <w:ilvl w:val="2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</w:t>
      </w:r>
      <w:r w:rsidR="00687BE3">
        <w:rPr>
          <w:lang w:eastAsia="zh-CN"/>
        </w:rPr>
        <w:t>total number of UL RB’s</w:t>
      </w:r>
      <w:r>
        <w:rPr>
          <w:lang w:eastAsia="zh-CN"/>
        </w:rPr>
        <w:t xml:space="preserve"> </w:t>
      </w:r>
      <w:r w:rsidR="00C77A7D">
        <w:rPr>
          <w:lang w:eastAsia="zh-CN"/>
        </w:rPr>
        <w:t xml:space="preserve">is rounded </w:t>
      </w:r>
      <w:r w:rsidR="00687BE3">
        <w:rPr>
          <w:lang w:eastAsia="zh-CN"/>
        </w:rPr>
        <w:t>down to closest possible number to</w:t>
      </w:r>
      <w:r>
        <w:rPr>
          <w:lang w:eastAsia="zh-CN"/>
        </w:rPr>
        <w:t xml:space="preserve"> achieve</w:t>
      </w:r>
      <w:r w:rsidR="00687BE3">
        <w:rPr>
          <w:lang w:eastAsia="zh-CN"/>
        </w:rPr>
        <w:t xml:space="preserve"> </w:t>
      </w:r>
      <w:r>
        <w:rPr>
          <w:lang w:eastAsia="zh-CN"/>
        </w:rPr>
        <w:t>equal PSD across CC’s</w:t>
      </w:r>
      <w:r w:rsidR="00687BE3">
        <w:rPr>
          <w:lang w:eastAsia="zh-CN"/>
        </w:rPr>
        <w:t xml:space="preserve"> if needed</w:t>
      </w:r>
    </w:p>
    <w:p w14:paraId="4B9DDF85" w14:textId="6B6CE843" w:rsidR="005E5293" w:rsidRPr="00A16D7F" w:rsidRDefault="005E5293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RBstart</w:t>
      </w:r>
      <w:proofErr w:type="spellEnd"/>
      <w:r w:rsidR="00A16D7F">
        <w:rPr>
          <w:lang w:eastAsia="zh-CN"/>
        </w:rPr>
        <w:t xml:space="preserve"> positions</w:t>
      </w:r>
      <w:r>
        <w:rPr>
          <w:lang w:eastAsia="zh-CN"/>
        </w:rPr>
        <w:t xml:space="preserve"> </w:t>
      </w:r>
      <w:r w:rsidR="00A16D7F">
        <w:rPr>
          <w:lang w:eastAsia="zh-CN"/>
        </w:rPr>
        <w:t>are</w:t>
      </w:r>
      <w:r>
        <w:rPr>
          <w:lang w:eastAsia="zh-CN"/>
        </w:rPr>
        <w:t xml:space="preserve"> specified to m</w:t>
      </w:r>
      <w:r w:rsidR="00A16D7F">
        <w:rPr>
          <w:lang w:eastAsia="zh-CN"/>
        </w:rPr>
        <w:t xml:space="preserve">inimize the distance of the </w:t>
      </w:r>
      <w:proofErr w:type="spellStart"/>
      <w:r w:rsidR="00A16D7F">
        <w:rPr>
          <w:lang w:eastAsia="zh-CN"/>
        </w:rPr>
        <w:t>center</w:t>
      </w:r>
      <w:proofErr w:type="spellEnd"/>
      <w:r w:rsidR="00A16D7F">
        <w:rPr>
          <w:lang w:eastAsia="zh-CN"/>
        </w:rPr>
        <w:t xml:space="preserve"> frequency of the IMD </w:t>
      </w:r>
      <w:r w:rsidR="007305A8">
        <w:rPr>
          <w:lang w:eastAsia="zh-CN"/>
        </w:rPr>
        <w:t>(</w:t>
      </w:r>
      <w:proofErr w:type="spellStart"/>
      <w:r w:rsidR="007305A8">
        <w:rPr>
          <w:lang w:eastAsia="zh-CN"/>
        </w:rPr>
        <w:t>Fc_IMDx</w:t>
      </w:r>
      <w:proofErr w:type="spellEnd"/>
      <w:r w:rsidR="007305A8">
        <w:rPr>
          <w:lang w:eastAsia="zh-CN"/>
        </w:rPr>
        <w:t xml:space="preserve">) </w:t>
      </w:r>
      <w:r w:rsidR="00A16D7F">
        <w:rPr>
          <w:lang w:eastAsia="zh-CN"/>
        </w:rPr>
        <w:t xml:space="preserve">and the </w:t>
      </w:r>
      <w:proofErr w:type="spellStart"/>
      <w:r w:rsidR="00A16D7F">
        <w:rPr>
          <w:lang w:eastAsia="zh-CN"/>
        </w:rPr>
        <w:t>center</w:t>
      </w:r>
      <w:proofErr w:type="spellEnd"/>
      <w:r w:rsidR="00A16D7F">
        <w:rPr>
          <w:lang w:eastAsia="zh-CN"/>
        </w:rPr>
        <w:t xml:space="preserve"> frequency of the PCC DL</w:t>
      </w:r>
      <w:r w:rsidR="007305A8">
        <w:rPr>
          <w:lang w:eastAsia="zh-CN"/>
        </w:rPr>
        <w:t>(</w:t>
      </w:r>
      <w:proofErr w:type="spellStart"/>
      <w:r w:rsidR="007305A8">
        <w:rPr>
          <w:lang w:eastAsia="zh-CN"/>
        </w:rPr>
        <w:t>Fc_PDD_DL</w:t>
      </w:r>
      <w:proofErr w:type="spellEnd"/>
      <w:r w:rsidR="007305A8">
        <w:rPr>
          <w:lang w:eastAsia="zh-CN"/>
        </w:rPr>
        <w:t>)</w:t>
      </w:r>
      <w:r w:rsidR="001067C6">
        <w:rPr>
          <w:lang w:eastAsia="zh-CN"/>
        </w:rPr>
        <w:t xml:space="preserve"> </w:t>
      </w:r>
      <w:r>
        <w:rPr>
          <w:lang w:eastAsia="zh-CN"/>
        </w:rPr>
        <w:t xml:space="preserve">by the lowest </w:t>
      </w:r>
      <w:r w:rsidR="001067C6">
        <w:rPr>
          <w:lang w:eastAsia="zh-CN"/>
        </w:rPr>
        <w:t xml:space="preserve">dual-uplink </w:t>
      </w:r>
      <w:r>
        <w:rPr>
          <w:lang w:eastAsia="zh-CN"/>
        </w:rPr>
        <w:t>IMD order</w:t>
      </w:r>
      <w:r w:rsidR="00255453">
        <w:rPr>
          <w:lang w:eastAsia="zh-CN"/>
        </w:rPr>
        <w:t>.</w:t>
      </w:r>
    </w:p>
    <w:p w14:paraId="70030130" w14:textId="1FF92CA4" w:rsidR="00A16D7F" w:rsidRPr="007305A8" w:rsidRDefault="00A16D7F" w:rsidP="00A16D7F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proofErr w:type="gramStart"/>
      <w:r>
        <w:rPr>
          <w:lang w:eastAsia="zh-CN"/>
        </w:rPr>
        <w:t>CC’s</w:t>
      </w:r>
      <w:proofErr w:type="gramEnd"/>
      <w:r>
        <w:rPr>
          <w:lang w:eastAsia="zh-CN"/>
        </w:rPr>
        <w:t xml:space="preserve"> are spaced according to nominal channel spacing in Intra-band contiguous CA</w:t>
      </w:r>
    </w:p>
    <w:p w14:paraId="30A95F13" w14:textId="42641DB2" w:rsidR="007305A8" w:rsidRDefault="007305A8" w:rsidP="007305A8">
      <w:pPr>
        <w:ind w:left="360"/>
        <w:rPr>
          <w:lang w:val="en-US" w:eastAsia="zh-CN"/>
        </w:rPr>
      </w:pPr>
      <w:r w:rsidRPr="007305A8">
        <w:rPr>
          <w:noProof/>
          <w:lang w:val="en-US" w:eastAsia="zh-CN"/>
        </w:rPr>
        <w:drawing>
          <wp:inline distT="0" distB="0" distL="0" distR="0" wp14:anchorId="15D41ECB" wp14:editId="557D7D4A">
            <wp:extent cx="6646545" cy="2100580"/>
            <wp:effectExtent l="0" t="0" r="1905" b="0"/>
            <wp:docPr id="66299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924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52D38" w14:textId="77777777" w:rsidR="007305A8" w:rsidRPr="007305A8" w:rsidRDefault="007305A8" w:rsidP="007305A8">
      <w:pPr>
        <w:ind w:left="360"/>
        <w:rPr>
          <w:lang w:val="en-US" w:eastAsia="zh-CN"/>
        </w:rPr>
      </w:pPr>
    </w:p>
    <w:p w14:paraId="0FC05710" w14:textId="49BFE2CE" w:rsidR="00DC4A8D" w:rsidRDefault="00DC4A8D" w:rsidP="00DC4A8D">
      <w:pPr>
        <w:pStyle w:val="Heading1"/>
        <w:numPr>
          <w:ilvl w:val="0"/>
          <w:numId w:val="33"/>
        </w:numPr>
        <w:tabs>
          <w:tab w:val="num" w:pos="432"/>
        </w:tabs>
        <w:ind w:left="1138" w:hanging="1138"/>
      </w:pPr>
      <w:r>
        <w:lastRenderedPageBreak/>
        <w:t>WF guideline example</w:t>
      </w:r>
    </w:p>
    <w:p w14:paraId="7D7AD194" w14:textId="62BA140A" w:rsidR="002E0C7C" w:rsidRDefault="002E0C7C" w:rsidP="00D12F84">
      <w:pPr>
        <w:rPr>
          <w:b/>
          <w:bCs/>
          <w:u w:val="single"/>
          <w:lang w:eastAsia="zh-CN"/>
        </w:rPr>
      </w:pPr>
      <w:r>
        <w:rPr>
          <w:lang w:eastAsia="zh-CN"/>
        </w:rPr>
        <w:t>The CA_n</w:t>
      </w:r>
      <w:r w:rsidR="009D67B2">
        <w:rPr>
          <w:lang w:eastAsia="zh-CN"/>
        </w:rPr>
        <w:t>3</w:t>
      </w:r>
      <w:r>
        <w:rPr>
          <w:lang w:eastAsia="zh-CN"/>
        </w:rPr>
        <w:t xml:space="preserve">B MSD test point </w:t>
      </w:r>
      <w:r w:rsidR="009D67B2">
        <w:rPr>
          <w:lang w:eastAsia="zh-CN"/>
        </w:rPr>
        <w:t>agreement</w:t>
      </w:r>
      <w:r w:rsidR="00C77A7D">
        <w:rPr>
          <w:lang w:eastAsia="zh-CN"/>
        </w:rPr>
        <w:t xml:space="preserve"> [2]</w:t>
      </w:r>
      <w:r w:rsidR="009D67B2">
        <w:rPr>
          <w:lang w:eastAsia="zh-CN"/>
        </w:rPr>
        <w:t xml:space="preserve"> </w:t>
      </w:r>
      <w:r>
        <w:rPr>
          <w:lang w:eastAsia="zh-CN"/>
        </w:rPr>
        <w:t>is used to illustrate these guidelines.</w:t>
      </w:r>
    </w:p>
    <w:p w14:paraId="09D8D48E" w14:textId="2B3A4900" w:rsidR="005E5293" w:rsidRPr="005E5293" w:rsidRDefault="005E5293" w:rsidP="00D12F84">
      <w:pPr>
        <w:rPr>
          <w:b/>
          <w:bCs/>
          <w:u w:val="single"/>
          <w:lang w:eastAsia="zh-CN"/>
        </w:rPr>
      </w:pPr>
      <w:r w:rsidRPr="005E5293">
        <w:rPr>
          <w:b/>
          <w:bCs/>
          <w:u w:val="single"/>
          <w:lang w:eastAsia="zh-CN"/>
        </w:rPr>
        <w:t>Example of WF – MSD test point that maximizes the PCC MSD</w:t>
      </w:r>
    </w:p>
    <w:p w14:paraId="45DC6E7E" w14:textId="7AE043A0" w:rsidR="00255453" w:rsidRDefault="00255453" w:rsidP="00352B66">
      <w:pPr>
        <w:jc w:val="both"/>
        <w:rPr>
          <w:lang w:eastAsia="zh-CN"/>
        </w:rPr>
      </w:pPr>
      <w:r>
        <w:rPr>
          <w:lang w:eastAsia="zh-CN"/>
        </w:rPr>
        <w:t>For band n</w:t>
      </w:r>
      <w:r w:rsidR="009D67B2">
        <w:rPr>
          <w:lang w:eastAsia="zh-CN"/>
        </w:rPr>
        <w:t>3</w:t>
      </w:r>
      <w:r>
        <w:rPr>
          <w:lang w:eastAsia="zh-CN"/>
        </w:rPr>
        <w:t xml:space="preserve"> </w:t>
      </w:r>
      <w:r w:rsidR="009D67B2">
        <w:rPr>
          <w:lang w:eastAsia="zh-CN"/>
        </w:rPr>
        <w:t>40</w:t>
      </w:r>
      <w:r>
        <w:rPr>
          <w:lang w:eastAsia="zh-CN"/>
        </w:rPr>
        <w:t>MHz DL CBW, the UL configuration for REFSENS is Lcrb=</w:t>
      </w:r>
      <w:r w:rsidR="009D67B2">
        <w:rPr>
          <w:lang w:eastAsia="zh-CN"/>
        </w:rPr>
        <w:t>5</w:t>
      </w:r>
      <w:r>
        <w:rPr>
          <w:lang w:eastAsia="zh-CN"/>
        </w:rPr>
        <w:t xml:space="preserve">0RBs. Hence for UL-CA, a total of </w:t>
      </w:r>
      <w:r w:rsidR="009D67B2">
        <w:rPr>
          <w:lang w:eastAsia="zh-CN"/>
        </w:rPr>
        <w:t>5</w:t>
      </w:r>
      <w:r>
        <w:rPr>
          <w:lang w:eastAsia="zh-CN"/>
        </w:rPr>
        <w:t xml:space="preserve">0RB is specified. For the case of </w:t>
      </w:r>
      <w:r w:rsidR="009D67B2">
        <w:rPr>
          <w:lang w:eastAsia="zh-CN"/>
        </w:rPr>
        <w:t>20</w:t>
      </w:r>
      <w:r>
        <w:rPr>
          <w:lang w:eastAsia="zh-CN"/>
        </w:rPr>
        <w:t>+20MHz, this total number of RB is split across component carriers to meet equal PSD. The RBstart is specified for maximum DL PCC overlap by the lowest order IMD, hence:</w:t>
      </w:r>
    </w:p>
    <w:p w14:paraId="625D38BF" w14:textId="7FFA8CE1" w:rsidR="00255453" w:rsidRDefault="00255453" w:rsidP="00255453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PCC UL Lcrb=</w:t>
      </w:r>
      <w:r w:rsidR="009D67B2">
        <w:rPr>
          <w:lang w:eastAsia="zh-CN"/>
        </w:rPr>
        <w:t>20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RBstart</w:t>
      </w:r>
      <w:proofErr w:type="spellEnd"/>
      <w:r>
        <w:rPr>
          <w:lang w:eastAsia="zh-CN"/>
        </w:rPr>
        <w:t>=0)</w:t>
      </w:r>
    </w:p>
    <w:p w14:paraId="038B85A4" w14:textId="17B51441" w:rsidR="00255453" w:rsidRPr="00255453" w:rsidRDefault="00255453" w:rsidP="00255453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SCC UL Lcrb=</w:t>
      </w:r>
      <w:r w:rsidR="009D67B2">
        <w:rPr>
          <w:lang w:eastAsia="zh-CN"/>
        </w:rPr>
        <w:t>20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RBstart</w:t>
      </w:r>
      <w:proofErr w:type="spellEnd"/>
      <w:r>
        <w:rPr>
          <w:lang w:eastAsia="zh-CN"/>
        </w:rPr>
        <w:t>=</w:t>
      </w:r>
      <w:r w:rsidR="009D67B2">
        <w:rPr>
          <w:lang w:eastAsia="zh-CN"/>
        </w:rPr>
        <w:t>81</w:t>
      </w:r>
      <w:r>
        <w:rPr>
          <w:lang w:eastAsia="zh-CN"/>
        </w:rPr>
        <w:t>).</w:t>
      </w:r>
    </w:p>
    <w:p w14:paraId="2F68D4E8" w14:textId="77777777" w:rsidR="00255453" w:rsidRDefault="00255453" w:rsidP="00255453">
      <w:pPr>
        <w:pStyle w:val="Caption"/>
      </w:pPr>
      <w:bookmarkStart w:id="1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0349F5">
        <w:t>Intra-band contiguous CA uplink configuration for reference sensitivity</w:t>
      </w:r>
    </w:p>
    <w:tbl>
      <w:tblPr>
        <w:tblW w:w="512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3"/>
        <w:gridCol w:w="1246"/>
        <w:gridCol w:w="1881"/>
        <w:gridCol w:w="1687"/>
        <w:gridCol w:w="1824"/>
        <w:gridCol w:w="786"/>
        <w:gridCol w:w="798"/>
        <w:gridCol w:w="997"/>
      </w:tblGrid>
      <w:tr w:rsidR="009D67B2" w:rsidRPr="009D67B2" w14:paraId="428508CD" w14:textId="77777777" w:rsidTr="002C28A2">
        <w:trPr>
          <w:trHeight w:val="690"/>
          <w:jc w:val="center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BC330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9D67B2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BD0F7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SCS</w:t>
            </w:r>
          </w:p>
          <w:p w14:paraId="67BC8D56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(PCC/SCC)</w:t>
            </w:r>
          </w:p>
          <w:p w14:paraId="478714F4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BA005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6AF51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UL PCC allocation</w:t>
            </w:r>
          </w:p>
          <w:p w14:paraId="4A30858D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(L</w:t>
            </w:r>
            <w:r w:rsidRPr="009D67B2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9D67B2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044DE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UL SCC allocation</w:t>
            </w:r>
          </w:p>
          <w:p w14:paraId="4DDEDFE6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(L</w:t>
            </w:r>
            <w:r w:rsidRPr="009D67B2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9D67B2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05FEE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PCC ΔR</w:t>
            </w:r>
            <w:r w:rsidRPr="009D67B2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9D67B2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AD2473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SCC ΔR</w:t>
            </w:r>
            <w:r w:rsidRPr="009D67B2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9D67B2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C1457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67B2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9D67B2" w:rsidRPr="009D67B2" w14:paraId="17CA990D" w14:textId="77777777" w:rsidTr="002C28A2">
        <w:trPr>
          <w:trHeight w:val="20"/>
          <w:jc w:val="center"/>
        </w:trPr>
        <w:tc>
          <w:tcPr>
            <w:tcW w:w="6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F66FC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CA_n3B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E8219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EDE5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20MHz + 20MHz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04AD9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25 (RB</w:t>
            </w:r>
            <w:r w:rsidRPr="009D67B2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44CCF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25 (RB</w:t>
            </w:r>
            <w:r w:rsidRPr="009D67B2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 xml:space="preserve"> = 81)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38335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[25.1]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5235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[12.4]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79FCF" w14:textId="77777777" w:rsidR="009D67B2" w:rsidRPr="009D67B2" w:rsidRDefault="009D67B2" w:rsidP="009D6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D67B2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9D67B2" w:rsidRPr="009D67B2" w14:paraId="6FCFF37D" w14:textId="77777777" w:rsidTr="002C28A2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5E3AD3" w14:textId="77777777" w:rsidR="009D67B2" w:rsidRPr="009D67B2" w:rsidRDefault="009D67B2" w:rsidP="009D67B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D67B2">
              <w:rPr>
                <w:rFonts w:ascii="Arial" w:hAnsi="Arial"/>
                <w:sz w:val="18"/>
              </w:rPr>
              <w:t>NOTE 1:</w:t>
            </w:r>
            <w:r w:rsidRPr="009D67B2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040385DA" w14:textId="77777777" w:rsidR="009D67B2" w:rsidRPr="009D67B2" w:rsidRDefault="009D67B2" w:rsidP="009D67B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D67B2">
              <w:rPr>
                <w:rFonts w:ascii="Arial" w:hAnsi="Arial"/>
                <w:sz w:val="18"/>
                <w:lang w:eastAsia="zh-CN"/>
              </w:rPr>
              <w:t>NOTE 2:</w:t>
            </w:r>
            <w:r w:rsidRPr="009D67B2">
              <w:rPr>
                <w:rFonts w:ascii="Arial" w:hAnsi="Arial"/>
                <w:sz w:val="18"/>
                <w:lang w:eastAsia="zh-CN"/>
              </w:rPr>
              <w:tab/>
              <w:t xml:space="preserve">The carrier </w:t>
            </w:r>
            <w:proofErr w:type="spellStart"/>
            <w:r w:rsidRPr="009D67B2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9D67B2">
              <w:rPr>
                <w:rFonts w:ascii="Arial" w:hAnsi="Arial"/>
                <w:sz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16329D77" w14:textId="77777777" w:rsidR="009D67B2" w:rsidRPr="009D67B2" w:rsidRDefault="009D67B2" w:rsidP="009D67B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D67B2">
              <w:rPr>
                <w:rFonts w:ascii="Arial" w:hAnsi="Arial"/>
                <w:sz w:val="18"/>
                <w:lang w:eastAsia="zh-CN"/>
              </w:rPr>
              <w:t>NOTE 3:</w:t>
            </w:r>
            <w:r w:rsidRPr="009D67B2">
              <w:rPr>
                <w:rFonts w:ascii="Arial" w:hAnsi="Arial"/>
                <w:sz w:val="18"/>
                <w:lang w:eastAsia="zh-CN"/>
              </w:rPr>
              <w:tab/>
            </w:r>
            <w:r w:rsidRPr="009D67B2">
              <w:rPr>
                <w:rFonts w:ascii="Arial" w:hAnsi="Arial"/>
                <w:sz w:val="18"/>
              </w:rPr>
              <w:t>The transmi</w:t>
            </w:r>
            <w:r w:rsidRPr="009D67B2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9D67B2">
              <w:rPr>
                <w:rFonts w:ascii="Arial" w:hAnsi="Arial"/>
                <w:sz w:val="18"/>
              </w:rPr>
              <w:t>shall be set to P</w:t>
            </w:r>
            <w:r w:rsidRPr="009D67B2">
              <w:rPr>
                <w:rFonts w:ascii="Arial" w:hAnsi="Arial"/>
                <w:sz w:val="18"/>
                <w:vertAlign w:val="subscript"/>
              </w:rPr>
              <w:t>UMAX</w:t>
            </w:r>
            <w:r w:rsidRPr="009D67B2">
              <w:rPr>
                <w:rFonts w:ascii="Arial" w:hAnsi="Arial"/>
                <w:sz w:val="18"/>
              </w:rPr>
              <w:t xml:space="preserve"> as defined in subclause 6.2A.4</w:t>
            </w:r>
            <w:r w:rsidRPr="009D67B2">
              <w:rPr>
                <w:rFonts w:ascii="Arial" w:hAnsi="Arial"/>
                <w:sz w:val="18"/>
                <w:lang w:eastAsia="zh-CN"/>
              </w:rPr>
              <w:t>.</w:t>
            </w:r>
          </w:p>
          <w:p w14:paraId="2ECFAA95" w14:textId="77777777" w:rsidR="009D67B2" w:rsidRPr="009D67B2" w:rsidRDefault="009D67B2" w:rsidP="009D67B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D67B2">
              <w:rPr>
                <w:rFonts w:ascii="Arial" w:hAnsi="Arial"/>
                <w:sz w:val="18"/>
              </w:rPr>
              <w:t>NOTE 4:</w:t>
            </w:r>
            <w:r w:rsidRPr="009D67B2">
              <w:rPr>
                <w:rFonts w:ascii="Arial" w:hAnsi="Arial"/>
                <w:sz w:val="18"/>
              </w:rPr>
              <w:tab/>
              <w:t>The PCC allocation is the same as the transmission bandwidth configuration N</w:t>
            </w:r>
            <w:r w:rsidRPr="009D67B2">
              <w:rPr>
                <w:rFonts w:ascii="Arial" w:hAnsi="Arial"/>
                <w:sz w:val="18"/>
                <w:vertAlign w:val="subscript"/>
              </w:rPr>
              <w:t>RB</w:t>
            </w:r>
            <w:r w:rsidRPr="009D67B2">
              <w:rPr>
                <w:rFonts w:ascii="Arial" w:hAnsi="Arial"/>
                <w:sz w:val="18"/>
              </w:rPr>
              <w:t xml:space="preserve"> as defined in Table 5.3.2-1.</w:t>
            </w:r>
          </w:p>
        </w:tc>
      </w:tr>
    </w:tbl>
    <w:p w14:paraId="1AA513D7" w14:textId="00F03374" w:rsidR="00352B66" w:rsidRPr="00CE6E30" w:rsidRDefault="00352B66" w:rsidP="005E5293">
      <w:pPr>
        <w:rPr>
          <w:lang w:val="en-US" w:eastAsia="zh-CN"/>
        </w:rPr>
      </w:pPr>
    </w:p>
    <w:p w14:paraId="5DEF848F" w14:textId="77777777" w:rsidR="00F2750F" w:rsidRDefault="00F2750F" w:rsidP="00F2750F">
      <w:pPr>
        <w:pStyle w:val="Heading1"/>
        <w:numPr>
          <w:ilvl w:val="0"/>
          <w:numId w:val="33"/>
        </w:numPr>
        <w:ind w:left="1138" w:hanging="1138"/>
      </w:pPr>
      <w:r>
        <w:t>References</w:t>
      </w:r>
    </w:p>
    <w:p w14:paraId="48BD3EEF" w14:textId="77777777" w:rsidR="00F2750F" w:rsidRPr="004768DA" w:rsidRDefault="00F2750F" w:rsidP="00F2750F">
      <w:pPr>
        <w:spacing w:after="0"/>
      </w:pPr>
    </w:p>
    <w:p w14:paraId="004C0B52" w14:textId="3A5E9E35" w:rsidR="00F2750F" w:rsidRPr="00C77A7D" w:rsidRDefault="00AB02E5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C77A7D">
        <w:rPr>
          <w:rFonts w:ascii="Arial" w:hAnsi="Arial" w:cs="Arial"/>
          <w:lang w:val="en-CA"/>
        </w:rPr>
        <w:t>R4-2</w:t>
      </w:r>
      <w:r w:rsidR="00D3033E" w:rsidRPr="00C77A7D">
        <w:rPr>
          <w:rFonts w:ascii="Arial" w:hAnsi="Arial" w:cs="Arial"/>
          <w:lang w:val="en-CA"/>
        </w:rPr>
        <w:t>314864</w:t>
      </w:r>
      <w:r w:rsidR="00C77A7D" w:rsidRPr="00C77A7D">
        <w:rPr>
          <w:rFonts w:ascii="Arial" w:hAnsi="Arial" w:cs="Arial"/>
          <w:lang w:val="en-CA"/>
        </w:rPr>
        <w:t>,</w:t>
      </w:r>
      <w:r w:rsidR="00834FB2" w:rsidRPr="00C77A7D">
        <w:rPr>
          <w:rFonts w:ascii="Arial" w:hAnsi="Arial" w:cs="Arial"/>
          <w:lang w:val="en-CA"/>
        </w:rPr>
        <w:t xml:space="preserve"> </w:t>
      </w:r>
      <w:r w:rsidR="00C77A7D" w:rsidRPr="00C77A7D">
        <w:rPr>
          <w:rFonts w:ascii="Arial" w:hAnsi="Arial" w:cs="Arial"/>
          <w:lang w:val="en-CA"/>
        </w:rPr>
        <w:t>“</w:t>
      </w:r>
      <w:r w:rsidR="00D3033E" w:rsidRPr="00C77A7D">
        <w:rPr>
          <w:rFonts w:ascii="Arial" w:hAnsi="Arial" w:cs="Arial"/>
          <w:lang w:eastAsia="zh-CN"/>
        </w:rPr>
        <w:t>WF on intra-band contiguous UL-CA MSD</w:t>
      </w:r>
      <w:r w:rsidR="00C77A7D" w:rsidRPr="00C77A7D">
        <w:rPr>
          <w:rFonts w:ascii="Arial" w:hAnsi="Arial" w:cs="Arial"/>
          <w:lang w:eastAsia="zh-CN"/>
        </w:rPr>
        <w:t>”</w:t>
      </w:r>
      <w:r w:rsidR="00D3033E" w:rsidRPr="00C77A7D">
        <w:rPr>
          <w:rFonts w:ascii="Arial" w:hAnsi="Arial" w:cs="Arial"/>
          <w:lang w:eastAsia="zh-CN"/>
        </w:rPr>
        <w:t>, Skyworks, Murata, RAN4#108</w:t>
      </w:r>
    </w:p>
    <w:p w14:paraId="6476D973" w14:textId="5AE81B70" w:rsidR="00C77A7D" w:rsidRPr="00C77A7D" w:rsidRDefault="00C77A7D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C77A7D">
        <w:rPr>
          <w:rFonts w:ascii="Arial" w:hAnsi="Arial" w:cs="Arial"/>
          <w:lang w:val="en-CA"/>
        </w:rPr>
        <w:t>R4-2406672, “Ad hoc minutes on NR_Baskets_Part_1”, Skyworks, RAN4#110bis</w:t>
      </w:r>
    </w:p>
    <w:p w14:paraId="0F79C49E" w14:textId="77777777" w:rsidR="00B465A4" w:rsidRPr="00F2750F" w:rsidRDefault="00B465A4" w:rsidP="003E08FC">
      <w:pPr>
        <w:pStyle w:val="B1"/>
        <w:rPr>
          <w:lang w:val="en-CA" w:eastAsia="zh-CN"/>
        </w:rPr>
      </w:pPr>
    </w:p>
    <w:sectPr w:rsidR="00B465A4" w:rsidRPr="00F2750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758CB" w14:textId="77777777" w:rsidR="00241BF8" w:rsidRPr="00A10429" w:rsidRDefault="00241BF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F98B674" w14:textId="77777777" w:rsidR="00241BF8" w:rsidRPr="00A10429" w:rsidRDefault="00241BF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F507D94" w14:textId="77777777" w:rsidR="00241BF8" w:rsidRDefault="00241B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63A9" w14:textId="77777777" w:rsidR="00241BF8" w:rsidRPr="00A10429" w:rsidRDefault="00241BF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47728D8" w14:textId="77777777" w:rsidR="00241BF8" w:rsidRPr="00A10429" w:rsidRDefault="00241BF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320260B" w14:textId="77777777" w:rsidR="00241BF8" w:rsidRDefault="00241B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14FE1"/>
    <w:multiLevelType w:val="hybridMultilevel"/>
    <w:tmpl w:val="3E3A9D0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E1096"/>
    <w:multiLevelType w:val="hybridMultilevel"/>
    <w:tmpl w:val="0588812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E2DA2"/>
    <w:multiLevelType w:val="hybridMultilevel"/>
    <w:tmpl w:val="A108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7"/>
  </w:num>
  <w:num w:numId="3" w16cid:durableId="980884213">
    <w:abstractNumId w:val="27"/>
  </w:num>
  <w:num w:numId="4" w16cid:durableId="1846701611">
    <w:abstractNumId w:val="16"/>
  </w:num>
  <w:num w:numId="5" w16cid:durableId="699012852">
    <w:abstractNumId w:val="7"/>
  </w:num>
  <w:num w:numId="6" w16cid:durableId="1450201014">
    <w:abstractNumId w:val="22"/>
  </w:num>
  <w:num w:numId="7" w16cid:durableId="1073939429">
    <w:abstractNumId w:val="6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9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3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9"/>
  </w:num>
  <w:num w:numId="31" w16cid:durableId="886913614">
    <w:abstractNumId w:val="18"/>
  </w:num>
  <w:num w:numId="32" w16cid:durableId="653603067">
    <w:abstractNumId w:val="0"/>
  </w:num>
  <w:num w:numId="33" w16cid:durableId="1114905461">
    <w:abstractNumId w:val="5"/>
  </w:num>
  <w:num w:numId="34" w16cid:durableId="402262815">
    <w:abstractNumId w:val="24"/>
  </w:num>
  <w:num w:numId="35" w16cid:durableId="1312977174">
    <w:abstractNumId w:val="28"/>
  </w:num>
  <w:num w:numId="36" w16cid:durableId="569735877">
    <w:abstractNumId w:val="11"/>
  </w:num>
  <w:num w:numId="37" w16cid:durableId="730999003">
    <w:abstractNumId w:val="8"/>
  </w:num>
  <w:num w:numId="38" w16cid:durableId="18396846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E32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4AB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41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7C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6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86C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BF8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453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C7C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B66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958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5E03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EF4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293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00B"/>
    <w:rsid w:val="0062028B"/>
    <w:rsid w:val="006204A5"/>
    <w:rsid w:val="00620F17"/>
    <w:rsid w:val="0062154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BE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1C3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498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6DDF"/>
    <w:rsid w:val="0072704C"/>
    <w:rsid w:val="007305A8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6FF0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E23"/>
    <w:rsid w:val="008C10A5"/>
    <w:rsid w:val="008C1F0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D57"/>
    <w:rsid w:val="00944FA2"/>
    <w:rsid w:val="00945CCE"/>
    <w:rsid w:val="00946849"/>
    <w:rsid w:val="00947045"/>
    <w:rsid w:val="00947A30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0F6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39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67B2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D7F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66E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0C9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2E5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90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4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77A7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6B0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A07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E30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8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33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8D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10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36F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94F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6EA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129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B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Background </vt:lpstr>
      <vt:lpstr>Way forward</vt:lpstr>
      <vt:lpstr>WF guideline example</vt:lpstr>
      <vt:lpstr>References</vt:lpstr>
    </vt:vector>
  </TitlesOfParts>
  <Company>Huawei Technologies Co.,Ltd.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2</cp:revision>
  <dcterms:created xsi:type="dcterms:W3CDTF">2024-04-19T00:37:00Z</dcterms:created>
  <dcterms:modified xsi:type="dcterms:W3CDTF">2024-04-19T00:37:00Z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