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AB5518" w:rsidRPr="00AB5518">
        <w:rPr>
          <w:rFonts w:ascii="Arial" w:hAnsi="Arial" w:cs="Arial"/>
          <w:b/>
          <w:sz w:val="24"/>
          <w:lang w:val="en-US" w:eastAsia="zh-CN"/>
        </w:rPr>
        <w:t>R4-2405563</w:t>
      </w:r>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A452A" w:rsidRPr="00DA452A">
        <w:rPr>
          <w:rFonts w:ascii="Arial" w:eastAsia="宋体" w:hAnsi="Arial"/>
          <w:b/>
          <w:sz w:val="24"/>
          <w:lang w:val="en-US" w:eastAsia="zh-CN"/>
        </w:rPr>
        <w:t>Discussion on test cases for Case 1 and Case 2</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B53D0">
        <w:rPr>
          <w:rFonts w:ascii="Arial" w:eastAsia="宋体" w:hAnsi="Arial"/>
          <w:b/>
          <w:sz w:val="24"/>
          <w:lang w:val="en-US" w:eastAsia="zh-CN"/>
        </w:rPr>
        <w:t>6.5.3</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 for objective #1 of MG enhancement are discussed in RAN4#110, and the outcomes are captured in [1]</w:t>
      </w:r>
      <w:r w:rsidR="006A02DA">
        <w:rPr>
          <w:rFonts w:eastAsia="宋体"/>
          <w:lang w:eastAsia="zh-CN"/>
        </w:rPr>
        <w:t>.</w:t>
      </w:r>
      <w:r>
        <w:rPr>
          <w:rFonts w:eastAsia="宋体"/>
          <w:lang w:eastAsia="zh-CN"/>
        </w:rPr>
        <w:t xml:space="preserve"> Based on [1], further discussions are needed </w:t>
      </w:r>
      <w:r w:rsidR="00667489">
        <w:rPr>
          <w:rFonts w:eastAsia="宋体"/>
          <w:lang w:eastAsia="zh-CN"/>
        </w:rPr>
        <w:t>to finalize the test case list and test setup for the following two cases</w:t>
      </w:r>
      <w:r w:rsidR="00B7069D">
        <w:rPr>
          <w:rFonts w:eastAsia="宋体"/>
          <w:lang w:eastAsia="zh-CN"/>
        </w:rPr>
        <w:t xml:space="preserve"> in WID</w:t>
      </w:r>
      <w:r w:rsidR="00667489">
        <w:rPr>
          <w:rFonts w:eastAsia="宋体"/>
          <w:lang w:eastAsia="zh-CN"/>
        </w:rPr>
        <w:t>.</w:t>
      </w:r>
    </w:p>
    <w:p w:rsidR="00667489" w:rsidRDefault="00667489" w:rsidP="00667489">
      <w:pPr>
        <w:pStyle w:val="afe"/>
        <w:numPr>
          <w:ilvl w:val="0"/>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ase 1: joint operation of con-MG and pre-MG</w:t>
      </w:r>
    </w:p>
    <w:p w:rsidR="00667489" w:rsidRDefault="00667489" w:rsidP="00667489">
      <w:pPr>
        <w:pStyle w:val="afe"/>
        <w:numPr>
          <w:ilvl w:val="0"/>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ase 2: joint operation of con-MG and NCSG</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remaining issues for </w:t>
      </w:r>
      <w:r w:rsidRPr="00667489">
        <w:rPr>
          <w:rFonts w:eastAsia="宋体"/>
          <w:lang w:eastAsia="zh-CN"/>
        </w:rPr>
        <w:t>test cases for Case 1 and Case 2</w:t>
      </w:r>
      <w:r>
        <w:rPr>
          <w:rFonts w:eastAsia="宋体"/>
          <w:lang w:eastAsia="zh-CN"/>
        </w:rPr>
        <w:t>.</w:t>
      </w:r>
    </w:p>
    <w:p w:rsidR="00FD5501" w:rsidRDefault="00FA0C0C" w:rsidP="00FD5501">
      <w:pPr>
        <w:pStyle w:val="1"/>
        <w:jc w:val="both"/>
        <w:rPr>
          <w:lang w:val="en-US"/>
        </w:rPr>
      </w:pPr>
      <w:r>
        <w:rPr>
          <w:lang w:val="en-US"/>
        </w:rPr>
        <w:t>Discussion</w:t>
      </w:r>
    </w:p>
    <w:p w:rsidR="00C0606B" w:rsidRPr="001D7417" w:rsidRDefault="00667489" w:rsidP="001D7417">
      <w:pPr>
        <w:pStyle w:val="2"/>
        <w:rPr>
          <w:lang w:val="en-US" w:eastAsia="zh-CN"/>
        </w:rPr>
      </w:pPr>
      <w:r>
        <w:rPr>
          <w:lang w:val="en-US" w:eastAsia="zh-CN"/>
        </w:rPr>
        <w:t>Case 1</w:t>
      </w:r>
    </w:p>
    <w:tbl>
      <w:tblPr>
        <w:tblStyle w:val="afa"/>
        <w:tblW w:w="0" w:type="auto"/>
        <w:tblLook w:val="04A0" w:firstRow="1" w:lastRow="0" w:firstColumn="1" w:lastColumn="0" w:noHBand="0" w:noVBand="1"/>
      </w:tblPr>
      <w:tblGrid>
        <w:gridCol w:w="9621"/>
      </w:tblGrid>
      <w:tr w:rsidR="00B7069D" w:rsidTr="00B7069D">
        <w:tc>
          <w:tcPr>
            <w:tcW w:w="9621" w:type="dxa"/>
          </w:tcPr>
          <w:p w:rsidR="00B7069D" w:rsidRPr="00B7069D" w:rsidRDefault="00B7069D" w:rsidP="00B7069D">
            <w:pPr>
              <w:spacing w:beforeLines="0" w:before="0" w:afterLines="0" w:after="180"/>
              <w:rPr>
                <w:rFonts w:eastAsia="宋体"/>
                <w:b/>
                <w:color w:val="0070C0"/>
                <w:sz w:val="20"/>
                <w:u w:val="single"/>
                <w:lang w:eastAsia="ko-KR"/>
              </w:rPr>
            </w:pPr>
            <w:r w:rsidRPr="00B7069D">
              <w:rPr>
                <w:rFonts w:eastAsia="宋体"/>
                <w:b/>
                <w:color w:val="0070C0"/>
                <w:sz w:val="20"/>
                <w:u w:val="single"/>
                <w:lang w:eastAsia="ko-KR"/>
              </w:rPr>
              <w:t>Issue 4-2-1: [Case 1] Which scenarios shall RAN4 RRM define test cases for concurrent MG with pre-MG</w:t>
            </w:r>
          </w:p>
          <w:p w:rsidR="00B7069D" w:rsidRPr="00B7069D" w:rsidRDefault="00B7069D" w:rsidP="00B7069D">
            <w:pPr>
              <w:spacing w:beforeLines="0" w:before="0" w:afterLines="0" w:after="180"/>
              <w:contextualSpacing/>
              <w:rPr>
                <w:rFonts w:eastAsia="宋体"/>
                <w:sz w:val="21"/>
                <w:szCs w:val="21"/>
                <w:highlight w:val="green"/>
                <w:lang w:val="en-US" w:eastAsia="zh-CN"/>
              </w:rPr>
            </w:pPr>
            <w:r w:rsidRPr="00B7069D">
              <w:rPr>
                <w:rFonts w:eastAsia="宋体"/>
                <w:sz w:val="21"/>
                <w:szCs w:val="21"/>
                <w:highlight w:val="green"/>
                <w:lang w:val="en-US" w:eastAsia="zh-CN"/>
              </w:rPr>
              <w:t>Agreement:</w:t>
            </w:r>
          </w:p>
          <w:p w:rsidR="00B7069D" w:rsidRPr="00B7069D" w:rsidRDefault="00B7069D" w:rsidP="00B7069D">
            <w:pPr>
              <w:numPr>
                <w:ilvl w:val="1"/>
                <w:numId w:val="15"/>
              </w:numPr>
              <w:spacing w:beforeLines="0" w:before="0" w:afterLines="0" w:after="120"/>
              <w:ind w:left="1440"/>
              <w:rPr>
                <w:rFonts w:eastAsia="宋体"/>
                <w:sz w:val="21"/>
                <w:szCs w:val="21"/>
                <w:highlight w:val="green"/>
                <w:lang w:val="en-US" w:eastAsia="zh-CN"/>
              </w:rPr>
            </w:pPr>
            <w:r w:rsidRPr="00B7069D">
              <w:rPr>
                <w:rFonts w:eastAsia="宋体"/>
                <w:sz w:val="21"/>
                <w:szCs w:val="21"/>
                <w:highlight w:val="green"/>
                <w:lang w:val="en-US" w:eastAsia="zh-CN"/>
              </w:rPr>
              <w:t>The following scenarios be considered in the test cases:</w:t>
            </w:r>
          </w:p>
          <w:p w:rsidR="00B7069D" w:rsidRPr="00B7069D" w:rsidRDefault="00B7069D" w:rsidP="00B7069D">
            <w:pPr>
              <w:numPr>
                <w:ilvl w:val="2"/>
                <w:numId w:val="15"/>
              </w:numPr>
              <w:spacing w:beforeLines="0" w:before="0" w:afterLines="0" w:after="120"/>
              <w:ind w:left="1800"/>
              <w:rPr>
                <w:rFonts w:eastAsia="宋体"/>
                <w:sz w:val="21"/>
                <w:szCs w:val="21"/>
                <w:highlight w:val="green"/>
                <w:lang w:val="en-US" w:eastAsia="zh-CN"/>
              </w:rPr>
            </w:pPr>
            <w:r w:rsidRPr="00B7069D">
              <w:rPr>
                <w:rFonts w:eastAsia="宋体"/>
                <w:sz w:val="21"/>
                <w:szCs w:val="21"/>
                <w:highlight w:val="green"/>
                <w:lang w:val="en-US" w:eastAsia="zh-CN"/>
              </w:rPr>
              <w:t>Pre-MG + Type-2 MG</w:t>
            </w:r>
          </w:p>
          <w:p w:rsidR="00B7069D" w:rsidRPr="00B7069D" w:rsidRDefault="00B7069D" w:rsidP="00B7069D">
            <w:pPr>
              <w:numPr>
                <w:ilvl w:val="2"/>
                <w:numId w:val="15"/>
              </w:numPr>
              <w:spacing w:beforeLines="0" w:before="0" w:afterLines="0" w:after="120"/>
              <w:ind w:left="1800"/>
              <w:rPr>
                <w:rFonts w:eastAsia="宋体"/>
                <w:sz w:val="21"/>
                <w:szCs w:val="21"/>
                <w:highlight w:val="green"/>
                <w:lang w:val="en-US" w:eastAsia="zh-CN"/>
              </w:rPr>
            </w:pPr>
            <w:r w:rsidRPr="00B7069D">
              <w:rPr>
                <w:rFonts w:eastAsia="宋体"/>
                <w:sz w:val="21"/>
                <w:szCs w:val="21"/>
                <w:highlight w:val="green"/>
                <w:lang w:val="en-US" w:eastAsia="zh-CN"/>
              </w:rPr>
              <w:t xml:space="preserve">Pre-MG + Pre-MG </w:t>
            </w:r>
          </w:p>
          <w:p w:rsidR="00B7069D" w:rsidRPr="00B7069D" w:rsidRDefault="00B7069D" w:rsidP="00B7069D">
            <w:pPr>
              <w:numPr>
                <w:ilvl w:val="3"/>
                <w:numId w:val="15"/>
              </w:numPr>
              <w:spacing w:beforeLines="0" w:before="0" w:afterLines="0" w:after="120"/>
              <w:ind w:left="2520"/>
              <w:rPr>
                <w:rFonts w:eastAsia="宋体"/>
                <w:sz w:val="21"/>
                <w:szCs w:val="21"/>
                <w:highlight w:val="green"/>
                <w:lang w:val="en-US" w:eastAsia="zh-CN"/>
              </w:rPr>
            </w:pPr>
            <w:r w:rsidRPr="00B7069D">
              <w:rPr>
                <w:rFonts w:eastAsia="宋体"/>
                <w:sz w:val="21"/>
                <w:szCs w:val="21"/>
                <w:highlight w:val="green"/>
                <w:lang w:val="en-US" w:eastAsia="zh-CN"/>
              </w:rPr>
              <w:t>Under the following conditions:</w:t>
            </w:r>
          </w:p>
          <w:p w:rsidR="00B7069D" w:rsidRPr="00B7069D" w:rsidRDefault="00B7069D" w:rsidP="00B7069D">
            <w:pPr>
              <w:numPr>
                <w:ilvl w:val="4"/>
                <w:numId w:val="15"/>
              </w:numPr>
              <w:spacing w:beforeLines="0" w:before="0" w:afterLines="0" w:after="120"/>
              <w:ind w:left="3240"/>
              <w:rPr>
                <w:rFonts w:eastAsia="宋体"/>
                <w:sz w:val="21"/>
                <w:szCs w:val="21"/>
                <w:highlight w:val="green"/>
                <w:lang w:val="en-US" w:eastAsia="zh-CN"/>
              </w:rPr>
            </w:pPr>
            <w:r w:rsidRPr="00B7069D">
              <w:rPr>
                <w:rFonts w:eastAsia="宋体"/>
                <w:sz w:val="21"/>
                <w:szCs w:val="21"/>
                <w:highlight w:val="green"/>
                <w:lang w:val="en-US" w:eastAsia="zh-CN"/>
              </w:rPr>
              <w:t>Simultaneous multiple activation, FFS non-simultaneous multiple activation</w:t>
            </w:r>
          </w:p>
          <w:p w:rsidR="00B7069D" w:rsidRPr="00B7069D" w:rsidRDefault="00B7069D" w:rsidP="00B7069D">
            <w:pPr>
              <w:numPr>
                <w:ilvl w:val="4"/>
                <w:numId w:val="15"/>
              </w:numPr>
              <w:spacing w:beforeLines="0" w:before="0" w:afterLines="0" w:after="120"/>
              <w:ind w:left="3240"/>
              <w:rPr>
                <w:rFonts w:eastAsia="宋体"/>
                <w:sz w:val="21"/>
                <w:szCs w:val="21"/>
                <w:highlight w:val="green"/>
                <w:lang w:val="en-US" w:eastAsia="zh-CN"/>
              </w:rPr>
            </w:pPr>
            <w:r w:rsidRPr="00B7069D">
              <w:rPr>
                <w:rFonts w:eastAsia="宋体"/>
                <w:sz w:val="21"/>
                <w:szCs w:val="21"/>
                <w:highlight w:val="green"/>
                <w:lang w:val="en-US" w:eastAsia="zh-CN"/>
              </w:rPr>
              <w:t>Without dynamic collision</w:t>
            </w:r>
          </w:p>
          <w:p w:rsidR="00B7069D" w:rsidRPr="00B7069D" w:rsidRDefault="00B7069D" w:rsidP="00B7069D">
            <w:pPr>
              <w:numPr>
                <w:ilvl w:val="2"/>
                <w:numId w:val="15"/>
              </w:numPr>
              <w:spacing w:beforeLines="0" w:before="0" w:afterLines="0" w:after="120"/>
              <w:ind w:left="1800"/>
              <w:rPr>
                <w:rFonts w:eastAsia="宋体"/>
                <w:sz w:val="21"/>
                <w:szCs w:val="21"/>
                <w:highlight w:val="green"/>
                <w:lang w:val="en-US" w:eastAsia="zh-CN"/>
              </w:rPr>
            </w:pPr>
            <w:r w:rsidRPr="00B7069D">
              <w:rPr>
                <w:rFonts w:eastAsia="宋体"/>
                <w:sz w:val="21"/>
                <w:szCs w:val="21"/>
                <w:highlight w:val="green"/>
                <w:lang w:val="en-US" w:eastAsia="zh-CN"/>
              </w:rPr>
              <w:t>Dynamic collision with Pre-MG + Type-2 MG</w:t>
            </w:r>
          </w:p>
          <w:p w:rsidR="00B7069D" w:rsidRPr="00B7069D" w:rsidRDefault="00B7069D" w:rsidP="00B7069D">
            <w:pPr>
              <w:numPr>
                <w:ilvl w:val="2"/>
                <w:numId w:val="15"/>
              </w:numPr>
              <w:spacing w:beforeLines="0" w:before="0" w:afterLines="0" w:after="120"/>
              <w:ind w:left="1800"/>
              <w:rPr>
                <w:rFonts w:eastAsia="宋体"/>
                <w:sz w:val="21"/>
                <w:szCs w:val="21"/>
                <w:highlight w:val="green"/>
                <w:lang w:val="en-US" w:eastAsia="zh-CN"/>
              </w:rPr>
            </w:pPr>
            <w:r w:rsidRPr="00B7069D">
              <w:rPr>
                <w:rFonts w:eastAsia="宋体"/>
                <w:sz w:val="21"/>
                <w:szCs w:val="21"/>
                <w:highlight w:val="green"/>
                <w:lang w:val="en-US" w:eastAsia="zh-CN"/>
              </w:rPr>
              <w:t>FFS other scenarios, options for further discussion:</w:t>
            </w:r>
          </w:p>
          <w:p w:rsidR="00B7069D" w:rsidRPr="00B7069D" w:rsidRDefault="00B7069D" w:rsidP="00B7069D">
            <w:pPr>
              <w:numPr>
                <w:ilvl w:val="3"/>
                <w:numId w:val="15"/>
              </w:numPr>
              <w:spacing w:beforeLines="0" w:before="0" w:afterLines="0" w:after="120"/>
              <w:rPr>
                <w:rFonts w:eastAsia="宋体"/>
                <w:sz w:val="21"/>
                <w:szCs w:val="21"/>
                <w:highlight w:val="green"/>
                <w:lang w:val="en-US" w:eastAsia="zh-CN"/>
              </w:rPr>
            </w:pPr>
            <w:r w:rsidRPr="00B7069D">
              <w:rPr>
                <w:rFonts w:eastAsia="宋体"/>
                <w:sz w:val="21"/>
                <w:szCs w:val="21"/>
                <w:highlight w:val="green"/>
                <w:lang w:val="en-US" w:eastAsia="zh-CN"/>
              </w:rPr>
              <w:t>Pre-MG + Type-1 MG</w:t>
            </w:r>
          </w:p>
          <w:p w:rsidR="00B7069D" w:rsidRPr="00B7069D" w:rsidRDefault="00B7069D" w:rsidP="00B7069D">
            <w:pPr>
              <w:spacing w:beforeLines="0" w:before="0" w:afterLines="0" w:after="120"/>
              <w:rPr>
                <w:rFonts w:eastAsia="PMingLiU"/>
                <w:sz w:val="20"/>
                <w:szCs w:val="24"/>
                <w:lang w:eastAsia="zh-TW"/>
              </w:rPr>
            </w:pPr>
            <w:r w:rsidRPr="00B7069D">
              <w:rPr>
                <w:rFonts w:eastAsia="PMingLiU"/>
                <w:sz w:val="20"/>
                <w:szCs w:val="24"/>
                <w:lang w:eastAsia="zh-TW"/>
              </w:rPr>
              <w:t xml:space="preserve">&lt; </w:t>
            </w:r>
            <w:r w:rsidRPr="00B7069D">
              <w:rPr>
                <w:rFonts w:eastAsia="PMingLiU"/>
                <w:b/>
                <w:bCs/>
                <w:sz w:val="20"/>
                <w:szCs w:val="24"/>
                <w:lang w:eastAsia="zh-TW"/>
              </w:rPr>
              <w:t>Way Forward</w:t>
            </w:r>
            <w:r w:rsidRPr="00B7069D">
              <w:rPr>
                <w:rFonts w:eastAsia="PMingLiU"/>
                <w:sz w:val="20"/>
                <w:szCs w:val="24"/>
                <w:lang w:eastAsia="zh-TW"/>
              </w:rPr>
              <w:t xml:space="preserve"> &gt;</w:t>
            </w:r>
          </w:p>
          <w:p w:rsidR="00B7069D" w:rsidRPr="00B7069D" w:rsidRDefault="00B7069D" w:rsidP="00B7069D">
            <w:pPr>
              <w:spacing w:beforeLines="0" w:before="0" w:afterLines="0" w:after="120"/>
              <w:rPr>
                <w:rFonts w:eastAsia="PMingLiU"/>
                <w:sz w:val="20"/>
                <w:szCs w:val="24"/>
                <w:lang w:eastAsia="zh-TW"/>
              </w:rPr>
            </w:pPr>
            <w:r w:rsidRPr="00B7069D">
              <w:rPr>
                <w:rFonts w:eastAsia="PMingLiU"/>
                <w:b/>
                <w:bCs/>
                <w:sz w:val="20"/>
                <w:szCs w:val="24"/>
                <w:lang w:eastAsia="zh-TW"/>
              </w:rPr>
              <w:t>FFS</w:t>
            </w:r>
            <w:r w:rsidRPr="00B7069D">
              <w:rPr>
                <w:rFonts w:eastAsia="PMingLiU"/>
                <w:sz w:val="20"/>
                <w:szCs w:val="24"/>
                <w:lang w:eastAsia="zh-TW"/>
              </w:rPr>
              <w:t xml:space="preserve"> the following test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4"/>
              <w:gridCol w:w="2441"/>
              <w:gridCol w:w="4717"/>
              <w:gridCol w:w="1403"/>
            </w:tblGrid>
            <w:tr w:rsidR="00B7069D" w:rsidRPr="00B7069D" w:rsidTr="00B7069D">
              <w:tc>
                <w:tcPr>
                  <w:tcW w:w="850" w:type="dxa"/>
                  <w:shd w:val="clear" w:color="auto" w:fill="D9E2F3"/>
                  <w:tcMar>
                    <w:top w:w="80" w:type="dxa"/>
                    <w:left w:w="80" w:type="dxa"/>
                    <w:bottom w:w="80" w:type="dxa"/>
                    <w:right w:w="80" w:type="dxa"/>
                  </w:tcMar>
                  <w:hideMark/>
                </w:tcPr>
                <w:p w:rsidR="00B7069D" w:rsidRPr="00B7069D" w:rsidRDefault="00B7069D" w:rsidP="00B7069D">
                  <w:pPr>
                    <w:spacing w:beforeLines="0" w:before="0" w:afterLines="0" w:after="180"/>
                    <w:rPr>
                      <w:rFonts w:eastAsia="微软雅黑"/>
                      <w:b/>
                      <w:bCs/>
                      <w:color w:val="000000"/>
                      <w:sz w:val="20"/>
                      <w:lang w:val="en-US"/>
                    </w:rPr>
                  </w:pPr>
                  <w:r w:rsidRPr="00B7069D">
                    <w:rPr>
                      <w:rFonts w:eastAsia="微软雅黑"/>
                      <w:b/>
                      <w:bCs/>
                      <w:color w:val="000000"/>
                      <w:sz w:val="20"/>
                      <w:lang w:val="en-US"/>
                    </w:rPr>
                    <w:t>No</w:t>
                  </w:r>
                </w:p>
              </w:tc>
              <w:tc>
                <w:tcPr>
                  <w:tcW w:w="2467" w:type="dxa"/>
                  <w:shd w:val="clear" w:color="auto" w:fill="D9E2F3"/>
                  <w:tcMar>
                    <w:top w:w="80" w:type="dxa"/>
                    <w:left w:w="80" w:type="dxa"/>
                    <w:bottom w:w="80" w:type="dxa"/>
                    <w:right w:w="80" w:type="dxa"/>
                  </w:tcMar>
                  <w:hideMark/>
                </w:tcPr>
                <w:p w:rsidR="00B7069D" w:rsidRPr="00B7069D" w:rsidRDefault="00B7069D" w:rsidP="00B7069D">
                  <w:pPr>
                    <w:spacing w:beforeLines="0" w:before="0" w:afterLines="0" w:after="180"/>
                    <w:rPr>
                      <w:rFonts w:eastAsia="微软雅黑"/>
                      <w:b/>
                      <w:bCs/>
                      <w:color w:val="000000"/>
                      <w:sz w:val="20"/>
                      <w:lang w:val="en-US"/>
                    </w:rPr>
                  </w:pPr>
                  <w:r w:rsidRPr="00B7069D">
                    <w:rPr>
                      <w:rFonts w:eastAsia="微软雅黑"/>
                      <w:b/>
                      <w:bCs/>
                      <w:color w:val="000000"/>
                      <w:sz w:val="20"/>
                      <w:lang w:val="en-US"/>
                    </w:rPr>
                    <w:t>Test case category</w:t>
                  </w:r>
                </w:p>
              </w:tc>
              <w:tc>
                <w:tcPr>
                  <w:tcW w:w="4883" w:type="dxa"/>
                  <w:shd w:val="clear" w:color="auto" w:fill="D9E2F3"/>
                  <w:tcMar>
                    <w:top w:w="80" w:type="dxa"/>
                    <w:left w:w="80" w:type="dxa"/>
                    <w:bottom w:w="80" w:type="dxa"/>
                    <w:right w:w="80" w:type="dxa"/>
                  </w:tcMar>
                  <w:hideMark/>
                </w:tcPr>
                <w:p w:rsidR="00B7069D" w:rsidRPr="00B7069D" w:rsidRDefault="00B7069D" w:rsidP="00B7069D">
                  <w:pPr>
                    <w:overflowPunct w:val="0"/>
                    <w:autoSpaceDE w:val="0"/>
                    <w:autoSpaceDN w:val="0"/>
                    <w:adjustRightInd w:val="0"/>
                    <w:spacing w:beforeLines="0" w:before="0" w:afterLines="0" w:after="180"/>
                    <w:ind w:left="720" w:hanging="360"/>
                    <w:textAlignment w:val="baseline"/>
                    <w:rPr>
                      <w:rFonts w:eastAsia="微软雅黑"/>
                      <w:b/>
                      <w:bCs/>
                      <w:color w:val="000000"/>
                      <w:sz w:val="20"/>
                      <w:lang w:val="en-US"/>
                    </w:rPr>
                  </w:pPr>
                  <w:r w:rsidRPr="00B7069D">
                    <w:rPr>
                      <w:rFonts w:eastAsia="微软雅黑"/>
                      <w:b/>
                      <w:bCs/>
                      <w:color w:val="000000"/>
                      <w:sz w:val="20"/>
                      <w:lang w:val="en-US"/>
                    </w:rPr>
                    <w:t xml:space="preserve">Test purpose </w:t>
                  </w:r>
                </w:p>
              </w:tc>
              <w:tc>
                <w:tcPr>
                  <w:tcW w:w="1419" w:type="dxa"/>
                  <w:shd w:val="clear" w:color="auto" w:fill="D9E2F3"/>
                </w:tcPr>
                <w:p w:rsidR="00B7069D" w:rsidRPr="00B7069D" w:rsidRDefault="00B7069D" w:rsidP="00B7069D">
                  <w:pPr>
                    <w:spacing w:beforeLines="0" w:before="0" w:afterLines="0" w:after="180"/>
                    <w:rPr>
                      <w:rFonts w:eastAsia="微软雅黑"/>
                      <w:b/>
                      <w:bCs/>
                      <w:color w:val="000000"/>
                      <w:sz w:val="20"/>
                      <w:lang w:val="en-US"/>
                    </w:rPr>
                  </w:pPr>
                  <w:r w:rsidRPr="00B7069D">
                    <w:rPr>
                      <w:rFonts w:eastAsia="微软雅黑"/>
                      <w:b/>
                      <w:bCs/>
                      <w:color w:val="000000"/>
                      <w:sz w:val="20"/>
                      <w:lang w:val="en-US"/>
                    </w:rPr>
                    <w:t>Volunteering company</w:t>
                  </w:r>
                </w:p>
              </w:tc>
            </w:tr>
            <w:tr w:rsidR="00B7069D" w:rsidRPr="00B7069D" w:rsidTr="00DF1692">
              <w:tc>
                <w:tcPr>
                  <w:tcW w:w="850" w:type="dxa"/>
                  <w:tcMar>
                    <w:top w:w="80" w:type="dxa"/>
                    <w:left w:w="80" w:type="dxa"/>
                    <w:bottom w:w="80" w:type="dxa"/>
                    <w:right w:w="80" w:type="dxa"/>
                  </w:tcMar>
                  <w:hideMark/>
                </w:tcPr>
                <w:p w:rsidR="00B7069D" w:rsidRPr="00B7069D" w:rsidRDefault="00B7069D" w:rsidP="00B7069D">
                  <w:pPr>
                    <w:spacing w:beforeLines="0" w:before="0" w:afterLines="0" w:after="180"/>
                    <w:rPr>
                      <w:rFonts w:eastAsia="微软雅黑"/>
                      <w:color w:val="000000"/>
                      <w:sz w:val="20"/>
                      <w:lang w:val="en-US"/>
                    </w:rPr>
                  </w:pPr>
                  <w:r w:rsidRPr="00B7069D">
                    <w:rPr>
                      <w:rFonts w:eastAsia="微软雅黑"/>
                      <w:color w:val="ED7D31"/>
                      <w:sz w:val="20"/>
                      <w:lang w:val="en-US"/>
                    </w:rPr>
                    <w:t>Con-Pre-MG TC5</w:t>
                  </w:r>
                </w:p>
              </w:tc>
              <w:tc>
                <w:tcPr>
                  <w:tcW w:w="2467" w:type="dxa"/>
                  <w:tcMar>
                    <w:top w:w="80" w:type="dxa"/>
                    <w:left w:w="80" w:type="dxa"/>
                    <w:bottom w:w="80" w:type="dxa"/>
                    <w:right w:w="80" w:type="dxa"/>
                  </w:tcMar>
                  <w:hideMark/>
                </w:tcPr>
                <w:p w:rsidR="00B7069D" w:rsidRPr="00B7069D" w:rsidRDefault="00B7069D" w:rsidP="00B7069D">
                  <w:pPr>
                    <w:spacing w:beforeLines="0" w:before="0" w:afterLines="0" w:after="180"/>
                    <w:rPr>
                      <w:rFonts w:eastAsia="微软雅黑"/>
                      <w:color w:val="000000"/>
                      <w:sz w:val="20"/>
                      <w:lang w:val="en-US"/>
                    </w:rPr>
                  </w:pPr>
                  <w:r w:rsidRPr="00B7069D">
                    <w:rPr>
                      <w:rFonts w:eastAsia="微软雅黑"/>
                      <w:color w:val="000000"/>
                      <w:sz w:val="20"/>
                      <w:lang w:val="en-US"/>
                    </w:rPr>
                    <w:t xml:space="preserve">Inter-frequency measurement with autonomous activation/deactivation of Pre-MG in </w:t>
                  </w:r>
                  <w:r w:rsidRPr="00B7069D">
                    <w:rPr>
                      <w:rFonts w:eastAsia="微软雅黑"/>
                      <w:b/>
                      <w:bCs/>
                      <w:color w:val="000000"/>
                      <w:sz w:val="20"/>
                      <w:lang w:val="en-US"/>
                    </w:rPr>
                    <w:t>FR1</w:t>
                  </w:r>
                  <w:r w:rsidRPr="00B7069D">
                    <w:rPr>
                      <w:rFonts w:eastAsia="微软雅黑"/>
                      <w:color w:val="000000"/>
                      <w:sz w:val="20"/>
                      <w:lang w:val="en-US"/>
                    </w:rPr>
                    <w:t xml:space="preserve"> with </w:t>
                  </w:r>
                  <w:r w:rsidRPr="00B7069D">
                    <w:rPr>
                      <w:rFonts w:eastAsia="微软雅黑"/>
                      <w:color w:val="0000FF"/>
                      <w:sz w:val="20"/>
                      <w:lang w:val="en-US"/>
                    </w:rPr>
                    <w:t>dynamic collision</w:t>
                  </w:r>
                </w:p>
              </w:tc>
              <w:tc>
                <w:tcPr>
                  <w:tcW w:w="4883" w:type="dxa"/>
                  <w:tcMar>
                    <w:top w:w="80" w:type="dxa"/>
                    <w:left w:w="80" w:type="dxa"/>
                    <w:bottom w:w="80" w:type="dxa"/>
                    <w:right w:w="80" w:type="dxa"/>
                  </w:tcMar>
                  <w:hideMark/>
                </w:tcPr>
                <w:p w:rsidR="00B7069D" w:rsidRPr="00B7069D" w:rsidRDefault="00B7069D" w:rsidP="00B7069D">
                  <w:pPr>
                    <w:numPr>
                      <w:ilvl w:val="0"/>
                      <w:numId w:val="48"/>
                    </w:numPr>
                    <w:overflowPunct w:val="0"/>
                    <w:autoSpaceDE w:val="0"/>
                    <w:autoSpaceDN w:val="0"/>
                    <w:adjustRightInd w:val="0"/>
                    <w:spacing w:beforeLines="0" w:before="0" w:afterLines="0" w:after="180"/>
                    <w:rPr>
                      <w:rFonts w:eastAsia="微软雅黑"/>
                      <w:color w:val="000000"/>
                      <w:sz w:val="20"/>
                      <w:lang w:val="en-US"/>
                    </w:rPr>
                  </w:pPr>
                  <w:r w:rsidRPr="00B7069D">
                    <w:rPr>
                      <w:rFonts w:eastAsia="微软雅黑"/>
                      <w:color w:val="000000"/>
                      <w:sz w:val="20"/>
                      <w:lang w:val="en-US"/>
                    </w:rPr>
                    <w:t>Verify the gap association;</w:t>
                  </w:r>
                </w:p>
                <w:p w:rsidR="00B7069D" w:rsidRPr="00B7069D" w:rsidRDefault="00B7069D" w:rsidP="00B7069D">
                  <w:pPr>
                    <w:spacing w:beforeLines="0" w:before="0" w:afterLines="0" w:after="180"/>
                    <w:rPr>
                      <w:rFonts w:eastAsia="微软雅黑"/>
                      <w:color w:val="000000"/>
                      <w:sz w:val="20"/>
                      <w:lang w:val="en-US"/>
                    </w:rPr>
                  </w:pPr>
                  <w:r w:rsidRPr="00B7069D">
                    <w:rPr>
                      <w:rFonts w:eastAsia="微软雅黑"/>
                      <w:color w:val="000000"/>
                      <w:sz w:val="20"/>
                      <w:lang w:val="en-US"/>
                    </w:rPr>
                    <w:t> </w:t>
                  </w:r>
                  <w:r w:rsidRPr="00B7069D">
                    <w:rPr>
                      <w:rFonts w:ascii="Symbol" w:eastAsia="微软雅黑" w:hAnsi="Symbol"/>
                      <w:color w:val="000000"/>
                      <w:sz w:val="20"/>
                      <w:lang w:val="en-US"/>
                    </w:rPr>
                    <w:t></w:t>
                  </w:r>
                  <w:r w:rsidRPr="00B7069D">
                    <w:rPr>
                      <w:rFonts w:eastAsia="微软雅黑"/>
                      <w:color w:val="000000"/>
                      <w:sz w:val="14"/>
                      <w:szCs w:val="14"/>
                      <w:lang w:val="en-US"/>
                    </w:rPr>
                    <w:t xml:space="preserve">       </w:t>
                  </w:r>
                  <w:r w:rsidRPr="00B7069D">
                    <w:rPr>
                      <w:rFonts w:eastAsia="微软雅黑"/>
                      <w:color w:val="000000"/>
                      <w:sz w:val="20"/>
                      <w:lang w:val="en-US"/>
                    </w:rPr>
                    <w:t>Verify the dynamic gap collision when Pre-MG activation</w:t>
                  </w:r>
                </w:p>
                <w:p w:rsidR="00B7069D" w:rsidRPr="00B7069D" w:rsidRDefault="00B7069D" w:rsidP="00B7069D">
                  <w:pPr>
                    <w:overflowPunct w:val="0"/>
                    <w:autoSpaceDE w:val="0"/>
                    <w:autoSpaceDN w:val="0"/>
                    <w:adjustRightInd w:val="0"/>
                    <w:spacing w:beforeLines="0" w:before="0" w:afterLines="0" w:after="180"/>
                    <w:textAlignment w:val="baseline"/>
                    <w:rPr>
                      <w:rFonts w:eastAsia="微软雅黑"/>
                      <w:color w:val="000000"/>
                      <w:sz w:val="20"/>
                      <w:lang w:val="en-US"/>
                    </w:rPr>
                  </w:pPr>
                  <w:r w:rsidRPr="00B7069D">
                    <w:rPr>
                      <w:rFonts w:eastAsia="微软雅黑"/>
                      <w:color w:val="000000"/>
                      <w:sz w:val="20"/>
                      <w:lang w:val="en-US"/>
                    </w:rPr>
                    <w:lastRenderedPageBreak/>
                    <w:t>•             the UE shall NOT report corresponding valid ACK/NACK for those PDSCHs scheduled in the slots overlapped with the Type2 MG occasions.</w:t>
                  </w:r>
                </w:p>
                <w:p w:rsidR="00B7069D" w:rsidRPr="00B7069D" w:rsidRDefault="00B7069D" w:rsidP="00B7069D">
                  <w:pPr>
                    <w:overflowPunct w:val="0"/>
                    <w:autoSpaceDE w:val="0"/>
                    <w:autoSpaceDN w:val="0"/>
                    <w:adjustRightInd w:val="0"/>
                    <w:spacing w:beforeLines="0" w:before="0" w:afterLines="0" w:after="180"/>
                    <w:textAlignment w:val="baseline"/>
                    <w:rPr>
                      <w:rFonts w:eastAsia="微软雅黑"/>
                      <w:color w:val="000000"/>
                      <w:sz w:val="20"/>
                      <w:lang w:val="en-US"/>
                    </w:rPr>
                  </w:pPr>
                  <w:r w:rsidRPr="00B7069D">
                    <w:rPr>
                      <w:rFonts w:eastAsia="微软雅黑"/>
                      <w:color w:val="000000"/>
                      <w:sz w:val="20"/>
                      <w:lang w:val="en-US"/>
                    </w:rPr>
                    <w:t>•             the UE shall be able to receive PDSCH and report corresponding valid ACK/NACK for those PDSCHs scheduled in the slots overlapped with the Pre-MG occasion overlapped in dynamic collision</w:t>
                  </w:r>
                </w:p>
              </w:tc>
              <w:tc>
                <w:tcPr>
                  <w:tcW w:w="1419" w:type="dxa"/>
                </w:tcPr>
                <w:p w:rsidR="00B7069D" w:rsidRPr="00B7069D" w:rsidRDefault="00B7069D" w:rsidP="00B7069D">
                  <w:pPr>
                    <w:spacing w:beforeLines="0" w:before="0" w:afterLines="0" w:after="180"/>
                    <w:rPr>
                      <w:rFonts w:eastAsia="微软雅黑"/>
                      <w:color w:val="000000"/>
                      <w:sz w:val="20"/>
                      <w:lang w:val="en-US"/>
                    </w:rPr>
                  </w:pPr>
                </w:p>
              </w:tc>
            </w:tr>
            <w:tr w:rsidR="00B7069D" w:rsidRPr="00B7069D" w:rsidTr="00DF1692">
              <w:tc>
                <w:tcPr>
                  <w:tcW w:w="850" w:type="dxa"/>
                  <w:tcMar>
                    <w:top w:w="80" w:type="dxa"/>
                    <w:left w:w="80" w:type="dxa"/>
                    <w:bottom w:w="80" w:type="dxa"/>
                    <w:right w:w="80" w:type="dxa"/>
                  </w:tcMar>
                  <w:hideMark/>
                </w:tcPr>
                <w:p w:rsidR="00B7069D" w:rsidRPr="00B7069D" w:rsidRDefault="00B7069D" w:rsidP="00B7069D">
                  <w:pPr>
                    <w:spacing w:beforeLines="0" w:before="0" w:afterLines="0" w:after="180"/>
                    <w:rPr>
                      <w:rFonts w:eastAsia="微软雅黑"/>
                      <w:color w:val="000000"/>
                      <w:sz w:val="20"/>
                      <w:lang w:val="en-US"/>
                    </w:rPr>
                  </w:pPr>
                  <w:r w:rsidRPr="00B7069D">
                    <w:rPr>
                      <w:rFonts w:eastAsia="微软雅黑"/>
                      <w:color w:val="ED7D31"/>
                      <w:sz w:val="20"/>
                      <w:lang w:val="en-US"/>
                    </w:rPr>
                    <w:t>Con-Pre-MG TC6</w:t>
                  </w:r>
                </w:p>
              </w:tc>
              <w:tc>
                <w:tcPr>
                  <w:tcW w:w="2467" w:type="dxa"/>
                  <w:tcMar>
                    <w:top w:w="80" w:type="dxa"/>
                    <w:left w:w="80" w:type="dxa"/>
                    <w:bottom w:w="80" w:type="dxa"/>
                    <w:right w:w="80" w:type="dxa"/>
                  </w:tcMar>
                  <w:hideMark/>
                </w:tcPr>
                <w:p w:rsidR="00B7069D" w:rsidRPr="00B7069D" w:rsidRDefault="00B7069D" w:rsidP="00B7069D">
                  <w:pPr>
                    <w:spacing w:beforeLines="0" w:before="0" w:afterLines="0" w:after="180"/>
                    <w:rPr>
                      <w:rFonts w:eastAsia="微软雅黑"/>
                      <w:color w:val="000000"/>
                      <w:sz w:val="20"/>
                      <w:lang w:val="en-US"/>
                    </w:rPr>
                  </w:pPr>
                  <w:r w:rsidRPr="00B7069D">
                    <w:rPr>
                      <w:rFonts w:eastAsia="微软雅黑"/>
                      <w:color w:val="000000"/>
                      <w:sz w:val="20"/>
                      <w:lang w:val="en-US"/>
                    </w:rPr>
                    <w:t xml:space="preserve">Inter-frequency measurement with network-controlled activation/deactivation of Pre-MG in </w:t>
                  </w:r>
                  <w:r w:rsidRPr="00B7069D">
                    <w:rPr>
                      <w:rFonts w:eastAsia="微软雅黑"/>
                      <w:b/>
                      <w:bCs/>
                      <w:color w:val="000000"/>
                      <w:sz w:val="20"/>
                      <w:lang w:val="en-US"/>
                    </w:rPr>
                    <w:t>FR2</w:t>
                  </w:r>
                  <w:r w:rsidRPr="00B7069D">
                    <w:rPr>
                      <w:rFonts w:eastAsia="微软雅黑"/>
                      <w:color w:val="000000"/>
                      <w:sz w:val="20"/>
                      <w:lang w:val="en-US"/>
                    </w:rPr>
                    <w:t xml:space="preserve"> with </w:t>
                  </w:r>
                  <w:r w:rsidRPr="00B7069D">
                    <w:rPr>
                      <w:rFonts w:eastAsia="微软雅黑"/>
                      <w:color w:val="0000FF"/>
                      <w:sz w:val="20"/>
                      <w:lang w:val="en-US"/>
                    </w:rPr>
                    <w:t>dynamic collision</w:t>
                  </w:r>
                </w:p>
              </w:tc>
              <w:tc>
                <w:tcPr>
                  <w:tcW w:w="4883" w:type="dxa"/>
                  <w:tcMar>
                    <w:top w:w="80" w:type="dxa"/>
                    <w:left w:w="80" w:type="dxa"/>
                    <w:bottom w:w="80" w:type="dxa"/>
                    <w:right w:w="80" w:type="dxa"/>
                  </w:tcMar>
                  <w:hideMark/>
                </w:tcPr>
                <w:p w:rsidR="00B7069D" w:rsidRPr="00B7069D" w:rsidRDefault="00B7069D" w:rsidP="00B7069D">
                  <w:pPr>
                    <w:spacing w:beforeLines="0" w:before="0" w:afterLines="0" w:after="180"/>
                    <w:ind w:hanging="360"/>
                    <w:rPr>
                      <w:rFonts w:eastAsia="微软雅黑"/>
                      <w:color w:val="000000"/>
                      <w:sz w:val="20"/>
                      <w:lang w:val="en-US"/>
                    </w:rPr>
                  </w:pPr>
                  <w:r w:rsidRPr="00B7069D">
                    <w:rPr>
                      <w:rFonts w:ascii="Symbol" w:eastAsia="微软雅黑" w:hAnsi="Symbol"/>
                      <w:color w:val="000000"/>
                      <w:sz w:val="20"/>
                      <w:lang w:val="en-US"/>
                    </w:rPr>
                    <w:t></w:t>
                  </w:r>
                  <w:r w:rsidRPr="00B7069D">
                    <w:rPr>
                      <w:rFonts w:eastAsia="微软雅黑"/>
                      <w:color w:val="000000"/>
                      <w:sz w:val="14"/>
                      <w:szCs w:val="14"/>
                      <w:lang w:val="en-US"/>
                    </w:rPr>
                    <w:t xml:space="preserve">       </w:t>
                  </w:r>
                  <w:r w:rsidRPr="00B7069D">
                    <w:rPr>
                      <w:rFonts w:eastAsia="微软雅黑"/>
                      <w:color w:val="000000"/>
                      <w:sz w:val="20"/>
                      <w:lang w:val="en-US"/>
                    </w:rPr>
                    <w:t>Verify the gap association;</w:t>
                  </w:r>
                </w:p>
                <w:p w:rsidR="00B7069D" w:rsidRPr="00B7069D" w:rsidRDefault="00B7069D" w:rsidP="00B7069D">
                  <w:pPr>
                    <w:spacing w:beforeLines="0" w:before="0" w:afterLines="0" w:after="180"/>
                    <w:ind w:hanging="360"/>
                    <w:rPr>
                      <w:rFonts w:eastAsia="微软雅黑"/>
                      <w:color w:val="000000"/>
                      <w:sz w:val="20"/>
                      <w:lang w:val="en-US"/>
                    </w:rPr>
                  </w:pPr>
                  <w:r w:rsidRPr="00B7069D">
                    <w:rPr>
                      <w:rFonts w:ascii="Symbol" w:eastAsia="微软雅黑" w:hAnsi="Symbol"/>
                      <w:color w:val="000000"/>
                      <w:sz w:val="20"/>
                      <w:lang w:val="en-US"/>
                    </w:rPr>
                    <w:t></w:t>
                  </w:r>
                  <w:r w:rsidRPr="00B7069D">
                    <w:rPr>
                      <w:rFonts w:eastAsia="微软雅黑"/>
                      <w:color w:val="000000"/>
                      <w:sz w:val="14"/>
                      <w:szCs w:val="14"/>
                      <w:lang w:val="en-US"/>
                    </w:rPr>
                    <w:t xml:space="preserve">       </w:t>
                  </w:r>
                  <w:r w:rsidRPr="00B7069D">
                    <w:rPr>
                      <w:rFonts w:eastAsia="微软雅黑"/>
                      <w:color w:val="000000"/>
                      <w:sz w:val="20"/>
                      <w:lang w:val="en-US"/>
                    </w:rPr>
                    <w:t>Verify the dynamic gap collision when Pre-MG activation</w:t>
                  </w:r>
                </w:p>
                <w:p w:rsidR="00B7069D" w:rsidRPr="00B7069D" w:rsidRDefault="00B7069D" w:rsidP="00B7069D">
                  <w:pPr>
                    <w:overflowPunct w:val="0"/>
                    <w:autoSpaceDE w:val="0"/>
                    <w:autoSpaceDN w:val="0"/>
                    <w:adjustRightInd w:val="0"/>
                    <w:spacing w:beforeLines="0" w:before="0" w:afterLines="0" w:after="180"/>
                    <w:textAlignment w:val="baseline"/>
                    <w:rPr>
                      <w:rFonts w:eastAsia="微软雅黑"/>
                      <w:color w:val="000000"/>
                      <w:sz w:val="20"/>
                      <w:lang w:val="en-US"/>
                    </w:rPr>
                  </w:pPr>
                  <w:r w:rsidRPr="00B7069D">
                    <w:rPr>
                      <w:rFonts w:eastAsia="微软雅黑"/>
                      <w:color w:val="000000"/>
                      <w:sz w:val="20"/>
                      <w:lang w:val="en-US"/>
                    </w:rPr>
                    <w:t>•             the UE shall NOT report corresponding valid ACK/NACK for those PDSCHs scheduled in the slots overlapped with the Type2 MG occasions.</w:t>
                  </w:r>
                </w:p>
                <w:p w:rsidR="00B7069D" w:rsidRPr="00B7069D" w:rsidRDefault="00B7069D" w:rsidP="00B7069D">
                  <w:pPr>
                    <w:spacing w:beforeLines="0" w:before="0" w:afterLines="0" w:after="180"/>
                    <w:rPr>
                      <w:rFonts w:eastAsia="微软雅黑"/>
                      <w:color w:val="000000"/>
                      <w:sz w:val="20"/>
                      <w:lang w:val="en-US"/>
                    </w:rPr>
                  </w:pPr>
                  <w:r w:rsidRPr="00B7069D">
                    <w:rPr>
                      <w:rFonts w:eastAsia="微软雅黑"/>
                      <w:color w:val="000000"/>
                      <w:sz w:val="20"/>
                      <w:lang w:val="en-US"/>
                    </w:rPr>
                    <w:t>•             the UE shall be able to receive PDSCH and report corresponding valid ACK/NACK for those PDSCHs scheduled in the slots overlapped with the Pre-MG occasion overlapped in dynamic collision</w:t>
                  </w:r>
                </w:p>
              </w:tc>
              <w:tc>
                <w:tcPr>
                  <w:tcW w:w="1419" w:type="dxa"/>
                </w:tcPr>
                <w:p w:rsidR="00B7069D" w:rsidRPr="00B7069D" w:rsidRDefault="00B7069D" w:rsidP="00B7069D">
                  <w:pPr>
                    <w:spacing w:beforeLines="0" w:before="0" w:afterLines="0" w:after="180"/>
                    <w:ind w:hanging="360"/>
                    <w:rPr>
                      <w:rFonts w:ascii="Symbol" w:eastAsia="微软雅黑" w:hAnsi="Symbol"/>
                      <w:color w:val="000000"/>
                      <w:sz w:val="20"/>
                      <w:lang w:val="en-US"/>
                    </w:rPr>
                  </w:pPr>
                </w:p>
              </w:tc>
            </w:tr>
          </w:tbl>
          <w:p w:rsidR="00B7069D" w:rsidRPr="00B7069D" w:rsidRDefault="00B7069D" w:rsidP="00C0606B">
            <w:pPr>
              <w:spacing w:before="120" w:after="120"/>
              <w:rPr>
                <w:rFonts w:eastAsiaTheme="minorEastAsia"/>
                <w:lang w:eastAsia="zh-CN"/>
              </w:rPr>
            </w:pPr>
          </w:p>
        </w:tc>
      </w:tr>
    </w:tbl>
    <w:p w:rsidR="00667489" w:rsidRDefault="00705C29" w:rsidP="00C0606B">
      <w:pPr>
        <w:spacing w:before="120" w:after="12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e do not see strong need to define </w:t>
      </w:r>
      <w:r w:rsidRPr="00705C29">
        <w:rPr>
          <w:rFonts w:eastAsiaTheme="minorEastAsia"/>
          <w:lang w:val="en-US" w:eastAsia="zh-CN"/>
        </w:rPr>
        <w:t>TC for non-simultaneous multiple activation for Pre-MG + Pre-MG</w:t>
      </w:r>
      <w:r>
        <w:rPr>
          <w:rFonts w:eastAsiaTheme="minorEastAsia"/>
          <w:lang w:val="en-US" w:eastAsia="zh-CN"/>
        </w:rPr>
        <w:t xml:space="preserve">. For </w:t>
      </w:r>
      <w:r w:rsidRPr="00B7069D">
        <w:rPr>
          <w:rFonts w:eastAsiaTheme="minorEastAsia"/>
          <w:lang w:val="en-US" w:eastAsia="zh-CN"/>
        </w:rPr>
        <w:t>non-simultaneous multiple activation</w:t>
      </w:r>
      <w:r>
        <w:rPr>
          <w:rFonts w:eastAsiaTheme="minorEastAsia"/>
          <w:lang w:val="en-US" w:eastAsia="zh-CN"/>
        </w:rPr>
        <w:t xml:space="preserve"> for </w:t>
      </w:r>
      <w:r w:rsidRPr="00B7069D">
        <w:rPr>
          <w:rFonts w:eastAsiaTheme="minorEastAsia"/>
          <w:lang w:val="en-US" w:eastAsia="zh-CN"/>
        </w:rPr>
        <w:t>Pre-MG + Pre-MG</w:t>
      </w:r>
      <w:r>
        <w:rPr>
          <w:rFonts w:eastAsiaTheme="minorEastAsia"/>
          <w:lang w:val="en-US" w:eastAsia="zh-CN"/>
        </w:rPr>
        <w:t>, the R17 requirements apply for individual pre-MG and the two activation procedures do not impact each other</w:t>
      </w:r>
      <w:r w:rsidR="005E22E5">
        <w:rPr>
          <w:rFonts w:eastAsiaTheme="minorEastAsia"/>
          <w:lang w:val="en-US" w:eastAsia="zh-CN"/>
        </w:rPr>
        <w:t>. The</w:t>
      </w:r>
      <w:r>
        <w:rPr>
          <w:rFonts w:eastAsiaTheme="minorEastAsia"/>
          <w:lang w:val="en-US" w:eastAsia="zh-CN"/>
        </w:rPr>
        <w:t xml:space="preserve"> activation delay is already verified by R17 TC for single pre-MG. </w:t>
      </w:r>
    </w:p>
    <w:p w:rsidR="00B7069D" w:rsidRPr="005E22E5" w:rsidRDefault="003C2DB0" w:rsidP="00B7069D">
      <w:pPr>
        <w:spacing w:before="120" w:after="120"/>
        <w:rPr>
          <w:rFonts w:eastAsiaTheme="minorEastAsia"/>
          <w:b/>
          <w:lang w:val="en-US" w:eastAsia="zh-CN"/>
        </w:rPr>
      </w:pPr>
      <w:r w:rsidRPr="005E22E5">
        <w:rPr>
          <w:rFonts w:eastAsiaTheme="minorEastAsia" w:hint="eastAsia"/>
          <w:b/>
          <w:lang w:val="en-US" w:eastAsia="zh-CN"/>
        </w:rPr>
        <w:t>P</w:t>
      </w:r>
      <w:r w:rsidRPr="005E22E5">
        <w:rPr>
          <w:rFonts w:eastAsiaTheme="minorEastAsia"/>
          <w:b/>
          <w:lang w:val="en-US" w:eastAsia="zh-CN"/>
        </w:rPr>
        <w:t xml:space="preserve">roposal </w:t>
      </w:r>
      <w:r w:rsidR="00B7069D" w:rsidRPr="005E22E5">
        <w:rPr>
          <w:rFonts w:eastAsiaTheme="minorEastAsia"/>
          <w:b/>
          <w:lang w:val="en-US" w:eastAsia="zh-CN"/>
        </w:rPr>
        <w:t xml:space="preserve">1: RAN4 not </w:t>
      </w:r>
      <w:r w:rsidRPr="005E22E5">
        <w:rPr>
          <w:rFonts w:eastAsiaTheme="minorEastAsia"/>
          <w:b/>
          <w:lang w:val="en-US" w:eastAsia="zh-CN"/>
        </w:rPr>
        <w:t xml:space="preserve">to </w:t>
      </w:r>
      <w:r w:rsidR="00B7069D" w:rsidRPr="005E22E5">
        <w:rPr>
          <w:rFonts w:eastAsiaTheme="minorEastAsia"/>
          <w:b/>
          <w:lang w:val="en-US" w:eastAsia="zh-CN"/>
        </w:rPr>
        <w:t>define TC for non-simultaneous multiple activation for Pre-MG + Pre-MG.</w:t>
      </w:r>
    </w:p>
    <w:p w:rsidR="005E22E5" w:rsidRDefault="005E22E5" w:rsidP="005E22E5">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support to define </w:t>
      </w:r>
      <w:r w:rsidRPr="00705C29">
        <w:rPr>
          <w:rFonts w:eastAsiaTheme="minorEastAsia"/>
          <w:lang w:val="en-US" w:eastAsia="zh-CN"/>
        </w:rPr>
        <w:t xml:space="preserve">TC for </w:t>
      </w:r>
      <w:r w:rsidRPr="00B7069D">
        <w:rPr>
          <w:rFonts w:eastAsiaTheme="minorEastAsia"/>
          <w:lang w:val="en-US" w:eastAsia="zh-CN"/>
        </w:rPr>
        <w:t>Pre-MG + Type-1 MG</w:t>
      </w:r>
      <w:r>
        <w:rPr>
          <w:rFonts w:eastAsiaTheme="minorEastAsia"/>
          <w:lang w:val="en-US" w:eastAsia="zh-CN"/>
        </w:rPr>
        <w:t xml:space="preserve">. When Type-1 MG is used in Case 1, there is no requirement when it collides with the pre-MG, so it cannot fit into any of the agreed TCs for </w:t>
      </w:r>
      <w:r w:rsidRPr="00B7069D">
        <w:rPr>
          <w:rFonts w:eastAsiaTheme="minorEastAsia"/>
          <w:lang w:val="en-US" w:eastAsia="zh-CN"/>
        </w:rPr>
        <w:t>Pre-MG + Type-</w:t>
      </w:r>
      <w:r>
        <w:rPr>
          <w:rFonts w:eastAsiaTheme="minorEastAsia"/>
          <w:lang w:val="en-US" w:eastAsia="zh-CN"/>
        </w:rPr>
        <w:t>2</w:t>
      </w:r>
      <w:r w:rsidRPr="00B7069D">
        <w:rPr>
          <w:rFonts w:eastAsiaTheme="minorEastAsia"/>
          <w:lang w:val="en-US" w:eastAsia="zh-CN"/>
        </w:rPr>
        <w:t xml:space="preserve"> MG</w:t>
      </w:r>
      <w:r>
        <w:rPr>
          <w:rFonts w:eastAsiaTheme="minorEastAsia"/>
          <w:lang w:val="en-US" w:eastAsia="zh-CN"/>
        </w:rPr>
        <w:t>.</w:t>
      </w:r>
      <w:r w:rsidRPr="005E22E5">
        <w:rPr>
          <w:rFonts w:eastAsiaTheme="minorEastAsia"/>
          <w:lang w:val="en-US" w:eastAsia="zh-CN"/>
        </w:rPr>
        <w:t xml:space="preserve"> </w:t>
      </w:r>
      <w:r>
        <w:rPr>
          <w:rFonts w:eastAsiaTheme="minorEastAsia"/>
          <w:lang w:val="en-US" w:eastAsia="zh-CN"/>
        </w:rPr>
        <w:t xml:space="preserve">On the other hand, we do not see the need to define dedicated TCs. To configure UE with Case 1, NW must support Type-2 MG, </w:t>
      </w:r>
      <w:r w:rsidR="00BF0F4B">
        <w:rPr>
          <w:rFonts w:eastAsiaTheme="minorEastAsia"/>
          <w:lang w:val="en-US" w:eastAsia="zh-CN"/>
        </w:rPr>
        <w:t>so</w:t>
      </w:r>
      <w:r>
        <w:rPr>
          <w:rFonts w:eastAsiaTheme="minorEastAsia"/>
          <w:lang w:val="en-US" w:eastAsia="zh-CN"/>
        </w:rPr>
        <w:t xml:space="preserve"> the use case of </w:t>
      </w:r>
      <w:r w:rsidRPr="00B7069D">
        <w:rPr>
          <w:rFonts w:eastAsiaTheme="minorEastAsia"/>
          <w:lang w:val="en-US" w:eastAsia="zh-CN"/>
        </w:rPr>
        <w:t>Pre-MG + Type-1 MG</w:t>
      </w:r>
      <w:r>
        <w:rPr>
          <w:rFonts w:eastAsiaTheme="minorEastAsia"/>
          <w:lang w:val="en-US" w:eastAsia="zh-CN"/>
        </w:rPr>
        <w:t xml:space="preserve"> is unclear. </w:t>
      </w:r>
    </w:p>
    <w:p w:rsidR="00B7069D" w:rsidRPr="005E22E5" w:rsidRDefault="003C2DB0" w:rsidP="00B7069D">
      <w:pPr>
        <w:spacing w:before="120" w:after="120"/>
        <w:rPr>
          <w:rFonts w:eastAsiaTheme="minorEastAsia"/>
          <w:b/>
          <w:lang w:val="en-US" w:eastAsia="zh-CN"/>
        </w:rPr>
      </w:pPr>
      <w:r w:rsidRPr="005E22E5">
        <w:rPr>
          <w:rFonts w:eastAsiaTheme="minorEastAsia" w:hint="eastAsia"/>
          <w:b/>
          <w:lang w:val="en-US" w:eastAsia="zh-CN"/>
        </w:rPr>
        <w:t>P</w:t>
      </w:r>
      <w:r w:rsidRPr="005E22E5">
        <w:rPr>
          <w:rFonts w:eastAsiaTheme="minorEastAsia"/>
          <w:b/>
          <w:lang w:val="en-US" w:eastAsia="zh-CN"/>
        </w:rPr>
        <w:t xml:space="preserve">roposal </w:t>
      </w:r>
      <w:r w:rsidR="00B7069D" w:rsidRPr="005E22E5">
        <w:rPr>
          <w:rFonts w:eastAsiaTheme="minorEastAsia"/>
          <w:b/>
          <w:lang w:val="en-US" w:eastAsia="zh-CN"/>
        </w:rPr>
        <w:t xml:space="preserve">2: RAN4 not </w:t>
      </w:r>
      <w:r w:rsidRPr="005E22E5">
        <w:rPr>
          <w:rFonts w:eastAsiaTheme="minorEastAsia"/>
          <w:b/>
          <w:lang w:val="en-US" w:eastAsia="zh-CN"/>
        </w:rPr>
        <w:t xml:space="preserve">to </w:t>
      </w:r>
      <w:r w:rsidR="00B7069D" w:rsidRPr="005E22E5">
        <w:rPr>
          <w:rFonts w:eastAsiaTheme="minorEastAsia"/>
          <w:b/>
          <w:lang w:val="en-US" w:eastAsia="zh-CN"/>
        </w:rPr>
        <w:t>define TC for Pre-MG + Type-1 MG.</w:t>
      </w:r>
    </w:p>
    <w:p w:rsidR="00BF0F4B" w:rsidRDefault="00BF0F4B" w:rsidP="00C0606B">
      <w:pPr>
        <w:spacing w:before="120" w:after="120"/>
        <w:rPr>
          <w:rFonts w:eastAsiaTheme="minorEastAsia"/>
          <w:lang w:val="en-US" w:eastAsia="zh-CN"/>
        </w:rPr>
      </w:pPr>
      <w:r>
        <w:rPr>
          <w:rFonts w:eastAsiaTheme="minorEastAsia"/>
          <w:lang w:val="en-US" w:eastAsia="zh-CN"/>
        </w:rPr>
        <w:t xml:space="preserve">We do not support to define </w:t>
      </w:r>
      <w:r w:rsidRPr="00BF0F4B">
        <w:rPr>
          <w:rFonts w:eastAsiaTheme="minorEastAsia"/>
          <w:lang w:val="en-US" w:eastAsia="zh-CN"/>
        </w:rPr>
        <w:t xml:space="preserve">separate test for dynamic collision, i.e. Con-Pre-MG TC5 and Con-Pre-MG TC6 are not needed. There are two requirements related to dynamic collision. </w:t>
      </w:r>
    </w:p>
    <w:p w:rsidR="00BF0F4B" w:rsidRPr="00BF0F4B" w:rsidRDefault="00BF0F4B" w:rsidP="00BF0F4B">
      <w:pPr>
        <w:spacing w:before="120" w:after="120"/>
        <w:rPr>
          <w:rFonts w:eastAsiaTheme="minorEastAsia"/>
          <w:lang w:eastAsia="zh-CN"/>
        </w:rPr>
      </w:pPr>
      <w:r w:rsidRPr="00BF0F4B">
        <w:rPr>
          <w:rFonts w:eastAsiaTheme="minorEastAsia"/>
          <w:lang w:eastAsia="zh-CN"/>
        </w:rPr>
        <w:t>One is that deactivated pre-MG should not be considered for collision. We believe this is an important and generic requirement. It can and should be verified in Con-Pre-MG TC1 and Con-Pre-MG TC2.</w:t>
      </w:r>
    </w:p>
    <w:p w:rsidR="00667489" w:rsidRPr="00BF0F4B" w:rsidRDefault="00BF0F4B" w:rsidP="00BF0F4B">
      <w:pPr>
        <w:spacing w:before="120" w:after="120"/>
        <w:rPr>
          <w:rFonts w:eastAsiaTheme="minorEastAsia"/>
          <w:lang w:eastAsia="zh-CN"/>
        </w:rPr>
      </w:pPr>
      <w:r w:rsidRPr="00BF0F4B">
        <w:rPr>
          <w:rFonts w:eastAsiaTheme="minorEastAsia"/>
          <w:lang w:eastAsia="zh-CN"/>
        </w:rPr>
        <w:t>The other is for the scenario where pre-MG (de)activation procedure is overlapping with Type-2 MG. We believe it is for a very specific scenario, and the impact is only one colliding occasion.</w:t>
      </w:r>
      <w:r>
        <w:rPr>
          <w:rFonts w:eastAsiaTheme="minorEastAsia"/>
          <w:lang w:eastAsia="zh-CN"/>
        </w:rPr>
        <w:t xml:space="preserve"> </w:t>
      </w:r>
      <w:r w:rsidRPr="00BF0F4B">
        <w:rPr>
          <w:rFonts w:eastAsiaTheme="minorEastAsia"/>
          <w:lang w:eastAsia="zh-CN"/>
        </w:rPr>
        <w:t>We suggest not to define separate test case considering the low significance.</w:t>
      </w:r>
    </w:p>
    <w:p w:rsidR="00667489" w:rsidRPr="00BF0F4B" w:rsidRDefault="003C2DB0" w:rsidP="00C0606B">
      <w:pPr>
        <w:spacing w:before="120" w:after="120"/>
        <w:rPr>
          <w:rFonts w:eastAsiaTheme="minorEastAsia"/>
          <w:b/>
          <w:lang w:val="en-US" w:eastAsia="zh-CN"/>
        </w:rPr>
      </w:pPr>
      <w:r w:rsidRPr="00BF0F4B">
        <w:rPr>
          <w:rFonts w:eastAsiaTheme="minorEastAsia" w:hint="eastAsia"/>
          <w:b/>
          <w:lang w:val="en-US" w:eastAsia="zh-CN"/>
        </w:rPr>
        <w:t>P</w:t>
      </w:r>
      <w:r w:rsidRPr="00BF0F4B">
        <w:rPr>
          <w:rFonts w:eastAsiaTheme="minorEastAsia"/>
          <w:b/>
          <w:lang w:val="en-US" w:eastAsia="zh-CN"/>
        </w:rPr>
        <w:t xml:space="preserve">roposal </w:t>
      </w:r>
      <w:r w:rsidR="00B7069D" w:rsidRPr="00BF0F4B">
        <w:rPr>
          <w:rFonts w:eastAsiaTheme="minorEastAsia"/>
          <w:b/>
          <w:lang w:val="en-US" w:eastAsia="zh-CN"/>
        </w:rPr>
        <w:t xml:space="preserve">3: RAN4 not </w:t>
      </w:r>
      <w:r w:rsidRPr="00BF0F4B">
        <w:rPr>
          <w:rFonts w:eastAsiaTheme="minorEastAsia"/>
          <w:b/>
          <w:lang w:val="en-US" w:eastAsia="zh-CN"/>
        </w:rPr>
        <w:t xml:space="preserve">to </w:t>
      </w:r>
      <w:r w:rsidR="00B7069D" w:rsidRPr="00BF0F4B">
        <w:rPr>
          <w:rFonts w:eastAsiaTheme="minorEastAsia"/>
          <w:b/>
          <w:lang w:val="en-US" w:eastAsia="zh-CN"/>
        </w:rPr>
        <w:t>define separate TC for dynamic collision.</w:t>
      </w:r>
    </w:p>
    <w:p w:rsidR="00C0606B" w:rsidRDefault="00667489" w:rsidP="001D7417">
      <w:pPr>
        <w:pStyle w:val="2"/>
        <w:rPr>
          <w:lang w:val="en-US" w:eastAsia="zh-CN"/>
        </w:rPr>
      </w:pPr>
      <w:r>
        <w:rPr>
          <w:lang w:val="en-US" w:eastAsia="zh-CN"/>
        </w:rPr>
        <w:t>Case 2</w:t>
      </w:r>
    </w:p>
    <w:tbl>
      <w:tblPr>
        <w:tblStyle w:val="afa"/>
        <w:tblW w:w="0" w:type="auto"/>
        <w:tblLook w:val="04A0" w:firstRow="1" w:lastRow="0" w:firstColumn="1" w:lastColumn="0" w:noHBand="0" w:noVBand="1"/>
      </w:tblPr>
      <w:tblGrid>
        <w:gridCol w:w="9621"/>
      </w:tblGrid>
      <w:tr w:rsidR="003C2DB0" w:rsidTr="003C2DB0">
        <w:tc>
          <w:tcPr>
            <w:tcW w:w="9621" w:type="dxa"/>
          </w:tcPr>
          <w:p w:rsidR="003C2DB0" w:rsidRPr="003C2DB0" w:rsidRDefault="003C2DB0" w:rsidP="003C2DB0">
            <w:pPr>
              <w:spacing w:beforeLines="0" w:before="0" w:afterLines="0" w:after="180"/>
              <w:rPr>
                <w:rFonts w:eastAsia="宋体"/>
                <w:b/>
                <w:color w:val="0070C0"/>
                <w:sz w:val="20"/>
                <w:u w:val="single"/>
                <w:lang w:eastAsia="ko-KR"/>
              </w:rPr>
            </w:pPr>
            <w:r w:rsidRPr="003C2DB0">
              <w:rPr>
                <w:rFonts w:eastAsia="宋体"/>
                <w:b/>
                <w:color w:val="0070C0"/>
                <w:sz w:val="20"/>
                <w:u w:val="single"/>
                <w:lang w:eastAsia="ko-KR"/>
              </w:rPr>
              <w:t>Issue 4-3-1: [Case 2] Which scenarios shall RAN4 RRM define test cases for NCSG and concurrent MG (Case 2)</w:t>
            </w:r>
          </w:p>
          <w:p w:rsidR="003C2DB0" w:rsidRPr="003C2DB0" w:rsidRDefault="003C2DB0" w:rsidP="003C2DB0">
            <w:pPr>
              <w:spacing w:beforeLines="0" w:before="0" w:afterLines="0" w:after="120"/>
              <w:rPr>
                <w:rFonts w:eastAsia="宋体"/>
                <w:color w:val="000000"/>
                <w:sz w:val="20"/>
                <w:szCs w:val="24"/>
                <w:lang w:eastAsia="zh-CN"/>
              </w:rPr>
            </w:pPr>
            <w:r w:rsidRPr="003C2DB0">
              <w:rPr>
                <w:rFonts w:eastAsia="宋体"/>
                <w:color w:val="000000"/>
                <w:sz w:val="20"/>
                <w:szCs w:val="24"/>
                <w:lang w:eastAsia="zh-CN"/>
              </w:rPr>
              <w:t>&lt;</w:t>
            </w:r>
            <w:r w:rsidRPr="003C2DB0">
              <w:rPr>
                <w:rFonts w:eastAsia="宋体"/>
                <w:b/>
                <w:bCs/>
                <w:color w:val="000000"/>
                <w:sz w:val="20"/>
                <w:szCs w:val="24"/>
                <w:highlight w:val="yellow"/>
                <w:lang w:eastAsia="zh-CN"/>
              </w:rPr>
              <w:t>Tentative agreement</w:t>
            </w:r>
            <w:r w:rsidRPr="003C2DB0">
              <w:rPr>
                <w:rFonts w:eastAsia="宋体"/>
                <w:color w:val="000000"/>
                <w:sz w:val="20"/>
                <w:szCs w:val="24"/>
                <w:lang w:eastAsia="zh-CN"/>
              </w:rPr>
              <w:t>&gt;</w:t>
            </w:r>
          </w:p>
          <w:p w:rsidR="003C2DB0" w:rsidRPr="003C2DB0" w:rsidRDefault="003C2DB0" w:rsidP="003C2DB0">
            <w:pPr>
              <w:spacing w:beforeLines="0" w:before="0" w:afterLines="0" w:after="120"/>
              <w:rPr>
                <w:rFonts w:eastAsia="宋体"/>
                <w:color w:val="000000"/>
                <w:sz w:val="20"/>
                <w:szCs w:val="24"/>
                <w:lang w:eastAsia="zh-CN"/>
              </w:rPr>
            </w:pPr>
            <w:r w:rsidRPr="003C2DB0">
              <w:rPr>
                <w:rFonts w:eastAsia="宋体"/>
                <w:sz w:val="21"/>
                <w:szCs w:val="21"/>
                <w:highlight w:val="yellow"/>
                <w:lang w:val="en-US" w:eastAsia="zh-CN"/>
              </w:rPr>
              <w:t>The following scenarios be considered in the test cases:</w:t>
            </w:r>
          </w:p>
          <w:p w:rsidR="003C2DB0" w:rsidRPr="003C2DB0" w:rsidRDefault="003C2DB0" w:rsidP="003C2DB0">
            <w:pPr>
              <w:numPr>
                <w:ilvl w:val="2"/>
                <w:numId w:val="15"/>
              </w:numPr>
              <w:spacing w:beforeLines="0" w:before="0" w:afterLines="0" w:after="120"/>
              <w:ind w:left="1800"/>
              <w:rPr>
                <w:rFonts w:eastAsia="宋体"/>
                <w:color w:val="000000"/>
                <w:sz w:val="20"/>
                <w:szCs w:val="24"/>
                <w:lang w:eastAsia="zh-CN"/>
              </w:rPr>
            </w:pPr>
            <w:r w:rsidRPr="003C2DB0">
              <w:rPr>
                <w:sz w:val="20"/>
                <w:szCs w:val="24"/>
                <w:lang w:eastAsia="zh-CN"/>
              </w:rPr>
              <w:t>NCSG + Type-2 MG</w:t>
            </w:r>
          </w:p>
          <w:p w:rsidR="003C2DB0" w:rsidRPr="003C2DB0" w:rsidRDefault="003C2DB0" w:rsidP="003C2DB0">
            <w:pPr>
              <w:numPr>
                <w:ilvl w:val="2"/>
                <w:numId w:val="15"/>
              </w:numPr>
              <w:spacing w:beforeLines="0" w:before="0" w:afterLines="0" w:after="120"/>
              <w:ind w:left="1800"/>
              <w:rPr>
                <w:rFonts w:eastAsia="宋体"/>
                <w:color w:val="000000"/>
                <w:sz w:val="20"/>
                <w:szCs w:val="24"/>
                <w:lang w:eastAsia="zh-CN"/>
              </w:rPr>
            </w:pPr>
            <w:r w:rsidRPr="003C2DB0">
              <w:rPr>
                <w:sz w:val="20"/>
                <w:szCs w:val="24"/>
                <w:lang w:eastAsia="zh-CN"/>
              </w:rPr>
              <w:t xml:space="preserve">NCSG + NCSG </w:t>
            </w:r>
          </w:p>
          <w:p w:rsidR="003C2DB0" w:rsidRPr="003C2DB0" w:rsidRDefault="003C2DB0" w:rsidP="003C2DB0">
            <w:pPr>
              <w:numPr>
                <w:ilvl w:val="3"/>
                <w:numId w:val="15"/>
              </w:numPr>
              <w:spacing w:beforeLines="0" w:before="0" w:afterLines="0" w:after="120"/>
              <w:ind w:left="2520"/>
              <w:rPr>
                <w:rFonts w:eastAsia="宋体"/>
                <w:sz w:val="21"/>
                <w:szCs w:val="21"/>
                <w:highlight w:val="yellow"/>
                <w:lang w:val="en-US" w:eastAsia="zh-CN"/>
              </w:rPr>
            </w:pPr>
            <w:r w:rsidRPr="003C2DB0">
              <w:rPr>
                <w:rFonts w:eastAsia="宋体"/>
                <w:sz w:val="21"/>
                <w:szCs w:val="21"/>
                <w:highlight w:val="yellow"/>
                <w:lang w:val="en-US" w:eastAsia="zh-CN"/>
              </w:rPr>
              <w:t>FFS other scenarios, options for further discussion:</w:t>
            </w:r>
          </w:p>
          <w:p w:rsidR="003C2DB0" w:rsidRPr="003C2DB0" w:rsidRDefault="003C2DB0" w:rsidP="003C2DB0">
            <w:pPr>
              <w:numPr>
                <w:ilvl w:val="4"/>
                <w:numId w:val="15"/>
              </w:numPr>
              <w:spacing w:beforeLines="0" w:before="0" w:afterLines="0" w:after="120"/>
              <w:ind w:left="3240"/>
              <w:rPr>
                <w:rFonts w:eastAsia="宋体"/>
                <w:color w:val="000000"/>
                <w:sz w:val="20"/>
                <w:szCs w:val="24"/>
                <w:lang w:eastAsia="zh-CN"/>
              </w:rPr>
            </w:pPr>
            <w:r w:rsidRPr="003C2DB0">
              <w:rPr>
                <w:rFonts w:eastAsia="宋体"/>
                <w:color w:val="000000"/>
                <w:sz w:val="20"/>
                <w:szCs w:val="24"/>
                <w:lang w:val="en-US" w:eastAsia="zh-CN"/>
              </w:rPr>
              <w:lastRenderedPageBreak/>
              <w:t>NCSG + Type-1 MG</w:t>
            </w:r>
          </w:p>
          <w:p w:rsidR="003C2DB0" w:rsidRPr="003C2DB0" w:rsidRDefault="003C2DB0" w:rsidP="003C2DB0">
            <w:pPr>
              <w:spacing w:beforeLines="0" w:before="0" w:afterLines="0" w:after="120"/>
              <w:rPr>
                <w:rFonts w:eastAsia="PMingLiU"/>
                <w:sz w:val="20"/>
                <w:szCs w:val="24"/>
                <w:lang w:eastAsia="zh-TW"/>
              </w:rPr>
            </w:pPr>
            <w:r w:rsidRPr="003C2DB0">
              <w:rPr>
                <w:rFonts w:eastAsia="PMingLiU"/>
                <w:sz w:val="20"/>
                <w:szCs w:val="24"/>
                <w:lang w:eastAsia="zh-TW"/>
              </w:rPr>
              <w:t xml:space="preserve">&lt; </w:t>
            </w:r>
            <w:r w:rsidRPr="003C2DB0">
              <w:rPr>
                <w:rFonts w:eastAsia="PMingLiU"/>
                <w:b/>
                <w:bCs/>
                <w:sz w:val="20"/>
                <w:szCs w:val="24"/>
                <w:lang w:eastAsia="zh-TW"/>
              </w:rPr>
              <w:t>Way Forward</w:t>
            </w:r>
            <w:r w:rsidRPr="003C2DB0">
              <w:rPr>
                <w:rFonts w:eastAsia="PMingLiU"/>
                <w:sz w:val="20"/>
                <w:szCs w:val="24"/>
                <w:lang w:eastAsia="zh-TW"/>
              </w:rPr>
              <w:t xml:space="preserve"> &gt;</w:t>
            </w:r>
          </w:p>
          <w:p w:rsidR="003C2DB0" w:rsidRPr="003C2DB0" w:rsidRDefault="003C2DB0" w:rsidP="003C2DB0">
            <w:pPr>
              <w:spacing w:beforeLines="0" w:before="0" w:afterLines="0" w:after="120"/>
              <w:rPr>
                <w:rFonts w:eastAsia="宋体"/>
                <w:color w:val="0070C0"/>
                <w:sz w:val="20"/>
                <w:szCs w:val="24"/>
                <w:lang w:eastAsia="zh-CN"/>
              </w:rPr>
            </w:pPr>
            <w:r w:rsidRPr="003C2DB0">
              <w:rPr>
                <w:rFonts w:eastAsia="PMingLiU"/>
                <w:sz w:val="20"/>
                <w:szCs w:val="24"/>
                <w:lang w:eastAsia="zh-TW"/>
              </w:rPr>
              <w:t>FFS the following test cases:</w:t>
            </w:r>
          </w:p>
          <w:tbl>
            <w:tblPr>
              <w:tblW w:w="0" w:type="auto"/>
              <w:tblCellMar>
                <w:left w:w="0" w:type="dxa"/>
                <w:right w:w="0" w:type="dxa"/>
              </w:tblCellMar>
              <w:tblLook w:val="04A0" w:firstRow="1" w:lastRow="0" w:firstColumn="1" w:lastColumn="0" w:noHBand="0" w:noVBand="1"/>
            </w:tblPr>
            <w:tblGrid>
              <w:gridCol w:w="1148"/>
              <w:gridCol w:w="2614"/>
              <w:gridCol w:w="4021"/>
              <w:gridCol w:w="1602"/>
            </w:tblGrid>
            <w:tr w:rsidR="003C2DB0" w:rsidRPr="003C2DB0" w:rsidTr="00DF1692">
              <w:trPr>
                <w:trHeight w:val="497"/>
              </w:trPr>
              <w:tc>
                <w:tcPr>
                  <w:tcW w:w="1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C2DB0" w:rsidRPr="003C2DB0" w:rsidRDefault="003C2DB0" w:rsidP="003C2DB0">
                  <w:pPr>
                    <w:spacing w:beforeLines="0" w:before="0" w:afterLines="0" w:after="180"/>
                    <w:rPr>
                      <w:rFonts w:eastAsia="微软雅黑"/>
                      <w:color w:val="000000"/>
                      <w:sz w:val="20"/>
                      <w:lang w:val="en-US"/>
                    </w:rPr>
                  </w:pPr>
                  <w:r w:rsidRPr="003C2DB0">
                    <w:rPr>
                      <w:rFonts w:eastAsia="微软雅黑"/>
                      <w:b/>
                      <w:bCs/>
                      <w:color w:val="000000"/>
                      <w:sz w:val="20"/>
                      <w:lang w:val="en-US"/>
                    </w:rPr>
                    <w:t>No</w:t>
                  </w:r>
                </w:p>
              </w:tc>
              <w:tc>
                <w:tcPr>
                  <w:tcW w:w="2722"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rsidR="003C2DB0" w:rsidRPr="003C2DB0" w:rsidRDefault="003C2DB0" w:rsidP="003C2DB0">
                  <w:pPr>
                    <w:spacing w:beforeLines="0" w:before="0" w:afterLines="0" w:after="180"/>
                    <w:rPr>
                      <w:rFonts w:eastAsia="微软雅黑"/>
                      <w:color w:val="000000"/>
                      <w:sz w:val="20"/>
                      <w:lang w:val="en-US"/>
                    </w:rPr>
                  </w:pPr>
                  <w:r w:rsidRPr="003C2DB0">
                    <w:rPr>
                      <w:rFonts w:eastAsia="微软雅黑"/>
                      <w:b/>
                      <w:bCs/>
                      <w:color w:val="000000"/>
                      <w:sz w:val="20"/>
                      <w:lang w:val="en-US"/>
                    </w:rPr>
                    <w:t>Test case category</w:t>
                  </w:r>
                </w:p>
              </w:tc>
              <w:tc>
                <w:tcPr>
                  <w:tcW w:w="417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rsidR="003C2DB0" w:rsidRPr="003C2DB0" w:rsidRDefault="003C2DB0" w:rsidP="003C2DB0">
                  <w:pPr>
                    <w:spacing w:beforeLines="0" w:before="0" w:afterLines="0" w:after="180"/>
                    <w:rPr>
                      <w:rFonts w:eastAsia="微软雅黑"/>
                      <w:color w:val="000000"/>
                      <w:sz w:val="20"/>
                      <w:lang w:val="en-US"/>
                    </w:rPr>
                  </w:pPr>
                  <w:r w:rsidRPr="003C2DB0">
                    <w:rPr>
                      <w:rFonts w:eastAsia="微软雅黑"/>
                      <w:b/>
                      <w:bCs/>
                      <w:color w:val="000000"/>
                      <w:sz w:val="20"/>
                      <w:lang w:val="en-US"/>
                    </w:rPr>
                    <w:t xml:space="preserve">Test purpose </w:t>
                  </w:r>
                </w:p>
              </w:tc>
              <w:tc>
                <w:tcPr>
                  <w:tcW w:w="1640" w:type="dxa"/>
                  <w:tcBorders>
                    <w:top w:val="single" w:sz="8" w:space="0" w:color="A3A3A3"/>
                    <w:left w:val="nil"/>
                    <w:bottom w:val="single" w:sz="8" w:space="0" w:color="A3A3A3"/>
                    <w:right w:val="single" w:sz="8" w:space="0" w:color="A3A3A3"/>
                  </w:tcBorders>
                  <w:hideMark/>
                </w:tcPr>
                <w:p w:rsidR="003C2DB0" w:rsidRPr="003C2DB0" w:rsidRDefault="003C2DB0" w:rsidP="003C2DB0">
                  <w:pPr>
                    <w:spacing w:beforeLines="0" w:before="0" w:afterLines="0" w:after="180"/>
                    <w:rPr>
                      <w:rFonts w:eastAsia="微软雅黑"/>
                      <w:color w:val="000000"/>
                      <w:sz w:val="20"/>
                      <w:lang w:val="en-US"/>
                    </w:rPr>
                  </w:pPr>
                  <w:r w:rsidRPr="003C2DB0">
                    <w:rPr>
                      <w:rFonts w:eastAsia="微软雅黑"/>
                      <w:b/>
                      <w:bCs/>
                      <w:color w:val="000000"/>
                      <w:sz w:val="20"/>
                      <w:lang w:val="en-US"/>
                    </w:rPr>
                    <w:t>Volunteering companies</w:t>
                  </w:r>
                </w:p>
              </w:tc>
            </w:tr>
            <w:tr w:rsidR="003C2DB0" w:rsidRPr="003C2DB0" w:rsidTr="00DF1692">
              <w:trPr>
                <w:trHeight w:val="1761"/>
              </w:trPr>
              <w:tc>
                <w:tcPr>
                  <w:tcW w:w="1186"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3C2DB0" w:rsidRPr="003C2DB0" w:rsidRDefault="003C2DB0" w:rsidP="003C2DB0">
                  <w:pPr>
                    <w:spacing w:beforeLines="0" w:before="0" w:afterLines="0" w:after="180"/>
                    <w:rPr>
                      <w:rFonts w:eastAsia="微软雅黑"/>
                      <w:color w:val="000000"/>
                      <w:sz w:val="20"/>
                      <w:lang w:val="en-US"/>
                    </w:rPr>
                  </w:pPr>
                  <w:r w:rsidRPr="003C2DB0">
                    <w:rPr>
                      <w:rFonts w:eastAsia="Microsoft YaHei UI"/>
                      <w:color w:val="0070C0"/>
                      <w:sz w:val="20"/>
                      <w:lang w:val="en-US"/>
                    </w:rPr>
                    <w:t>Con-NCSG TC3</w:t>
                  </w:r>
                </w:p>
              </w:tc>
              <w:tc>
                <w:tcPr>
                  <w:tcW w:w="2722" w:type="dxa"/>
                  <w:tcBorders>
                    <w:top w:val="nil"/>
                    <w:left w:val="nil"/>
                    <w:bottom w:val="single" w:sz="8" w:space="0" w:color="A3A3A3"/>
                    <w:right w:val="single" w:sz="8" w:space="0" w:color="A3A3A3"/>
                  </w:tcBorders>
                  <w:tcMar>
                    <w:top w:w="80" w:type="dxa"/>
                    <w:left w:w="80" w:type="dxa"/>
                    <w:bottom w:w="80" w:type="dxa"/>
                    <w:right w:w="80" w:type="dxa"/>
                  </w:tcMar>
                  <w:hideMark/>
                </w:tcPr>
                <w:p w:rsidR="003C2DB0" w:rsidRPr="003C2DB0" w:rsidRDefault="003C2DB0" w:rsidP="003C2DB0">
                  <w:pPr>
                    <w:spacing w:beforeLines="0" w:before="0" w:afterLines="0" w:after="180"/>
                    <w:rPr>
                      <w:rFonts w:eastAsia="微软雅黑"/>
                      <w:color w:val="000000"/>
                      <w:sz w:val="20"/>
                      <w:lang w:val="en-US"/>
                    </w:rPr>
                  </w:pPr>
                  <w:r w:rsidRPr="003C2DB0">
                    <w:rPr>
                      <w:rFonts w:eastAsia="Microsoft YaHei UI"/>
                      <w:color w:val="000000"/>
                      <w:sz w:val="20"/>
                      <w:lang w:val="en-US"/>
                    </w:rPr>
                    <w:t xml:space="preserve">Event triggered reporting test on inter-frequency in </w:t>
                  </w:r>
                  <w:r w:rsidRPr="003C2DB0">
                    <w:rPr>
                      <w:rFonts w:eastAsia="Microsoft YaHei UI"/>
                      <w:b/>
                      <w:bCs/>
                      <w:color w:val="000000"/>
                      <w:sz w:val="20"/>
                      <w:lang w:val="en-US"/>
                    </w:rPr>
                    <w:t>FR2</w:t>
                  </w:r>
                  <w:r w:rsidRPr="003C2DB0">
                    <w:rPr>
                      <w:rFonts w:eastAsia="Microsoft YaHei UI"/>
                      <w:color w:val="000000"/>
                      <w:sz w:val="20"/>
                      <w:lang w:val="en-US"/>
                    </w:rPr>
                    <w:t xml:space="preserve"> with concurrent gap and NCSG of </w:t>
                  </w:r>
                  <w:r w:rsidRPr="003C2DB0">
                    <w:rPr>
                      <w:rFonts w:eastAsia="Microsoft YaHei UI"/>
                      <w:color w:val="0000FF"/>
                      <w:sz w:val="20"/>
                      <w:lang w:val="en-US"/>
                    </w:rPr>
                    <w:t>two NCSGs</w:t>
                  </w:r>
                </w:p>
              </w:tc>
              <w:tc>
                <w:tcPr>
                  <w:tcW w:w="4177" w:type="dxa"/>
                  <w:tcBorders>
                    <w:top w:val="nil"/>
                    <w:left w:val="nil"/>
                    <w:bottom w:val="single" w:sz="8" w:space="0" w:color="A3A3A3"/>
                    <w:right w:val="single" w:sz="8" w:space="0" w:color="A3A3A3"/>
                  </w:tcBorders>
                  <w:tcMar>
                    <w:top w:w="80" w:type="dxa"/>
                    <w:left w:w="80" w:type="dxa"/>
                    <w:bottom w:w="80" w:type="dxa"/>
                    <w:right w:w="80" w:type="dxa"/>
                  </w:tcMar>
                  <w:hideMark/>
                </w:tcPr>
                <w:p w:rsidR="003C2DB0" w:rsidRPr="003C2DB0" w:rsidRDefault="003C2DB0" w:rsidP="003C2DB0">
                  <w:pPr>
                    <w:spacing w:beforeLines="0" w:before="0" w:afterLines="0" w:after="180"/>
                    <w:ind w:left="360" w:hanging="360"/>
                    <w:rPr>
                      <w:rFonts w:eastAsia="Microsoft YaHei UI"/>
                      <w:color w:val="000000"/>
                      <w:sz w:val="20"/>
                      <w:lang w:val="en-US"/>
                    </w:rPr>
                  </w:pPr>
                  <w:r w:rsidRPr="003C2DB0">
                    <w:rPr>
                      <w:rFonts w:ascii="Symbol" w:eastAsia="Microsoft YaHei UI" w:hAnsi="Symbol"/>
                      <w:color w:val="000000"/>
                      <w:sz w:val="20"/>
                      <w:lang w:val="sv-SE"/>
                    </w:rPr>
                    <w:t></w:t>
                  </w:r>
                  <w:r w:rsidRPr="003C2DB0">
                    <w:rPr>
                      <w:rFonts w:ascii="Symbol" w:eastAsia="Microsoft YaHei UI"/>
                      <w:color w:val="000000"/>
                      <w:sz w:val="20"/>
                      <w:lang w:val="sv-SE"/>
                    </w:rPr>
                    <w:t>       </w:t>
                  </w:r>
                  <w:r w:rsidRPr="003C2DB0">
                    <w:rPr>
                      <w:rFonts w:eastAsia="Microsoft YaHei UI"/>
                      <w:color w:val="000000"/>
                      <w:sz w:val="20"/>
                      <w:lang w:val="sv-SE"/>
                    </w:rPr>
                    <w:t>Inter-frequency cell search delay is met for Cell2 in NCSG1 and Inter-frequency cell search/measurement delay for Cell3 in NCSG2, and</w:t>
                  </w:r>
                </w:p>
                <w:p w:rsidR="003C2DB0" w:rsidRPr="003C2DB0" w:rsidRDefault="003C2DB0" w:rsidP="003C2DB0">
                  <w:pPr>
                    <w:spacing w:beforeLines="0" w:before="0" w:afterLines="0" w:after="180"/>
                    <w:ind w:left="360" w:hanging="360"/>
                    <w:rPr>
                      <w:rFonts w:eastAsia="Microsoft YaHei UI"/>
                      <w:color w:val="000000"/>
                      <w:sz w:val="20"/>
                      <w:lang w:val="sv-SE"/>
                    </w:rPr>
                  </w:pPr>
                  <w:r w:rsidRPr="003C2DB0">
                    <w:rPr>
                      <w:rFonts w:ascii="Symbol" w:eastAsia="Microsoft YaHei UI" w:hAnsi="Symbol"/>
                      <w:color w:val="000000"/>
                      <w:sz w:val="20"/>
                      <w:lang w:val="sv-SE"/>
                    </w:rPr>
                    <w:t></w:t>
                  </w:r>
                  <w:r w:rsidRPr="003C2DB0">
                    <w:rPr>
                      <w:rFonts w:ascii="Symbol" w:eastAsia="Microsoft YaHei UI"/>
                      <w:color w:val="000000"/>
                      <w:sz w:val="20"/>
                      <w:lang w:val="sv-SE"/>
                    </w:rPr>
                    <w:t>       </w:t>
                  </w:r>
                  <w:r w:rsidRPr="003C2DB0">
                    <w:rPr>
                      <w:rFonts w:eastAsia="Microsoft YaHei UI"/>
                      <w:color w:val="000000"/>
                      <w:sz w:val="20"/>
                      <w:lang w:val="sv-SE"/>
                    </w:rPr>
                    <w:t>UE receives data in Cell1 meeting scheduling restriction requirement</w:t>
                  </w:r>
                </w:p>
                <w:p w:rsidR="003C2DB0" w:rsidRPr="003C2DB0" w:rsidRDefault="003C2DB0" w:rsidP="003C2DB0">
                  <w:pPr>
                    <w:numPr>
                      <w:ilvl w:val="0"/>
                      <w:numId w:val="49"/>
                    </w:numPr>
                    <w:overflowPunct w:val="0"/>
                    <w:autoSpaceDE w:val="0"/>
                    <w:autoSpaceDN w:val="0"/>
                    <w:adjustRightInd w:val="0"/>
                    <w:spacing w:beforeLines="0" w:before="0" w:afterLines="0" w:after="180"/>
                    <w:textAlignment w:val="baseline"/>
                    <w:rPr>
                      <w:rFonts w:eastAsia="微软雅黑"/>
                      <w:color w:val="000000"/>
                      <w:sz w:val="20"/>
                      <w:lang w:val="en-US"/>
                    </w:rPr>
                  </w:pPr>
                  <w:r w:rsidRPr="003C2DB0">
                    <w:rPr>
                      <w:rFonts w:eastAsia="Microsoft YaHei UI"/>
                      <w:color w:val="000000"/>
                      <w:sz w:val="20"/>
                      <w:lang w:val="en-US"/>
                    </w:rPr>
                    <w:t>Verify the gap collision rule</w:t>
                  </w:r>
                </w:p>
              </w:tc>
              <w:tc>
                <w:tcPr>
                  <w:tcW w:w="1640" w:type="dxa"/>
                  <w:tcBorders>
                    <w:top w:val="nil"/>
                    <w:left w:val="nil"/>
                    <w:bottom w:val="single" w:sz="8" w:space="0" w:color="A3A3A3"/>
                    <w:right w:val="single" w:sz="8" w:space="0" w:color="A3A3A3"/>
                  </w:tcBorders>
                </w:tcPr>
                <w:p w:rsidR="003C2DB0" w:rsidRPr="003C2DB0" w:rsidRDefault="003C2DB0" w:rsidP="003C2DB0">
                  <w:pPr>
                    <w:spacing w:beforeLines="0" w:before="0" w:afterLines="0" w:after="180"/>
                    <w:rPr>
                      <w:rFonts w:eastAsia="微软雅黑"/>
                      <w:color w:val="000000"/>
                      <w:sz w:val="21"/>
                      <w:szCs w:val="21"/>
                      <w:lang w:val="en-US"/>
                    </w:rPr>
                  </w:pPr>
                </w:p>
              </w:tc>
            </w:tr>
            <w:tr w:rsidR="003C2DB0" w:rsidRPr="003C2DB0" w:rsidTr="00DF1692">
              <w:trPr>
                <w:trHeight w:val="1753"/>
              </w:trPr>
              <w:tc>
                <w:tcPr>
                  <w:tcW w:w="1186"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3C2DB0" w:rsidRPr="003C2DB0" w:rsidRDefault="003C2DB0" w:rsidP="003C2DB0">
                  <w:pPr>
                    <w:spacing w:beforeLines="0" w:before="0" w:afterLines="0" w:after="180"/>
                    <w:rPr>
                      <w:rFonts w:eastAsia="微软雅黑"/>
                      <w:color w:val="000000"/>
                      <w:sz w:val="20"/>
                      <w:lang w:val="en-US"/>
                    </w:rPr>
                  </w:pPr>
                  <w:r w:rsidRPr="003C2DB0">
                    <w:rPr>
                      <w:rFonts w:eastAsia="Microsoft YaHei UI"/>
                      <w:color w:val="0070C0"/>
                      <w:sz w:val="20"/>
                      <w:lang w:val="en-US"/>
                    </w:rPr>
                    <w:t>Con-NCSG TC4</w:t>
                  </w:r>
                </w:p>
              </w:tc>
              <w:tc>
                <w:tcPr>
                  <w:tcW w:w="2722" w:type="dxa"/>
                  <w:tcBorders>
                    <w:top w:val="nil"/>
                    <w:left w:val="nil"/>
                    <w:bottom w:val="single" w:sz="8" w:space="0" w:color="A3A3A3"/>
                    <w:right w:val="single" w:sz="8" w:space="0" w:color="A3A3A3"/>
                  </w:tcBorders>
                  <w:tcMar>
                    <w:top w:w="80" w:type="dxa"/>
                    <w:left w:w="80" w:type="dxa"/>
                    <w:bottom w:w="80" w:type="dxa"/>
                    <w:right w:w="80" w:type="dxa"/>
                  </w:tcMar>
                  <w:hideMark/>
                </w:tcPr>
                <w:p w:rsidR="003C2DB0" w:rsidRPr="003C2DB0" w:rsidRDefault="003C2DB0" w:rsidP="003C2DB0">
                  <w:pPr>
                    <w:spacing w:beforeLines="0" w:before="0" w:afterLines="0" w:after="180"/>
                    <w:rPr>
                      <w:rFonts w:eastAsia="微软雅黑"/>
                      <w:color w:val="000000"/>
                      <w:sz w:val="20"/>
                      <w:lang w:val="en-US"/>
                    </w:rPr>
                  </w:pPr>
                  <w:r w:rsidRPr="003C2DB0">
                    <w:rPr>
                      <w:rFonts w:eastAsia="Microsoft YaHei UI"/>
                      <w:color w:val="000000"/>
                      <w:sz w:val="20"/>
                      <w:lang w:val="en-US"/>
                    </w:rPr>
                    <w:t>Event triggered reporting test on </w:t>
                  </w:r>
                  <w:r w:rsidRPr="003C2DB0">
                    <w:rPr>
                      <w:rFonts w:eastAsia="Microsoft YaHei UI"/>
                      <w:color w:val="0000FF"/>
                      <w:sz w:val="20"/>
                      <w:lang w:val="en-US"/>
                    </w:rPr>
                    <w:t xml:space="preserve">deactivated </w:t>
                  </w:r>
                  <w:proofErr w:type="spellStart"/>
                  <w:r w:rsidRPr="003C2DB0">
                    <w:rPr>
                      <w:rFonts w:eastAsia="Microsoft YaHei UI"/>
                      <w:color w:val="0000FF"/>
                      <w:sz w:val="20"/>
                      <w:lang w:val="en-US"/>
                    </w:rPr>
                    <w:t>SCell</w:t>
                  </w:r>
                  <w:proofErr w:type="spellEnd"/>
                  <w:r w:rsidRPr="003C2DB0">
                    <w:rPr>
                      <w:rFonts w:eastAsia="Microsoft YaHei UI"/>
                      <w:color w:val="0070C0"/>
                      <w:sz w:val="20"/>
                      <w:lang w:val="en-US"/>
                    </w:rPr>
                    <w:t> </w:t>
                  </w:r>
                  <w:r w:rsidRPr="003C2DB0">
                    <w:rPr>
                      <w:rFonts w:eastAsia="Microsoft YaHei UI"/>
                      <w:color w:val="000000"/>
                      <w:sz w:val="20"/>
                      <w:lang w:val="en-US"/>
                    </w:rPr>
                    <w:t xml:space="preserve">in </w:t>
                  </w:r>
                  <w:r w:rsidRPr="003C2DB0">
                    <w:rPr>
                      <w:rFonts w:eastAsia="Microsoft YaHei UI"/>
                      <w:b/>
                      <w:bCs/>
                      <w:color w:val="000000"/>
                      <w:sz w:val="20"/>
                      <w:lang w:val="en-US"/>
                    </w:rPr>
                    <w:t>FR1</w:t>
                  </w:r>
                  <w:r w:rsidRPr="003C2DB0">
                    <w:rPr>
                      <w:rFonts w:eastAsia="Microsoft YaHei UI"/>
                      <w:color w:val="000000"/>
                      <w:sz w:val="20"/>
                      <w:lang w:val="en-US"/>
                    </w:rPr>
                    <w:t xml:space="preserve"> with concurrent gap and NCSG</w:t>
                  </w:r>
                </w:p>
              </w:tc>
              <w:tc>
                <w:tcPr>
                  <w:tcW w:w="4177" w:type="dxa"/>
                  <w:tcBorders>
                    <w:top w:val="nil"/>
                    <w:left w:val="nil"/>
                    <w:bottom w:val="single" w:sz="8" w:space="0" w:color="A3A3A3"/>
                    <w:right w:val="single" w:sz="8" w:space="0" w:color="A3A3A3"/>
                  </w:tcBorders>
                  <w:tcMar>
                    <w:top w:w="80" w:type="dxa"/>
                    <w:left w:w="80" w:type="dxa"/>
                    <w:bottom w:w="80" w:type="dxa"/>
                    <w:right w:w="80" w:type="dxa"/>
                  </w:tcMar>
                  <w:hideMark/>
                </w:tcPr>
                <w:p w:rsidR="003C2DB0" w:rsidRPr="003C2DB0" w:rsidRDefault="003C2DB0" w:rsidP="003C2DB0">
                  <w:pPr>
                    <w:spacing w:beforeLines="0" w:before="0" w:afterLines="0" w:after="180"/>
                    <w:ind w:left="360" w:hanging="360"/>
                    <w:rPr>
                      <w:rFonts w:eastAsia="Microsoft YaHei UI"/>
                      <w:color w:val="000000"/>
                      <w:sz w:val="20"/>
                      <w:lang w:val="en-US"/>
                    </w:rPr>
                  </w:pPr>
                  <w:r w:rsidRPr="003C2DB0">
                    <w:rPr>
                      <w:rFonts w:ascii="Symbol" w:eastAsia="Microsoft YaHei UI" w:hAnsi="Symbol"/>
                      <w:color w:val="000000"/>
                      <w:sz w:val="20"/>
                      <w:lang w:val="en-US"/>
                    </w:rPr>
                    <w:t></w:t>
                  </w:r>
                  <w:r w:rsidRPr="003C2DB0">
                    <w:rPr>
                      <w:rFonts w:ascii="Symbol" w:eastAsia="Microsoft YaHei UI"/>
                      <w:color w:val="000000"/>
                      <w:sz w:val="20"/>
                      <w:lang w:val="en-US"/>
                    </w:rPr>
                    <w:t>       </w:t>
                  </w:r>
                  <w:r w:rsidRPr="003C2DB0">
                    <w:rPr>
                      <w:rFonts w:eastAsia="Microsoft YaHei UI"/>
                      <w:color w:val="000000"/>
                      <w:sz w:val="20"/>
                      <w:lang w:val="en-US"/>
                    </w:rPr>
                    <w:t>Intra-frequency cell search/measurement delay for deactivated SCC is met for Cell2 in NCSG, and Inter-frequency cell search/measurement delay for Cell3 in MG</w:t>
                  </w:r>
                </w:p>
                <w:p w:rsidR="003C2DB0" w:rsidRPr="003C2DB0" w:rsidRDefault="003C2DB0" w:rsidP="003C2DB0">
                  <w:pPr>
                    <w:spacing w:beforeLines="0" w:before="0" w:afterLines="0" w:after="180"/>
                    <w:ind w:left="360" w:hanging="360"/>
                    <w:rPr>
                      <w:rFonts w:eastAsia="微软雅黑"/>
                      <w:color w:val="000000"/>
                      <w:sz w:val="20"/>
                      <w:lang w:val="en-US"/>
                    </w:rPr>
                  </w:pPr>
                  <w:r w:rsidRPr="003C2DB0">
                    <w:rPr>
                      <w:rFonts w:ascii="Symbol" w:eastAsia="Microsoft YaHei UI" w:hAnsi="Symbol"/>
                      <w:color w:val="000000"/>
                      <w:sz w:val="20"/>
                      <w:lang w:val="en-US"/>
                    </w:rPr>
                    <w:t></w:t>
                  </w:r>
                  <w:r w:rsidRPr="003C2DB0">
                    <w:rPr>
                      <w:rFonts w:ascii="Symbol" w:eastAsia="Microsoft YaHei UI"/>
                      <w:color w:val="000000"/>
                      <w:sz w:val="20"/>
                      <w:lang w:val="en-US"/>
                    </w:rPr>
                    <w:t>       </w:t>
                  </w:r>
                  <w:r w:rsidRPr="003C2DB0">
                    <w:rPr>
                      <w:rFonts w:eastAsia="Microsoft YaHei UI"/>
                      <w:color w:val="000000"/>
                      <w:sz w:val="20"/>
                      <w:lang w:val="en-US"/>
                    </w:rPr>
                    <w:t>UE receives data in Cell1 meeting scheduling restriction requirements, and</w:t>
                  </w:r>
                  <w:r w:rsidRPr="003C2DB0">
                    <w:rPr>
                      <w:rFonts w:ascii="Symbol" w:eastAsia="Microsoft YaHei UI"/>
                      <w:color w:val="000000"/>
                      <w:sz w:val="20"/>
                      <w:lang w:val="en-US"/>
                    </w:rPr>
                    <w:t> </w:t>
                  </w:r>
                  <w:r w:rsidRPr="003C2DB0">
                    <w:rPr>
                      <w:rFonts w:eastAsia="Microsoft YaHei UI"/>
                      <w:color w:val="000000"/>
                      <w:sz w:val="20"/>
                      <w:lang w:val="en-US"/>
                    </w:rPr>
                    <w:t>UE will not cause any interruption on Cell1 outside VIL windows.</w:t>
                  </w:r>
                </w:p>
              </w:tc>
              <w:tc>
                <w:tcPr>
                  <w:tcW w:w="1640" w:type="dxa"/>
                  <w:tcBorders>
                    <w:top w:val="nil"/>
                    <w:left w:val="nil"/>
                    <w:bottom w:val="single" w:sz="8" w:space="0" w:color="A3A3A3"/>
                    <w:right w:val="single" w:sz="8" w:space="0" w:color="A3A3A3"/>
                  </w:tcBorders>
                </w:tcPr>
                <w:p w:rsidR="003C2DB0" w:rsidRPr="003C2DB0" w:rsidRDefault="003C2DB0" w:rsidP="003C2DB0">
                  <w:pPr>
                    <w:spacing w:beforeLines="0" w:before="0" w:afterLines="0" w:after="180"/>
                    <w:rPr>
                      <w:rFonts w:eastAsia="微软雅黑"/>
                      <w:color w:val="000000"/>
                      <w:sz w:val="20"/>
                      <w:lang w:val="en-US"/>
                    </w:rPr>
                  </w:pPr>
                </w:p>
              </w:tc>
            </w:tr>
          </w:tbl>
          <w:p w:rsidR="003C2DB0" w:rsidRPr="003C2DB0" w:rsidRDefault="003C2DB0" w:rsidP="00667489">
            <w:pPr>
              <w:spacing w:before="120" w:after="120"/>
              <w:rPr>
                <w:rFonts w:eastAsiaTheme="minorEastAsia"/>
                <w:lang w:eastAsia="zh-CN"/>
              </w:rPr>
            </w:pPr>
          </w:p>
        </w:tc>
      </w:tr>
    </w:tbl>
    <w:p w:rsidR="00667489" w:rsidRDefault="00456564" w:rsidP="00667489">
      <w:pPr>
        <w:spacing w:before="120" w:after="120"/>
        <w:rPr>
          <w:rFonts w:eastAsiaTheme="minorEastAsia"/>
          <w:lang w:val="en-US" w:eastAsia="zh-CN"/>
        </w:rPr>
      </w:pPr>
      <w:r>
        <w:rPr>
          <w:rFonts w:eastAsiaTheme="minorEastAsia"/>
          <w:lang w:val="en-US" w:eastAsia="zh-CN"/>
        </w:rPr>
        <w:lastRenderedPageBreak/>
        <w:t xml:space="preserve">We do not support to define TC for NCSG + Type-1 MG, for the same reasons for Proposal 2, </w:t>
      </w:r>
    </w:p>
    <w:p w:rsidR="003C2DB0" w:rsidRPr="00456564" w:rsidRDefault="003C2DB0" w:rsidP="003C2DB0">
      <w:pPr>
        <w:spacing w:before="120" w:after="120"/>
        <w:rPr>
          <w:rFonts w:eastAsiaTheme="minorEastAsia"/>
          <w:b/>
          <w:lang w:val="en-US" w:eastAsia="zh-CN"/>
        </w:rPr>
      </w:pPr>
      <w:r w:rsidRPr="00456564">
        <w:rPr>
          <w:rFonts w:eastAsiaTheme="minorEastAsia" w:hint="eastAsia"/>
          <w:b/>
          <w:lang w:val="en-US" w:eastAsia="zh-CN"/>
        </w:rPr>
        <w:t>P</w:t>
      </w:r>
      <w:r w:rsidRPr="00456564">
        <w:rPr>
          <w:rFonts w:eastAsiaTheme="minorEastAsia"/>
          <w:b/>
          <w:lang w:val="en-US" w:eastAsia="zh-CN"/>
        </w:rPr>
        <w:t>roposal 4: RAN4 not to define TC for NCSG + Type-1 MG.</w:t>
      </w:r>
    </w:p>
    <w:p w:rsidR="003C2DB0" w:rsidRDefault="00456564" w:rsidP="003C2DB0">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to define TCs for NCSG + NCSG and for d</w:t>
      </w:r>
      <w:r w:rsidRPr="00456564">
        <w:rPr>
          <w:rFonts w:eastAsiaTheme="minorEastAsia"/>
          <w:lang w:val="en-US" w:eastAsia="zh-CN"/>
        </w:rPr>
        <w:t xml:space="preserve">eactivated </w:t>
      </w:r>
      <w:proofErr w:type="spellStart"/>
      <w:r w:rsidRPr="00456564">
        <w:rPr>
          <w:rFonts w:eastAsiaTheme="minorEastAsia"/>
          <w:lang w:val="en-US" w:eastAsia="zh-CN"/>
        </w:rPr>
        <w:t>SCell</w:t>
      </w:r>
      <w:proofErr w:type="spellEnd"/>
      <w:r w:rsidRPr="00456564">
        <w:rPr>
          <w:rFonts w:eastAsiaTheme="minorEastAsia"/>
          <w:lang w:val="en-US" w:eastAsia="zh-CN"/>
        </w:rPr>
        <w:t xml:space="preserve"> measurement</w:t>
      </w:r>
      <w:r>
        <w:rPr>
          <w:rFonts w:eastAsiaTheme="minorEastAsia"/>
          <w:lang w:val="en-US" w:eastAsia="zh-CN"/>
        </w:rPr>
        <w:t xml:space="preserve"> in NCSG.</w:t>
      </w:r>
    </w:p>
    <w:p w:rsidR="003C2DB0" w:rsidRPr="00B7069D" w:rsidRDefault="00456564" w:rsidP="003C2DB0">
      <w:pPr>
        <w:spacing w:before="120" w:after="120"/>
        <w:rPr>
          <w:rFonts w:eastAsiaTheme="minorEastAsia"/>
          <w:lang w:val="en-US" w:eastAsia="zh-CN"/>
        </w:rPr>
      </w:pPr>
      <w:r>
        <w:rPr>
          <w:rFonts w:eastAsiaTheme="minorEastAsia"/>
          <w:lang w:val="en-US" w:eastAsia="zh-CN"/>
        </w:rPr>
        <w:t xml:space="preserve">In our view, NCSG + NCSG is a reasonable use case, e.g. when SMTC for two inter-frequency layers are not aligned, and UE supports measuring both layers with NCSG. </w:t>
      </w:r>
      <w:r w:rsidR="00186DD5">
        <w:rPr>
          <w:rFonts w:eastAsiaTheme="minorEastAsia"/>
          <w:lang w:val="en-US" w:eastAsia="zh-CN"/>
        </w:rPr>
        <w:t xml:space="preserve">Also, if RAN4 agrees (in core part) to support implicit association of deactivated </w:t>
      </w:r>
      <w:proofErr w:type="spellStart"/>
      <w:r w:rsidR="00186DD5">
        <w:rPr>
          <w:rFonts w:eastAsiaTheme="minorEastAsia"/>
          <w:lang w:val="en-US" w:eastAsia="zh-CN"/>
        </w:rPr>
        <w:t>SCell</w:t>
      </w:r>
      <w:proofErr w:type="spellEnd"/>
      <w:r w:rsidR="00186DD5">
        <w:rPr>
          <w:rFonts w:eastAsiaTheme="minorEastAsia"/>
          <w:lang w:val="en-US" w:eastAsia="zh-CN"/>
        </w:rPr>
        <w:t xml:space="preserve"> MO to NCSG, dedicated TCs are needed to verify this UE behavior. </w:t>
      </w:r>
    </w:p>
    <w:p w:rsidR="003C2DB0" w:rsidRPr="00186DD5" w:rsidRDefault="003C2DB0" w:rsidP="003C2DB0">
      <w:pPr>
        <w:spacing w:before="120" w:after="120"/>
        <w:rPr>
          <w:rFonts w:eastAsiaTheme="minorEastAsia"/>
          <w:b/>
          <w:lang w:val="en-US" w:eastAsia="zh-CN"/>
        </w:rPr>
      </w:pPr>
      <w:r w:rsidRPr="00186DD5">
        <w:rPr>
          <w:rFonts w:eastAsiaTheme="minorEastAsia" w:hint="eastAsia"/>
          <w:b/>
          <w:lang w:val="en-US" w:eastAsia="zh-CN"/>
        </w:rPr>
        <w:t>P</w:t>
      </w:r>
      <w:r w:rsidRPr="00186DD5">
        <w:rPr>
          <w:rFonts w:eastAsiaTheme="minorEastAsia"/>
          <w:b/>
          <w:lang w:val="en-US" w:eastAsia="zh-CN"/>
        </w:rPr>
        <w:t xml:space="preserve">roposal 5: RAN4 to define </w:t>
      </w:r>
      <w:r w:rsidR="00186DD5">
        <w:rPr>
          <w:rFonts w:eastAsiaTheme="minorEastAsia"/>
          <w:b/>
          <w:lang w:val="en-US" w:eastAsia="zh-CN"/>
        </w:rPr>
        <w:t xml:space="preserve">the following </w:t>
      </w:r>
      <w:r w:rsidRPr="00186DD5">
        <w:rPr>
          <w:rFonts w:eastAsiaTheme="minorEastAsia"/>
          <w:b/>
          <w:lang w:val="en-US" w:eastAsia="zh-CN"/>
        </w:rPr>
        <w:t xml:space="preserve">TCs for </w:t>
      </w:r>
      <w:r w:rsidR="00186DD5">
        <w:rPr>
          <w:rFonts w:eastAsiaTheme="minorEastAsia"/>
          <w:b/>
          <w:lang w:val="en-US" w:eastAsia="zh-CN"/>
        </w:rPr>
        <w:t>Case 2.</w:t>
      </w:r>
    </w:p>
    <w:p w:rsidR="003C2DB0" w:rsidRPr="00186DD5" w:rsidRDefault="003C2DB0" w:rsidP="003C2DB0">
      <w:pPr>
        <w:pStyle w:val="afe"/>
        <w:numPr>
          <w:ilvl w:val="0"/>
          <w:numId w:val="47"/>
        </w:numPr>
        <w:spacing w:before="120" w:after="120"/>
        <w:rPr>
          <w:rFonts w:eastAsiaTheme="minorEastAsia"/>
          <w:b/>
          <w:lang w:eastAsia="zh-CN"/>
        </w:rPr>
      </w:pPr>
      <w:r w:rsidRPr="00186DD5">
        <w:rPr>
          <w:rFonts w:eastAsiaTheme="minorEastAsia"/>
          <w:b/>
          <w:lang w:eastAsia="zh-CN"/>
        </w:rPr>
        <w:t>Con-NCSG TC3: Event triggered reporting test on inter-frequency in FR1 with concurrent gap and NCSG of two NCSGs</w:t>
      </w:r>
    </w:p>
    <w:p w:rsidR="003C2DB0" w:rsidRPr="00186DD5" w:rsidRDefault="003C2DB0" w:rsidP="003C2DB0">
      <w:pPr>
        <w:pStyle w:val="afe"/>
        <w:numPr>
          <w:ilvl w:val="0"/>
          <w:numId w:val="47"/>
        </w:numPr>
        <w:spacing w:before="120" w:after="120"/>
        <w:rPr>
          <w:rFonts w:eastAsiaTheme="minorEastAsia"/>
          <w:b/>
          <w:lang w:eastAsia="zh-CN"/>
        </w:rPr>
      </w:pPr>
      <w:r w:rsidRPr="00186DD5">
        <w:rPr>
          <w:rFonts w:eastAsiaTheme="minorEastAsia"/>
          <w:b/>
          <w:lang w:eastAsia="zh-CN"/>
        </w:rPr>
        <w:t>Con-NCSG TC4: Event triggered reporting test on inter-frequency in FR2 with concurrent gap and NCSG of two NCSGs</w:t>
      </w:r>
    </w:p>
    <w:p w:rsidR="003C2DB0" w:rsidRPr="00186DD5" w:rsidRDefault="00186DD5" w:rsidP="003C2DB0">
      <w:pPr>
        <w:pStyle w:val="afe"/>
        <w:numPr>
          <w:ilvl w:val="0"/>
          <w:numId w:val="47"/>
        </w:numPr>
        <w:spacing w:before="120" w:after="120"/>
        <w:rPr>
          <w:rFonts w:eastAsiaTheme="minorEastAsia"/>
          <w:b/>
          <w:lang w:eastAsia="zh-CN"/>
        </w:rPr>
      </w:pPr>
      <w:r w:rsidRPr="00186DD5">
        <w:rPr>
          <w:rFonts w:eastAsiaTheme="minorEastAsia"/>
          <w:b/>
          <w:lang w:eastAsia="zh-CN"/>
        </w:rPr>
        <w:t>[</w:t>
      </w:r>
      <w:r w:rsidR="003C2DB0" w:rsidRPr="00186DD5">
        <w:rPr>
          <w:rFonts w:eastAsiaTheme="minorEastAsia"/>
          <w:b/>
          <w:lang w:eastAsia="zh-CN"/>
        </w:rPr>
        <w:t xml:space="preserve">Con-NCSG TC5: Event triggered reporting test on deactivated </w:t>
      </w:r>
      <w:proofErr w:type="spellStart"/>
      <w:r w:rsidR="003C2DB0" w:rsidRPr="00186DD5">
        <w:rPr>
          <w:rFonts w:eastAsiaTheme="minorEastAsia"/>
          <w:b/>
          <w:lang w:eastAsia="zh-CN"/>
        </w:rPr>
        <w:t>SCell</w:t>
      </w:r>
      <w:proofErr w:type="spellEnd"/>
      <w:r w:rsidR="003C2DB0" w:rsidRPr="00186DD5">
        <w:rPr>
          <w:rFonts w:eastAsiaTheme="minorEastAsia"/>
          <w:b/>
          <w:lang w:eastAsia="zh-CN"/>
        </w:rPr>
        <w:t xml:space="preserve"> in FR1 with concurrent gap and NCSG</w:t>
      </w:r>
      <w:r w:rsidRPr="00186DD5">
        <w:rPr>
          <w:rFonts w:eastAsiaTheme="minorEastAsia"/>
          <w:b/>
          <w:lang w:eastAsia="zh-CN"/>
        </w:rPr>
        <w:t>]</w:t>
      </w:r>
    </w:p>
    <w:p w:rsidR="00667489" w:rsidRPr="00186DD5" w:rsidRDefault="00186DD5" w:rsidP="00667489">
      <w:pPr>
        <w:pStyle w:val="afe"/>
        <w:numPr>
          <w:ilvl w:val="0"/>
          <w:numId w:val="47"/>
        </w:numPr>
        <w:spacing w:before="120" w:after="120"/>
        <w:rPr>
          <w:rFonts w:eastAsiaTheme="minorEastAsia"/>
          <w:b/>
          <w:lang w:eastAsia="zh-CN"/>
        </w:rPr>
      </w:pPr>
      <w:r w:rsidRPr="00186DD5">
        <w:rPr>
          <w:rFonts w:eastAsiaTheme="minorEastAsia"/>
          <w:b/>
          <w:lang w:eastAsia="zh-CN"/>
        </w:rPr>
        <w:t>[</w:t>
      </w:r>
      <w:r w:rsidR="003C2DB0" w:rsidRPr="00186DD5">
        <w:rPr>
          <w:rFonts w:eastAsiaTheme="minorEastAsia"/>
          <w:b/>
          <w:lang w:eastAsia="zh-CN"/>
        </w:rPr>
        <w:t xml:space="preserve">Con-NCSG TC6: Event triggered reporting test on deactivated </w:t>
      </w:r>
      <w:proofErr w:type="spellStart"/>
      <w:r w:rsidR="003C2DB0" w:rsidRPr="00186DD5">
        <w:rPr>
          <w:rFonts w:eastAsiaTheme="minorEastAsia"/>
          <w:b/>
          <w:lang w:eastAsia="zh-CN"/>
        </w:rPr>
        <w:t>SCell</w:t>
      </w:r>
      <w:proofErr w:type="spellEnd"/>
      <w:r w:rsidR="003C2DB0" w:rsidRPr="00186DD5">
        <w:rPr>
          <w:rFonts w:eastAsiaTheme="minorEastAsia"/>
          <w:b/>
          <w:lang w:eastAsia="zh-CN"/>
        </w:rPr>
        <w:t xml:space="preserve"> in FR2 with concurrent gap and NCSG</w:t>
      </w:r>
      <w:r w:rsidRPr="00186DD5">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remaining issues for </w:t>
      </w:r>
      <w:r w:rsidR="00667489" w:rsidRPr="00667489">
        <w:rPr>
          <w:rFonts w:eastAsia="宋体"/>
          <w:lang w:eastAsia="zh-CN"/>
        </w:rPr>
        <w:t>test cases for Case 1 and Case 2</w:t>
      </w:r>
      <w:r w:rsidR="00667489">
        <w:rPr>
          <w:rFonts w:eastAsia="宋体"/>
          <w:lang w:eastAsia="zh-CN"/>
        </w:rPr>
        <w:t>.</w:t>
      </w:r>
    </w:p>
    <w:p w:rsidR="00186DD5" w:rsidRPr="005E22E5" w:rsidRDefault="00186DD5" w:rsidP="00186DD5">
      <w:pPr>
        <w:spacing w:before="120" w:after="120"/>
        <w:rPr>
          <w:rFonts w:eastAsiaTheme="minorEastAsia"/>
          <w:b/>
          <w:lang w:val="en-US" w:eastAsia="zh-CN"/>
        </w:rPr>
      </w:pPr>
      <w:r w:rsidRPr="005E22E5">
        <w:rPr>
          <w:rFonts w:eastAsiaTheme="minorEastAsia" w:hint="eastAsia"/>
          <w:b/>
          <w:lang w:val="en-US" w:eastAsia="zh-CN"/>
        </w:rPr>
        <w:t>P</w:t>
      </w:r>
      <w:r w:rsidRPr="005E22E5">
        <w:rPr>
          <w:rFonts w:eastAsiaTheme="minorEastAsia"/>
          <w:b/>
          <w:lang w:val="en-US" w:eastAsia="zh-CN"/>
        </w:rPr>
        <w:t>roposal 1: RAN4 not to define TC for non-simultaneous multiple activation for Pre-MG + Pre-MG.</w:t>
      </w:r>
    </w:p>
    <w:p w:rsidR="00186DD5" w:rsidRPr="005E22E5" w:rsidRDefault="00186DD5" w:rsidP="00186DD5">
      <w:pPr>
        <w:spacing w:before="120" w:after="120"/>
        <w:rPr>
          <w:rFonts w:eastAsiaTheme="minorEastAsia"/>
          <w:b/>
          <w:lang w:val="en-US" w:eastAsia="zh-CN"/>
        </w:rPr>
      </w:pPr>
      <w:r w:rsidRPr="005E22E5">
        <w:rPr>
          <w:rFonts w:eastAsiaTheme="minorEastAsia" w:hint="eastAsia"/>
          <w:b/>
          <w:lang w:val="en-US" w:eastAsia="zh-CN"/>
        </w:rPr>
        <w:t>P</w:t>
      </w:r>
      <w:r w:rsidRPr="005E22E5">
        <w:rPr>
          <w:rFonts w:eastAsiaTheme="minorEastAsia"/>
          <w:b/>
          <w:lang w:val="en-US" w:eastAsia="zh-CN"/>
        </w:rPr>
        <w:t>roposal 2: RAN4 not to define TC for Pre-MG + Type-1 MG.</w:t>
      </w:r>
    </w:p>
    <w:p w:rsidR="00186DD5" w:rsidRPr="00BF0F4B" w:rsidRDefault="00186DD5" w:rsidP="00186DD5">
      <w:pPr>
        <w:spacing w:before="120" w:after="120"/>
        <w:rPr>
          <w:rFonts w:eastAsiaTheme="minorEastAsia"/>
          <w:b/>
          <w:lang w:val="en-US" w:eastAsia="zh-CN"/>
        </w:rPr>
      </w:pPr>
      <w:r w:rsidRPr="00BF0F4B">
        <w:rPr>
          <w:rFonts w:eastAsiaTheme="minorEastAsia" w:hint="eastAsia"/>
          <w:b/>
          <w:lang w:val="en-US" w:eastAsia="zh-CN"/>
        </w:rPr>
        <w:t>P</w:t>
      </w:r>
      <w:r w:rsidRPr="00BF0F4B">
        <w:rPr>
          <w:rFonts w:eastAsiaTheme="minorEastAsia"/>
          <w:b/>
          <w:lang w:val="en-US" w:eastAsia="zh-CN"/>
        </w:rPr>
        <w:t>roposal 3: RAN4 not to define separate TC for dynamic collision.</w:t>
      </w:r>
    </w:p>
    <w:p w:rsidR="00186DD5" w:rsidRPr="00456564" w:rsidRDefault="00186DD5" w:rsidP="00186DD5">
      <w:pPr>
        <w:spacing w:before="120" w:after="120"/>
        <w:rPr>
          <w:rFonts w:eastAsiaTheme="minorEastAsia"/>
          <w:b/>
          <w:lang w:val="en-US" w:eastAsia="zh-CN"/>
        </w:rPr>
      </w:pPr>
      <w:r w:rsidRPr="00456564">
        <w:rPr>
          <w:rFonts w:eastAsiaTheme="minorEastAsia" w:hint="eastAsia"/>
          <w:b/>
          <w:lang w:val="en-US" w:eastAsia="zh-CN"/>
        </w:rPr>
        <w:t>P</w:t>
      </w:r>
      <w:r w:rsidRPr="00456564">
        <w:rPr>
          <w:rFonts w:eastAsiaTheme="minorEastAsia"/>
          <w:b/>
          <w:lang w:val="en-US" w:eastAsia="zh-CN"/>
        </w:rPr>
        <w:t>roposal 4: RAN4 not to define TC for NCSG + Type-1 MG.</w:t>
      </w:r>
    </w:p>
    <w:p w:rsidR="00186DD5" w:rsidRPr="00186DD5" w:rsidRDefault="00186DD5" w:rsidP="00186DD5">
      <w:pPr>
        <w:spacing w:before="120" w:after="120"/>
        <w:rPr>
          <w:rFonts w:eastAsiaTheme="minorEastAsia"/>
          <w:b/>
          <w:lang w:val="en-US" w:eastAsia="zh-CN"/>
        </w:rPr>
      </w:pPr>
      <w:r w:rsidRPr="00186DD5">
        <w:rPr>
          <w:rFonts w:eastAsiaTheme="minorEastAsia" w:hint="eastAsia"/>
          <w:b/>
          <w:lang w:val="en-US" w:eastAsia="zh-CN"/>
        </w:rPr>
        <w:lastRenderedPageBreak/>
        <w:t>P</w:t>
      </w:r>
      <w:r w:rsidRPr="00186DD5">
        <w:rPr>
          <w:rFonts w:eastAsiaTheme="minorEastAsia"/>
          <w:b/>
          <w:lang w:val="en-US" w:eastAsia="zh-CN"/>
        </w:rPr>
        <w:t xml:space="preserve">roposal 5: RAN4 to define </w:t>
      </w:r>
      <w:r>
        <w:rPr>
          <w:rFonts w:eastAsiaTheme="minorEastAsia"/>
          <w:b/>
          <w:lang w:val="en-US" w:eastAsia="zh-CN"/>
        </w:rPr>
        <w:t xml:space="preserve">the following </w:t>
      </w:r>
      <w:r w:rsidRPr="00186DD5">
        <w:rPr>
          <w:rFonts w:eastAsiaTheme="minorEastAsia"/>
          <w:b/>
          <w:lang w:val="en-US" w:eastAsia="zh-CN"/>
        </w:rPr>
        <w:t xml:space="preserve">TCs for </w:t>
      </w:r>
      <w:r>
        <w:rPr>
          <w:rFonts w:eastAsiaTheme="minorEastAsia"/>
          <w:b/>
          <w:lang w:val="en-US" w:eastAsia="zh-CN"/>
        </w:rPr>
        <w:t>Case 2.</w:t>
      </w:r>
    </w:p>
    <w:p w:rsidR="00186DD5" w:rsidRPr="00186DD5" w:rsidRDefault="00186DD5" w:rsidP="00186DD5">
      <w:pPr>
        <w:pStyle w:val="afe"/>
        <w:numPr>
          <w:ilvl w:val="0"/>
          <w:numId w:val="47"/>
        </w:numPr>
        <w:spacing w:before="120" w:after="120"/>
        <w:rPr>
          <w:rFonts w:eastAsiaTheme="minorEastAsia"/>
          <w:b/>
          <w:lang w:eastAsia="zh-CN"/>
        </w:rPr>
      </w:pPr>
      <w:r w:rsidRPr="00186DD5">
        <w:rPr>
          <w:rFonts w:eastAsiaTheme="minorEastAsia"/>
          <w:b/>
          <w:lang w:eastAsia="zh-CN"/>
        </w:rPr>
        <w:t>Con-NCSG TC3: Event triggered reporting test on inter-frequency in FR1 with concurrent gap and NCSG of two NCSGs</w:t>
      </w:r>
    </w:p>
    <w:p w:rsidR="00186DD5" w:rsidRPr="00186DD5" w:rsidRDefault="00186DD5" w:rsidP="00186DD5">
      <w:pPr>
        <w:pStyle w:val="afe"/>
        <w:numPr>
          <w:ilvl w:val="0"/>
          <w:numId w:val="47"/>
        </w:numPr>
        <w:spacing w:before="120" w:after="120"/>
        <w:rPr>
          <w:rFonts w:eastAsiaTheme="minorEastAsia"/>
          <w:b/>
          <w:lang w:eastAsia="zh-CN"/>
        </w:rPr>
      </w:pPr>
      <w:r w:rsidRPr="00186DD5">
        <w:rPr>
          <w:rFonts w:eastAsiaTheme="minorEastAsia"/>
          <w:b/>
          <w:lang w:eastAsia="zh-CN"/>
        </w:rPr>
        <w:t>Con-NCSG TC4: Event triggered reporting test on inter-frequency in FR2 with concurrent gap and NCSG of two NCSGs</w:t>
      </w:r>
    </w:p>
    <w:p w:rsidR="00186DD5" w:rsidRPr="00186DD5" w:rsidRDefault="00186DD5" w:rsidP="00186DD5">
      <w:pPr>
        <w:pStyle w:val="afe"/>
        <w:numPr>
          <w:ilvl w:val="0"/>
          <w:numId w:val="47"/>
        </w:numPr>
        <w:spacing w:before="120" w:after="120"/>
        <w:rPr>
          <w:rFonts w:eastAsiaTheme="minorEastAsia"/>
          <w:b/>
          <w:lang w:eastAsia="zh-CN"/>
        </w:rPr>
      </w:pPr>
      <w:r w:rsidRPr="00186DD5">
        <w:rPr>
          <w:rFonts w:eastAsiaTheme="minorEastAsia"/>
          <w:b/>
          <w:lang w:eastAsia="zh-CN"/>
        </w:rPr>
        <w:t xml:space="preserve">[Con-NCSG TC5: Event triggered reporting test on deactivated </w:t>
      </w:r>
      <w:proofErr w:type="spellStart"/>
      <w:r w:rsidRPr="00186DD5">
        <w:rPr>
          <w:rFonts w:eastAsiaTheme="minorEastAsia"/>
          <w:b/>
          <w:lang w:eastAsia="zh-CN"/>
        </w:rPr>
        <w:t>SCell</w:t>
      </w:r>
      <w:proofErr w:type="spellEnd"/>
      <w:r w:rsidRPr="00186DD5">
        <w:rPr>
          <w:rFonts w:eastAsiaTheme="minorEastAsia"/>
          <w:b/>
          <w:lang w:eastAsia="zh-CN"/>
        </w:rPr>
        <w:t xml:space="preserve"> in FR1 with concurrent gap and NCSG]</w:t>
      </w:r>
    </w:p>
    <w:p w:rsidR="00667489" w:rsidRPr="00186DD5" w:rsidRDefault="00186DD5" w:rsidP="00082F30">
      <w:pPr>
        <w:pStyle w:val="afe"/>
        <w:numPr>
          <w:ilvl w:val="0"/>
          <w:numId w:val="47"/>
        </w:numPr>
        <w:spacing w:before="120" w:after="120"/>
        <w:rPr>
          <w:rFonts w:eastAsiaTheme="minorEastAsia"/>
          <w:b/>
          <w:lang w:eastAsia="zh-CN"/>
        </w:rPr>
      </w:pPr>
      <w:r w:rsidRPr="00186DD5">
        <w:rPr>
          <w:rFonts w:eastAsiaTheme="minorEastAsia"/>
          <w:b/>
          <w:lang w:eastAsia="zh-CN"/>
        </w:rPr>
        <w:t xml:space="preserve">[Con-NCSG TC6: Event triggered reporting test on deactivated </w:t>
      </w:r>
      <w:proofErr w:type="spellStart"/>
      <w:r w:rsidRPr="00186DD5">
        <w:rPr>
          <w:rFonts w:eastAsiaTheme="minorEastAsia"/>
          <w:b/>
          <w:lang w:eastAsia="zh-CN"/>
        </w:rPr>
        <w:t>SCell</w:t>
      </w:r>
      <w:proofErr w:type="spellEnd"/>
      <w:r w:rsidRPr="00186DD5">
        <w:rPr>
          <w:rFonts w:eastAsiaTheme="minorEastAsia"/>
          <w:b/>
          <w:lang w:eastAsia="zh-CN"/>
        </w:rPr>
        <w:t xml:space="preserve"> in FR2 with concurrent gap and NCSG]</w:t>
      </w:r>
    </w:p>
    <w:p w:rsidR="00FA0C0C" w:rsidRDefault="00FA0C0C" w:rsidP="00FA0C0C">
      <w:pPr>
        <w:pStyle w:val="1"/>
        <w:jc w:val="both"/>
        <w:rPr>
          <w:lang w:val="en-US"/>
        </w:rPr>
      </w:pPr>
      <w:r w:rsidRPr="00C0754F">
        <w:rPr>
          <w:lang w:val="en-US"/>
        </w:rPr>
        <w:t>Reference</w:t>
      </w:r>
    </w:p>
    <w:p w:rsidR="00667489" w:rsidRPr="00667489" w:rsidRDefault="00667489" w:rsidP="00667489">
      <w:pPr>
        <w:numPr>
          <w:ilvl w:val="0"/>
          <w:numId w:val="5"/>
        </w:numPr>
        <w:spacing w:before="120" w:after="120"/>
        <w:rPr>
          <w:rFonts w:eastAsia="宋体"/>
          <w:lang w:val="en-US" w:eastAsia="zh-CN"/>
        </w:rPr>
      </w:pPr>
      <w:r w:rsidRPr="00667489">
        <w:rPr>
          <w:rFonts w:eastAsia="宋体"/>
          <w:lang w:val="en-US" w:eastAsia="zh-CN"/>
        </w:rPr>
        <w:t>R4-2403542</w:t>
      </w:r>
      <w:r w:rsidR="00AA1FD3" w:rsidRPr="00AA1FD3">
        <w:rPr>
          <w:rFonts w:eastAsia="宋体"/>
          <w:lang w:val="en-US" w:eastAsia="zh-CN"/>
        </w:rPr>
        <w:t xml:space="preserve">, </w:t>
      </w:r>
      <w:r w:rsidRPr="00667489">
        <w:rPr>
          <w:rFonts w:eastAsia="宋体"/>
          <w:lang w:val="en-US" w:eastAsia="zh-CN"/>
        </w:rPr>
        <w:t>WF on NR_MG_enh2_part1</w:t>
      </w:r>
      <w:r w:rsidR="00AA1FD3">
        <w:rPr>
          <w:rFonts w:eastAsia="宋体"/>
          <w:lang w:val="en-US" w:eastAsia="zh-CN"/>
        </w:rPr>
        <w:t xml:space="preserve">, </w:t>
      </w:r>
      <w:r w:rsidRPr="00667489">
        <w:rPr>
          <w:rFonts w:eastAsia="宋体"/>
          <w:lang w:val="en-US" w:eastAsia="zh-CN"/>
        </w:rPr>
        <w:t xml:space="preserve">Moderator (MediaTek </w:t>
      </w:r>
      <w:proofErr w:type="spellStart"/>
      <w:r w:rsidRPr="00667489">
        <w:rPr>
          <w:rFonts w:eastAsia="宋体"/>
          <w:lang w:val="en-US" w:eastAsia="zh-CN"/>
        </w:rPr>
        <w:t>inc.</w:t>
      </w:r>
      <w:proofErr w:type="spellEnd"/>
      <w:r w:rsidRPr="00667489">
        <w:rPr>
          <w:rFonts w:eastAsia="宋体"/>
          <w:lang w:val="en-US" w:eastAsia="zh-CN"/>
        </w:rPr>
        <w:t>)</w:t>
      </w:r>
    </w:p>
    <w:sectPr w:rsidR="00667489" w:rsidRPr="0066748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9AF" w:rsidRDefault="00DB69AF">
      <w:pPr>
        <w:spacing w:before="120" w:after="120"/>
      </w:pPr>
      <w:r>
        <w:separator/>
      </w:r>
    </w:p>
  </w:endnote>
  <w:endnote w:type="continuationSeparator" w:id="0">
    <w:p w:rsidR="00DB69AF" w:rsidRDefault="00DB69A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9AF" w:rsidRDefault="00DB69AF">
      <w:pPr>
        <w:spacing w:before="120" w:after="120"/>
      </w:pPr>
      <w:r>
        <w:separator/>
      </w:r>
    </w:p>
  </w:footnote>
  <w:footnote w:type="continuationSeparator" w:id="0">
    <w:p w:rsidR="00DB69AF" w:rsidRDefault="00DB69A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C6814"/>
    <w:multiLevelType w:val="hybridMultilevel"/>
    <w:tmpl w:val="0AC23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AF07C53"/>
    <w:multiLevelType w:val="hybridMultilevel"/>
    <w:tmpl w:val="08748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6"/>
  </w:num>
  <w:num w:numId="3">
    <w:abstractNumId w:val="45"/>
  </w:num>
  <w:num w:numId="4">
    <w:abstractNumId w:val="9"/>
  </w:num>
  <w:num w:numId="5">
    <w:abstractNumId w:val="15"/>
  </w:num>
  <w:num w:numId="6">
    <w:abstractNumId w:val="32"/>
  </w:num>
  <w:num w:numId="7">
    <w:abstractNumId w:val="20"/>
  </w:num>
  <w:num w:numId="8">
    <w:abstractNumId w:val="46"/>
    <w:lvlOverride w:ilvl="0">
      <w:startOverride w:val="1"/>
    </w:lvlOverride>
  </w:num>
  <w:num w:numId="9">
    <w:abstractNumId w:val="30"/>
  </w:num>
  <w:num w:numId="10">
    <w:abstractNumId w:val="42"/>
  </w:num>
  <w:num w:numId="11">
    <w:abstractNumId w:val="35"/>
  </w:num>
  <w:num w:numId="12">
    <w:abstractNumId w:val="25"/>
  </w:num>
  <w:num w:numId="13">
    <w:abstractNumId w:val="10"/>
  </w:num>
  <w:num w:numId="14">
    <w:abstractNumId w:val="31"/>
  </w:num>
  <w:num w:numId="15">
    <w:abstractNumId w:val="23"/>
  </w:num>
  <w:num w:numId="16">
    <w:abstractNumId w:val="40"/>
  </w:num>
  <w:num w:numId="17">
    <w:abstractNumId w:val="44"/>
  </w:num>
  <w:num w:numId="18">
    <w:abstractNumId w:val="47"/>
  </w:num>
  <w:num w:numId="19">
    <w:abstractNumId w:val="13"/>
  </w:num>
  <w:num w:numId="20">
    <w:abstractNumId w:val="6"/>
  </w:num>
  <w:num w:numId="21">
    <w:abstractNumId w:val="8"/>
  </w:num>
  <w:num w:numId="22">
    <w:abstractNumId w:val="14"/>
  </w:num>
  <w:num w:numId="23">
    <w:abstractNumId w:val="5"/>
  </w:num>
  <w:num w:numId="24">
    <w:abstractNumId w:val="26"/>
  </w:num>
  <w:num w:numId="25">
    <w:abstractNumId w:val="27"/>
  </w:num>
  <w:num w:numId="26">
    <w:abstractNumId w:val="7"/>
  </w:num>
  <w:num w:numId="27">
    <w:abstractNumId w:val="17"/>
  </w:num>
  <w:num w:numId="28">
    <w:abstractNumId w:val="19"/>
  </w:num>
  <w:num w:numId="29">
    <w:abstractNumId w:val="38"/>
  </w:num>
  <w:num w:numId="30">
    <w:abstractNumId w:val="1"/>
  </w:num>
  <w:num w:numId="31">
    <w:abstractNumId w:val="12"/>
  </w:num>
  <w:num w:numId="32">
    <w:abstractNumId w:val="0"/>
  </w:num>
  <w:num w:numId="33">
    <w:abstractNumId w:val="16"/>
  </w:num>
  <w:num w:numId="34">
    <w:abstractNumId w:val="18"/>
  </w:num>
  <w:num w:numId="35">
    <w:abstractNumId w:val="29"/>
  </w:num>
  <w:num w:numId="36">
    <w:abstractNumId w:val="33"/>
  </w:num>
  <w:num w:numId="37">
    <w:abstractNumId w:val="21"/>
  </w:num>
  <w:num w:numId="38">
    <w:abstractNumId w:val="28"/>
  </w:num>
  <w:num w:numId="39">
    <w:abstractNumId w:val="3"/>
  </w:num>
  <w:num w:numId="40">
    <w:abstractNumId w:val="34"/>
  </w:num>
  <w:num w:numId="41">
    <w:abstractNumId w:val="43"/>
  </w:num>
  <w:num w:numId="42">
    <w:abstractNumId w:val="39"/>
  </w:num>
  <w:num w:numId="43">
    <w:abstractNumId w:val="41"/>
  </w:num>
  <w:num w:numId="44">
    <w:abstractNumId w:val="37"/>
  </w:num>
  <w:num w:numId="45">
    <w:abstractNumId w:val="22"/>
  </w:num>
  <w:num w:numId="46">
    <w:abstractNumId w:val="11"/>
  </w:num>
  <w:num w:numId="47">
    <w:abstractNumId w:val="2"/>
  </w:num>
  <w:num w:numId="48">
    <w:abstractNumId w:val="24"/>
  </w:num>
  <w:num w:numId="4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3D0"/>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37D"/>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518"/>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9AF"/>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D8665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CC11D2-5072-435E-A7DC-82DB6A00C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135</TotalTime>
  <Pages>4</Pages>
  <Words>1065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15</cp:revision>
  <cp:lastPrinted>2009-04-22T06:01:00Z</cp:lastPrinted>
  <dcterms:created xsi:type="dcterms:W3CDTF">2024-02-26T11:22:00Z</dcterms:created>
  <dcterms:modified xsi:type="dcterms:W3CDTF">2024-04-08T14:38:00Z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(3)XJpgERsXmhwduuUHCmxADyZJ3PY2FlMXttj7zXx+XF+ceEB8Zq8EtpYNAAIF3eH4sVgdyrnn
u2cvK+2l89qtBpvyrTrlrNErPSTn9cBlDFK2VV+a33sQ/gAIPXtAA18UIf4nXH91VhSAQ6wX
MBjxmp7aH2yVq6igLgSi/v5cLxiQkWuYhsUR2RiYjuepdLrsBbxuUaDGZNaQyVfeJ8YR8XHF
ChTMj/H5vFrr5ASqVg</vt:lpwstr>
  </property>
  <property fmtid="{D5CDD505-2E9C-101B-9397-08002B2CF9AE}" pid="17" name="_2015_ms_pID_725343_00">
    <vt:lpwstr>_2015_ms_pID_725343</vt:lpwstr>
  </property>
  <property fmtid="{D5CDD505-2E9C-101B-9397-08002B2CF9AE}" pid="18" name="_2015_ms_pID_7253431">
    <vt:lpwstr>WKs548syhUHY8F3xLXUJ6UEtzlBhgwak9BaAROKund9z3KL2YhYOa9
yX/0Jd8f6nUaMGPLWIjoWbMRf3N7OE15kCLc0Jsod0g+52tXn+vltuH+QpvNJUI8QH1iA85S
No8Tt8SxohiTcSAWEcIQU/j7cH5kpcTx4Y39cu5lV903jcYEpWvMzCvm7KO03oIyLDaLq6Xa
3LYJx0Fvl0nFh+k30+IcT0Sk78Ys6vlrn+1r</vt:lpwstr>
  </property>
  <property fmtid="{D5CDD505-2E9C-101B-9397-08002B2CF9AE}" pid="19" name="_2015_ms_pID_7253431_00">
    <vt:lpwstr>_2015_ms_pID_7253431</vt:lpwstr>
  </property>
  <property fmtid="{D5CDD505-2E9C-101B-9397-08002B2CF9AE}" pid="20" name="_2015_ms_pID_7253432">
    <vt:lpwstr>PYP/3QR5WPe3Ci1yeMUgtocutPfLkTAtciKm
+Kt4F7ObS26hsrsEfqIrPEiq6Udw5XRzVKZOsK57wDwPdB4yhlA=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