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3GPP TSG-RAN WG4 Meeting #110bis</w:t>
      </w:r>
      <w:r>
        <w:rPr>
          <w:rFonts w:hint="default"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default" w:ascii="Arial" w:hAnsi="Arial" w:cs="Arial"/>
          <w:b/>
          <w:bCs/>
          <w:sz w:val="24"/>
          <w:szCs w:val="28"/>
          <w:lang w:val="en-US" w:eastAsia="zh-CN"/>
        </w:rPr>
        <w:t>R4-2405307</w:t>
      </w:r>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Changsha, China, 15th – 19th April,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9.14.3</w:t>
      </w:r>
      <w:bookmarkStart w:id="1" w:name="_GoBack"/>
      <w:bookmarkEnd w:id="1"/>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LP-WUS BS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RAN plenary #103 meeting, revised WID of LP-WUS is approved with following RF part objectives:</w:t>
      </w:r>
    </w:p>
    <w:p>
      <w:pPr>
        <w:numPr>
          <w:ilvl w:val="0"/>
          <w:numId w:val="1"/>
        </w:numPr>
        <w:spacing w:before="120" w:beforeLines="50" w:after="0"/>
        <w:ind w:hanging="357"/>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Specify the necessary RAN4 core requirement(s) to support the feature (RAN4).</w:t>
      </w:r>
    </w:p>
    <w:p>
      <w:pPr>
        <w:numPr>
          <w:ilvl w:val="1"/>
          <w:numId w:val="1"/>
        </w:numPr>
        <w:spacing w:before="120" w:beforeLines="50" w:after="0"/>
        <w:rPr>
          <w:rFonts w:hint="default" w:ascii="Times New Roman" w:hAnsi="Times New Roman" w:cs="Times New Roman"/>
          <w:bCs/>
          <w:sz w:val="20"/>
          <w:szCs w:val="20"/>
          <w:lang w:val="en-US"/>
        </w:rPr>
      </w:pPr>
      <w:bookmarkStart w:id="0" w:name="OLE_LINK1"/>
      <w:r>
        <w:rPr>
          <w:rFonts w:hint="default" w:ascii="Times New Roman" w:hAnsi="Times New Roman" w:cs="Times New Roman"/>
          <w:bCs/>
          <w:sz w:val="20"/>
          <w:szCs w:val="20"/>
          <w:lang w:val="en-US"/>
        </w:rPr>
        <w:t>Specify UE low-power wake-up receiver requirements</w:t>
      </w:r>
      <w:r>
        <w:rPr>
          <w:rFonts w:hint="default" w:ascii="Times New Roman" w:hAnsi="Times New Roman" w:cs="Times New Roman"/>
          <w:bCs/>
          <w:sz w:val="20"/>
          <w:szCs w:val="20"/>
          <w:lang w:val="en-US" w:eastAsia="zh-CN"/>
        </w:rPr>
        <w:t xml:space="preserve">, at least </w:t>
      </w:r>
      <w:r>
        <w:rPr>
          <w:rFonts w:hint="default" w:ascii="Times New Roman" w:hAnsi="Times New Roman" w:cs="Times New Roman"/>
          <w:bCs/>
          <w:sz w:val="20"/>
          <w:szCs w:val="20"/>
          <w:lang w:val="en-US"/>
        </w:rPr>
        <w:t xml:space="preserve">REFSENS, ACS and ASCS requirements with consideration of possible new methodology to assess the </w:t>
      </w:r>
      <w:bookmarkEnd w:id="0"/>
      <w:r>
        <w:rPr>
          <w:rFonts w:hint="default" w:ascii="Times New Roman" w:hAnsi="Times New Roman" w:cs="Times New Roman"/>
          <w:bCs/>
          <w:sz w:val="20"/>
          <w:szCs w:val="20"/>
          <w:lang w:val="en-US"/>
        </w:rPr>
        <w:t>low-power wake-up receiver performance</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Define guard RBs for ACS and ASCS cases</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testability of above requirements</w:t>
      </w:r>
    </w:p>
    <w:p>
      <w:pPr>
        <w:numPr>
          <w:ilvl w:val="2"/>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Consider impacts of different architecture and impairments, </w:t>
      </w:r>
      <w:r>
        <w:rPr>
          <w:rFonts w:hint="default" w:ascii="Times New Roman" w:hAnsi="Times New Roman" w:cs="Times New Roman"/>
          <w:sz w:val="20"/>
          <w:szCs w:val="20"/>
        </w:rPr>
        <w:t>and set requirements that enable all types of reasonable implementation</w:t>
      </w:r>
      <w:r>
        <w:rPr>
          <w:rFonts w:hint="default" w:ascii="Times New Roman" w:hAnsi="Times New Roman" w:cs="Times New Roman"/>
          <w:bCs/>
          <w:sz w:val="20"/>
          <w:szCs w:val="20"/>
          <w:lang w:val="en-US"/>
        </w:rPr>
        <w:t xml:space="preserve"> </w:t>
      </w:r>
    </w:p>
    <w:p>
      <w:pPr>
        <w:numPr>
          <w:ilvl w:val="1"/>
          <w:numId w:val="1"/>
        </w:numPr>
        <w:spacing w:before="120" w:beforeLines="50" w:after="0"/>
        <w:rPr>
          <w:rFonts w:hint="default" w:ascii="Times New Roman" w:hAnsi="Times New Roman" w:cs="Times New Roman"/>
          <w:bCs/>
          <w:sz w:val="20"/>
          <w:szCs w:val="20"/>
          <w:lang w:val="en-US"/>
        </w:rPr>
      </w:pPr>
      <w:r>
        <w:rPr>
          <w:rFonts w:hint="default" w:ascii="Times New Roman" w:hAnsi="Times New Roman" w:cs="Times New Roman"/>
          <w:bCs/>
          <w:sz w:val="20"/>
          <w:szCs w:val="20"/>
        </w:rPr>
        <w:t>Study and</w:t>
      </w:r>
      <w:r>
        <w:rPr>
          <w:rFonts w:hint="default" w:ascii="Times New Roman" w:hAnsi="Times New Roman" w:cs="Times New Roman"/>
          <w:sz w:val="20"/>
          <w:szCs w:val="20"/>
        </w:rPr>
        <w:t xml:space="preserve"> if necessary</w:t>
      </w:r>
      <w:r>
        <w:rPr>
          <w:rFonts w:hint="default" w:ascii="Times New Roman" w:hAnsi="Times New Roman" w:cs="Times New Roman"/>
          <w:bCs/>
          <w:sz w:val="20"/>
          <w:szCs w:val="20"/>
        </w:rPr>
        <w:t xml:space="preserve"> specify</w:t>
      </w:r>
      <w:r>
        <w:rPr>
          <w:rFonts w:hint="default" w:ascii="Times New Roman" w:hAnsi="Times New Roman" w:cs="Times New Roman"/>
          <w:sz w:val="20"/>
          <w:szCs w:val="20"/>
        </w:rPr>
        <w:t xml:space="preserve"> or support by declaration</w:t>
      </w:r>
      <w:r>
        <w:rPr>
          <w:rFonts w:hint="default" w:ascii="Times New Roman" w:hAnsi="Times New Roman" w:cs="Times New Roman"/>
          <w:bCs/>
          <w:sz w:val="20"/>
          <w:szCs w:val="20"/>
        </w:rPr>
        <w:t xml:space="preserve">, </w:t>
      </w:r>
      <w:r>
        <w:rPr>
          <w:rFonts w:hint="default" w:ascii="Times New Roman" w:hAnsi="Times New Roman" w:cs="Times New Roman"/>
          <w:sz w:val="20"/>
          <w:szCs w:val="20"/>
        </w:rPr>
        <w:t>the corresponding</w:t>
      </w:r>
      <w:r>
        <w:rPr>
          <w:rFonts w:hint="default" w:ascii="Times New Roman" w:hAnsi="Times New Roman" w:cs="Times New Roman"/>
          <w:bCs/>
          <w:sz w:val="20"/>
          <w:szCs w:val="20"/>
        </w:rPr>
        <w:t xml:space="preserve"> BS requirements, e.g., dynamic range for LP-WUS/LP-SS</w:t>
      </w:r>
      <w:r>
        <w:rPr>
          <w:rFonts w:hint="default" w:ascii="Times New Roman" w:hAnsi="Times New Roman" w:cs="Times New Roman"/>
          <w:sz w:val="20"/>
          <w:szCs w:val="20"/>
        </w:rPr>
        <w:t xml:space="preserve">. </w:t>
      </w:r>
    </w:p>
    <w:p>
      <w:pPr>
        <w:numPr>
          <w:ilvl w:val="2"/>
          <w:numId w:val="1"/>
        </w:numPr>
        <w:spacing w:before="120" w:beforeLines="50" w:after="0"/>
        <w:rPr>
          <w:rFonts w:hint="default" w:ascii="Times New Roman" w:hAnsi="Times New Roman"/>
          <w:sz w:val="20"/>
          <w:lang w:val="en-US" w:eastAsia="zh-CN"/>
        </w:rPr>
      </w:pPr>
      <w:r>
        <w:rPr>
          <w:rFonts w:hint="default" w:ascii="Times New Roman" w:hAnsi="Times New Roman" w:cs="Times New Roman"/>
          <w:sz w:val="20"/>
          <w:szCs w:val="20"/>
        </w:rPr>
        <w:t>C</w:t>
      </w:r>
      <w:r>
        <w:rPr>
          <w:rFonts w:hint="default" w:ascii="Times New Roman" w:hAnsi="Times New Roman" w:cs="Times New Roman"/>
          <w:bCs/>
          <w:sz w:val="20"/>
          <w:szCs w:val="20"/>
        </w:rPr>
        <w:t>urrent NR BS requirements is baseline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lang w:val="en-US" w:eastAsia="zh-CN"/>
        </w:rPr>
      </w:pPr>
      <w:r>
        <w:rPr>
          <w:rFonts w:hint="eastAsia" w:ascii="Times New Roman" w:hAnsi="Times New Roman" w:cs="Times New Roman"/>
          <w:bCs/>
          <w:sz w:val="20"/>
          <w:szCs w:val="20"/>
          <w:lang w:val="en-US" w:eastAsia="zh-CN"/>
        </w:rPr>
        <w:t>In this contribution, we focus on discuss of BS requirements when supporting LP-WUS.</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lang w:val="en-US" w:eastAsia="zh-CN"/>
        </w:rPr>
        <w:t xml:space="preserve"> </w:t>
      </w:r>
      <w:r>
        <w:rPr>
          <w:rFonts w:hint="eastAsia" w:ascii="Arial" w:hAnsi="Arial" w:eastAsiaTheme="minorEastAsia" w:cstheme="minorBidi"/>
          <w:sz w:val="32"/>
          <w:szCs w:val="36"/>
        </w:rPr>
        <w:t>Discussion</w:t>
      </w:r>
    </w:p>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During SI phase, following agreements are approved for further RF requirements definition in WI phase.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Besides the above conclusions, RAN4 also identified some issues which could be further discussed in WI phase, e.g., </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Specifying at least the REFSENS, ACS and ASCS requirements with consideration of possible new methodology</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Impacts of different architecture on RF requirements, if any</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Specific guard RBs for ACS and ASCS cases</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Study and specify BS power boosting value/range for LP-WUS </w:t>
            </w:r>
          </w:p>
          <w:p>
            <w:pPr>
              <w:pStyle w:val="31"/>
              <w:spacing w:before="120" w:line="280" w:lineRule="atLeast"/>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Specific IMT operating band(s) for LP-WUS if necessary</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Possible testability issues</w:t>
            </w:r>
          </w:p>
          <w:p>
            <w:pPr>
              <w:spacing w:before="12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sz w:val="20"/>
                <w:szCs w:val="20"/>
                <w:lang w:eastAsia="zh-CN"/>
              </w:rPr>
              <w:t>It is noted that all above issues to be considered in WI stage are all based on the final agreed waveforms decided by RAN1/RAN-P.</w:t>
            </w:r>
          </w:p>
        </w:tc>
      </w:tr>
    </w:tbl>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BS part, the main RF requirements may include following:</w:t>
      </w:r>
    </w:p>
    <w:p>
      <w:pPr>
        <w:widowControl w:val="0"/>
        <w:numPr>
          <w:ilvl w:val="0"/>
          <w:numId w:val="3"/>
        </w:numPr>
        <w:spacing w:after="180"/>
        <w:ind w:left="720" w:leftChars="0" w:hanging="360" w:firstLineChars="0"/>
        <w:jc w:val="both"/>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Operating bands issue</w:t>
      </w:r>
    </w:p>
    <w:p>
      <w:pPr>
        <w:widowControl w:val="0"/>
        <w:numPr>
          <w:ilvl w:val="0"/>
          <w:numId w:val="3"/>
        </w:numPr>
        <w:spacing w:after="180"/>
        <w:ind w:left="720" w:leftChars="0" w:hanging="360" w:firstLineChars="0"/>
        <w:jc w:val="both"/>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Multi-band support case</w:t>
      </w:r>
    </w:p>
    <w:p>
      <w:pPr>
        <w:widowControl w:val="0"/>
        <w:numPr>
          <w:ilvl w:val="0"/>
          <w:numId w:val="3"/>
        </w:numPr>
        <w:spacing w:after="180"/>
        <w:ind w:left="720" w:leftChars="0" w:hanging="360" w:firstLineChars="0"/>
        <w:jc w:val="both"/>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In-band power boosting</w:t>
      </w:r>
    </w:p>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show our initial thought for each RF requirement:</w:t>
      </w:r>
    </w:p>
    <w:p>
      <w:pPr>
        <w:widowControl w:val="0"/>
        <w:numPr>
          <w:ilvl w:val="0"/>
          <w:numId w:val="4"/>
        </w:numPr>
        <w:spacing w:after="180"/>
        <w:ind w:left="420" w:leftChars="0" w:hanging="420" w:firstLineChars="0"/>
        <w:jc w:val="both"/>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Operating bands issue for both LP-WUS UE and BS</w:t>
      </w:r>
    </w:p>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output from study item about the operation band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RAN4 has discussed the band operation for LP-WUS according to the scenarios listed below with the understanding that the associated RF aspects could be analysed in the work item phase, depending on the scope of the related normative work.</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The band for the low-power radio (LR) and main radio (MR) can be the same, e.g., WUS is located within the NR band used for LP-WUR. In this scenario the WUS and NR DL could be multiplexed according to TDM/FDM modes.</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 xml:space="preserve">The band for LR and MR can be different, e.g., WUS is located within an NR band for LP-WUR, and another NR band is used for the MR. </w:t>
            </w:r>
          </w:p>
          <w:p>
            <w:pPr>
              <w:spacing w:before="120" w:line="280" w:lineRule="atLeast"/>
              <w:jc w:val="both"/>
              <w:rPr>
                <w:rFonts w:hint="default" w:ascii="Times New Roman" w:hAnsi="Times New Roman" w:cs="Times New Roman"/>
                <w:sz w:val="20"/>
                <w:szCs w:val="20"/>
              </w:rPr>
            </w:pPr>
            <w:r>
              <w:rPr>
                <w:rFonts w:hint="default" w:ascii="Times New Roman" w:hAnsi="Times New Roman" w:cs="Times New Roman"/>
                <w:sz w:val="20"/>
                <w:szCs w:val="20"/>
              </w:rPr>
              <w:t>Additionally, RAN4 has concluded the following aspects from RF perspective, which are provided for information:</w:t>
            </w:r>
          </w:p>
          <w:p>
            <w:pPr>
              <w:pStyle w:val="31"/>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WUS located in an SDO band in TS 36.101 is proposed by some companies, and RAN4 recognizes that there exist dependencies on other WGs that have not been considered in this study.</w:t>
            </w:r>
          </w:p>
          <w:p>
            <w:pPr>
              <w:pStyle w:val="61"/>
              <w:spacing w:before="12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rPr>
              <w:t>Some companies have expressed a concern that SDO bands may not be IMT bands.</w:t>
            </w:r>
          </w:p>
        </w:tc>
      </w:tr>
    </w:tbl>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Same comments as study phase, the SDO bands are not the IMT bands and we should focus on IMT bands in work item. Besides, there is no analysis in study phase about SDO bands. So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only focus on IMT licensed bands that has been defined in current 3GPP spec.</w:t>
      </w:r>
    </w:p>
    <w:p>
      <w:pPr>
        <w:widowControl w:val="0"/>
        <w:numPr>
          <w:ilvl w:val="0"/>
          <w:numId w:val="0"/>
        </w:numPr>
        <w:spacing w:after="18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LP-WUS operation bands definition,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focus on IMT licensed bands that has been defined in current 3GPP spec.</w:t>
      </w:r>
    </w:p>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Power saving with lower cost is the main advantages of LP-WUS. Mandatory support of multiple NR operating bands is challenging for LP-WUS UE, making it losing its edge in low costs. If RAN4 could find one or several globally popular spectrum for LP-WUS, then we can only focus on these several operations bands. But among the world, different regions/countries have different IMT spectrum and even when operators have same spectrum they may have different timeline of 5G spectrum deployment. To ensure the integrity of LP-WUS spec and meet all companies</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 deployment demand,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not limit the number of operation bands in 3GPP both at UE side and BS side. But to reduce LP-WUR costing and support global roaming, LP-WUS UE could only mandatory support 1 or several operation bands.</w:t>
      </w:r>
    </w:p>
    <w:p>
      <w:pPr>
        <w:widowControl w:val="0"/>
        <w:numPr>
          <w:ilvl w:val="0"/>
          <w:numId w:val="0"/>
        </w:numPr>
        <w:spacing w:after="180"/>
        <w:jc w:val="both"/>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example, 1800MHz seems like the global spectrum for 2G/3G era and some operators are trying to re-farm it to 5G currently or in the future based on 5G application progress. For the operators that are still using 1800MHz for 3G/4G,  they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directly using 1800MHz for LP-WUS currently because they have to wait until all legacy 3G/4G customers have been transformed to other spectrum. Usually it will take several years to finish such transform.  </w:t>
      </w:r>
    </w:p>
    <w:p>
      <w:pPr>
        <w:widowControl w:val="0"/>
        <w:numPr>
          <w:ilvl w:val="0"/>
          <w:numId w:val="0"/>
        </w:numPr>
        <w:spacing w:after="18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Following lists the multiple bands output from study item phase. It seems for LP-WUR using RF envelop detection architectures, it is more appropriate to support only single band operation. For different LP-WUR RF architecture, minimum supported operation bands number is different.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bCs/>
                <w:sz w:val="20"/>
                <w:szCs w:val="20"/>
                <w:vertAlign w:val="baseline"/>
                <w:lang w:val="en-US" w:eastAsia="zh-CN"/>
              </w:rPr>
            </w:pPr>
            <w:r>
              <w:rPr>
                <w:rFonts w:hint="default" w:ascii="Times New Roman" w:hAnsi="Times New Roman" w:cs="Times New Roman"/>
                <w:sz w:val="20"/>
                <w:szCs w:val="20"/>
                <w:lang w:eastAsia="zh-CN"/>
              </w:rPr>
              <w:t>RF envelop detection architecture is more appropriate for single-band operation. IF envelop detection and BB envelop detection are more appropriate for multi-bands operation. Multi-band here still means that only one band at a time is being received. Multi-band capability for other architectures is FFS.</w:t>
            </w:r>
          </w:p>
        </w:tc>
      </w:tr>
    </w:tbl>
    <w:p>
      <w:pPr>
        <w:widowControl w:val="0"/>
        <w:numPr>
          <w:ilvl w:val="0"/>
          <w:numId w:val="0"/>
        </w:numPr>
        <w:spacing w:after="180"/>
        <w:jc w:val="both"/>
        <w:rPr>
          <w:rFonts w:hint="eastAsia" w:ascii="Times New Roman" w:hAnsi="Times New Roman"/>
          <w:b/>
          <w:bCs/>
          <w:sz w:val="20"/>
          <w:szCs w:val="20"/>
          <w:lang w:val="en-US" w:eastAsia="zh-CN"/>
        </w:rPr>
      </w:pPr>
    </w:p>
    <w:p>
      <w:pPr>
        <w:widowControl w:val="0"/>
        <w:numPr>
          <w:ilvl w:val="0"/>
          <w:numId w:val="0"/>
        </w:numPr>
        <w:spacing w:after="18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not limit the number of operation bands defined in 3GPP spec for both gNB and UE spec. But to reduce LP-WUS UE costing and support global roaming, LP-WUS UE could only mandatory support 1 or several operation bands which depends on its RF architecture.</w:t>
      </w:r>
    </w:p>
    <w:p>
      <w:pPr>
        <w:widowControl w:val="0"/>
        <w:numPr>
          <w:ilvl w:val="0"/>
          <w:numId w:val="4"/>
        </w:numPr>
        <w:spacing w:after="180"/>
        <w:ind w:left="420" w:leftChars="0" w:hanging="420" w:firstLineChars="0"/>
        <w:jc w:val="both"/>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Multiple bands</w:t>
      </w:r>
      <w:r>
        <w:rPr>
          <w:rFonts w:hint="default" w:ascii="Times New Roman" w:hAnsi="Times New Roman"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requirements</w:t>
      </w:r>
      <w:r>
        <w:rPr>
          <w:rFonts w:hint="default" w:ascii="Times New Roman" w:hAnsi="Times New Roman" w:cs="Times New Roman"/>
          <w:sz w:val="20"/>
          <w:szCs w:val="20"/>
          <w:lang w:val="en-US" w:eastAsia="zh-CN"/>
        </w:rPr>
        <w:t xml:space="preserve"> for gNB</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As analyzed above, to reduce LP-WUR cost, usually one individual LP-WUR would only support one or several operation bands. The same logic applies for gNB side, supporting only one operation band for LP-WUR seems also OK for most case. But one issue is that when the roaming UE enters to current network but it doesn</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t support current  LP-WUS operation band. So it seems supporting multi-band would be more reasonable. Besides, from gNB implementation point of view, the RF part of legacy gNB could be reused to support LP-WUS and the cost to support multiple bands LP-WUS would not be increased at gNB side. So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better to also define multi-band requirements at gNB side.</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also define multi-band requirements at gNB side for LP-WUS.</w:t>
      </w:r>
    </w:p>
    <w:p>
      <w:pPr>
        <w:widowControl w:val="0"/>
        <w:numPr>
          <w:ilvl w:val="0"/>
          <w:numId w:val="4"/>
        </w:numPr>
        <w:spacing w:after="180"/>
        <w:ind w:left="420" w:leftChars="0" w:hanging="420" w:firstLineChars="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In-band power boosting</w:t>
      </w:r>
    </w:p>
    <w:p>
      <w:pPr>
        <w:widowControl w:val="0"/>
        <w:numPr>
          <w:ilvl w:val="0"/>
          <w:numId w:val="0"/>
        </w:numPr>
        <w:spacing w:after="180"/>
        <w:ind w:leftChars="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Following list the in-band power boosting output from study phase.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numPr>
                <w:ilvl w:val="0"/>
                <w:numId w:val="0"/>
              </w:numPr>
              <w:spacing w:before="120" w:after="180" w:line="280" w:lineRule="atLeast"/>
              <w:jc w:val="both"/>
              <w:rPr>
                <w:rFonts w:hint="default" w:ascii="Times New Roman" w:hAnsi="Times New Roman" w:cs="Times New Roman"/>
                <w:sz w:val="20"/>
                <w:szCs w:val="20"/>
              </w:rPr>
            </w:pPr>
            <w:r>
              <w:rPr>
                <w:rFonts w:hint="default" w:ascii="Times New Roman" w:hAnsi="Times New Roman" w:cs="Times New Roman"/>
                <w:sz w:val="20"/>
                <w:szCs w:val="20"/>
              </w:rPr>
              <w:t>It is beneficial to enable power boosting for LP-WUS to improve the WUS signal coverage. The supporting of LP-WUS power boosting and boosting level can be declared by manufacturer.</w:t>
            </w:r>
          </w:p>
          <w:p>
            <w:pPr>
              <w:spacing w:before="120" w:line="280" w:lineRule="atLeast"/>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power boosting of 3 dB or 6 dB of a WUS signal relative to the average power of a configured NR carrier can improve the WUS signal coverage. It is beneficial to enable the 3dB or 6 dB power boosting at the existing network. Therefore, RAN4 assumes to reuse the legacy RF specification as a starting point. Some company observed that 3 dB or 6 dB power boosting for a 24 RB WUS signal may not be feasible for some of deployed gNB </w:t>
            </w:r>
            <w:r>
              <w:rPr>
                <w:rStyle w:val="62"/>
                <w:rFonts w:hint="default" w:ascii="Times New Roman" w:hAnsi="Times New Roman" w:cs="Times New Roman"/>
                <w:sz w:val="20"/>
                <w:szCs w:val="20"/>
              </w:rPr>
              <w:t>when average power is kept the same before and after power boosting</w:t>
            </w:r>
            <w:r>
              <w:rPr>
                <w:rFonts w:hint="default" w:ascii="Times New Roman" w:hAnsi="Times New Roman" w:cs="Times New Roman"/>
                <w:sz w:val="20"/>
                <w:szCs w:val="20"/>
                <w:lang w:eastAsia="zh-CN"/>
              </w:rPr>
              <w:t xml:space="preserve">. It is feasible to configure different PSD carriers in a multiple carrier configuration where WUS signal can be placed in a higher PSD carrier among all configured carriers. The amount of boosting is up to manufacturer declaration following the legacy manufacturer declaration. </w:t>
            </w:r>
          </w:p>
          <w:p>
            <w:p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BS manufacturer could declare if power boosting for WUS signal is supported and the boosting level in the range of [0] to [6] dB is considered. Final power boosting level and the condition of power boosting will be decided based on further analysis in WI phase.</w:t>
            </w:r>
          </w:p>
        </w:tc>
      </w:tr>
    </w:tbl>
    <w:p>
      <w:pPr>
        <w:widowControl w:val="0"/>
        <w:numPr>
          <w:ilvl w:val="0"/>
          <w:numId w:val="0"/>
        </w:numPr>
        <w:spacing w:after="180"/>
        <w:ind w:leftChars="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Following list the key factor that may impact gNB in-band power boosting performance.</w:t>
      </w:r>
    </w:p>
    <w:p>
      <w:pPr>
        <w:widowControl w:val="0"/>
        <w:numPr>
          <w:ilvl w:val="0"/>
          <w:numId w:val="5"/>
        </w:numPr>
        <w:spacing w:after="180"/>
        <w:ind w:left="720" w:leftChars="0" w:hanging="360" w:firstLineChars="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PAPR performance for different LP-WUS signal waveform</w:t>
      </w:r>
    </w:p>
    <w:p>
      <w:pPr>
        <w:widowControl w:val="0"/>
        <w:numPr>
          <w:ilvl w:val="0"/>
          <w:numId w:val="5"/>
        </w:numPr>
        <w:spacing w:after="180"/>
        <w:ind w:left="720" w:leftChars="0" w:hanging="360" w:firstLineChars="0"/>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Reduced Power of NR signal due to LP-WUS power boosting</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The main reason limiting legacy gNB power boosting performance is Tx dynamic range limitation. If total power exceed the upper limit of the power range, power leak clipping occurs which lead to worse in-band signal quality and large unwanted power. Usually there is certain power margin from implementation point of view which give the chance for power boosting. For LP-WUS, its waveform and modulation mode is much different from legacy NR signal which will impact final PAPR. For example, when we assume PAPR for LP-WUS OOK-4 signal is 9-10dB which is less than normal 12dB PAPR assumption for legacy NR signal. This 2-3dB PAPR margin may contribute to higher power boosting compared with current RF requirements. Besides, the PAPR performance is also related to BW assumption, the less BW, the worse PAPR.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Following list some analysis of PAPR among different LP-WUS signal design [2].</w:t>
      </w:r>
    </w:p>
    <w:p>
      <w:pPr>
        <w:pStyle w:val="6"/>
        <w:keepNext/>
        <w:jc w:val="center"/>
      </w:pPr>
      <w:r>
        <w:t xml:space="preserve">Table </w:t>
      </w:r>
      <w:r>
        <w:fldChar w:fldCharType="begin"/>
      </w:r>
      <w:r>
        <w:instrText xml:space="preserve"> SEQ Table \* ARABIC </w:instrText>
      </w:r>
      <w:r>
        <w:fldChar w:fldCharType="separate"/>
      </w:r>
      <w:r>
        <w:t>1</w:t>
      </w:r>
      <w:r>
        <w:fldChar w:fldCharType="end"/>
      </w:r>
      <w:r>
        <w:t xml:space="preserve"> PAPR comparison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3341"/>
        <w:gridCol w:w="3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46" w:type="dxa"/>
          </w:tcPr>
          <w:p>
            <w:pPr>
              <w:spacing w:before="120" w:line="280" w:lineRule="atLeast"/>
              <w:jc w:val="center"/>
              <w:rPr>
                <w:b/>
                <w:bCs/>
                <w:lang w:val="en-US"/>
              </w:rPr>
            </w:pPr>
            <w:r>
              <w:rPr>
                <w:b/>
                <w:bCs/>
                <w:lang w:val="en-US"/>
              </w:rPr>
              <w:t>OOK-4 M=1 / OOK-1 ON</w:t>
            </w:r>
          </w:p>
        </w:tc>
        <w:tc>
          <w:tcPr>
            <w:tcW w:w="3341" w:type="dxa"/>
          </w:tcPr>
          <w:p>
            <w:pPr>
              <w:spacing w:before="120" w:line="280" w:lineRule="atLeast"/>
              <w:jc w:val="center"/>
              <w:rPr>
                <w:lang w:val="en-US"/>
              </w:rPr>
            </w:pPr>
            <w:r>
              <w:rPr>
                <w:lang w:val="en-US"/>
              </w:rPr>
              <w:t xml:space="preserve">ZC sequence of size N’=271 + Zeros </w:t>
            </w:r>
          </w:p>
        </w:tc>
        <w:tc>
          <w:tcPr>
            <w:tcW w:w="3042" w:type="dxa"/>
            <w:vMerge w:val="restart"/>
          </w:tcPr>
          <w:p>
            <w:pPr>
              <w:spacing w:before="120" w:line="280" w:lineRule="atLeast"/>
              <w:jc w:val="center"/>
              <w:rPr>
                <w:b/>
                <w:bCs/>
                <w:lang w:val="en-US"/>
              </w:rPr>
            </w:pPr>
            <w:r>
              <w:rPr>
                <w:b/>
                <w:bCs/>
                <w:lang w:val="en-US"/>
              </w:rPr>
              <w:t>PAPR</w:t>
            </w:r>
          </w:p>
          <w:p>
            <w:pPr>
              <w:spacing w:before="120" w:line="280" w:lineRule="atLeast"/>
              <w:jc w:val="center"/>
              <w:rPr>
                <w:lang w:val="en-US"/>
              </w:rPr>
            </w:pPr>
            <w:r>
              <w:rPr>
                <w:b/>
                <w:bCs/>
                <w:lang w:val="en-US"/>
              </w:rPr>
              <w:t xml:space="preserve">9.95dB/8.95dB </w:t>
            </w:r>
            <w:r>
              <w:rPr>
                <w:lang w:val="en-US"/>
              </w:rPr>
              <w:t xml:space="preserve">over 100k realizations with full buffer 64QAM neighbor carrier signal </w:t>
            </w:r>
            <w:r>
              <w:rPr>
                <w:b/>
                <w:bCs/>
                <w:lang w:val="en-US"/>
              </w:rPr>
              <w:t>20/10MHz</w:t>
            </w:r>
            <w:r>
              <w:rPr>
                <w:lang w:val="en-US"/>
              </w:rPr>
              <w:t xml:space="preserve"> channel-BW</w:t>
            </w:r>
          </w:p>
          <w:p>
            <w:pPr>
              <w:spacing w:before="120" w:line="280" w:lineRule="atLeast"/>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3246" w:type="dxa"/>
          </w:tcPr>
          <w:p>
            <w:pPr>
              <w:spacing w:before="120" w:line="280" w:lineRule="atLeast"/>
              <w:jc w:val="center"/>
              <w:rPr>
                <w:b/>
                <w:bCs/>
                <w:lang w:val="en-US"/>
              </w:rPr>
            </w:pPr>
            <w:r>
              <w:rPr>
                <w:b/>
                <w:bCs/>
                <w:lang w:val="en-US"/>
              </w:rPr>
              <w:t>OOK-4 M=1 / OOK-1 OFF</w:t>
            </w:r>
          </w:p>
        </w:tc>
        <w:tc>
          <w:tcPr>
            <w:tcW w:w="3341" w:type="dxa"/>
          </w:tcPr>
          <w:p>
            <w:pPr>
              <w:spacing w:before="120" w:line="280" w:lineRule="atLeast"/>
              <w:jc w:val="center"/>
              <w:rPr>
                <w:lang w:val="en-US"/>
              </w:rPr>
            </w:pPr>
            <w:r>
              <w:rPr>
                <w:lang w:val="en-US"/>
              </w:rPr>
              <w:t>N’ zeros</w:t>
            </w:r>
          </w:p>
        </w:tc>
        <w:tc>
          <w:tcPr>
            <w:tcW w:w="3042" w:type="dxa"/>
            <w:vMerge w:val="continue"/>
          </w:tcPr>
          <w:p>
            <w:pPr>
              <w:spacing w:before="120" w:line="280" w:lineRule="atLeast"/>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6" w:type="dxa"/>
          </w:tcPr>
          <w:p>
            <w:pPr>
              <w:spacing w:before="120" w:line="280" w:lineRule="atLeast"/>
              <w:jc w:val="center"/>
              <w:rPr>
                <w:b/>
                <w:bCs/>
                <w:lang w:val="en-US"/>
              </w:rPr>
            </w:pPr>
            <w:r>
              <w:rPr>
                <w:b/>
                <w:bCs/>
                <w:lang w:val="en-US"/>
              </w:rPr>
              <w:t>OOK-4 M=2 ON</w:t>
            </w:r>
          </w:p>
        </w:tc>
        <w:tc>
          <w:tcPr>
            <w:tcW w:w="3341" w:type="dxa"/>
          </w:tcPr>
          <w:p>
            <w:pPr>
              <w:spacing w:before="120" w:line="280" w:lineRule="atLeast"/>
              <w:jc w:val="center"/>
              <w:rPr>
                <w:lang w:val="en-US"/>
              </w:rPr>
            </w:pPr>
            <w:r>
              <w:rPr>
                <w:lang w:val="en-US"/>
              </w:rPr>
              <w:t>ZC of size app. N’/2=139 + Zeros app. N’/2=149</w:t>
            </w:r>
          </w:p>
        </w:tc>
        <w:tc>
          <w:tcPr>
            <w:tcW w:w="3042" w:type="dxa"/>
            <w:vMerge w:val="restart"/>
          </w:tcPr>
          <w:p>
            <w:pPr>
              <w:spacing w:before="120" w:line="280" w:lineRule="atLeast"/>
              <w:jc w:val="center"/>
              <w:rPr>
                <w:b/>
                <w:bCs/>
                <w:lang w:val="en-US"/>
              </w:rPr>
            </w:pPr>
            <w:r>
              <w:rPr>
                <w:b/>
                <w:bCs/>
                <w:lang w:val="en-US"/>
              </w:rPr>
              <w:t>PAPR</w:t>
            </w:r>
          </w:p>
          <w:p>
            <w:pPr>
              <w:spacing w:before="120" w:line="280" w:lineRule="atLeast"/>
              <w:jc w:val="center"/>
              <w:rPr>
                <w:lang w:val="en-US"/>
              </w:rPr>
            </w:pPr>
            <w:r>
              <w:rPr>
                <w:b/>
                <w:bCs/>
                <w:lang w:val="en-US"/>
              </w:rPr>
              <w:t>10.27dB/9.93dB</w:t>
            </w:r>
            <w:r>
              <w:rPr>
                <w:lang w:val="en-US"/>
              </w:rPr>
              <w:t xml:space="preserve"> over 100k realizations with full buffer 64QAM neighbor carrier signal </w:t>
            </w:r>
            <w:r>
              <w:rPr>
                <w:b/>
                <w:bCs/>
                <w:lang w:val="en-US"/>
              </w:rPr>
              <w:t>20/10MHz</w:t>
            </w:r>
            <w:r>
              <w:rPr>
                <w:lang w:val="en-US"/>
              </w:rPr>
              <w:t xml:space="preserve"> channel-BW</w:t>
            </w:r>
          </w:p>
          <w:p>
            <w:pPr>
              <w:spacing w:before="120" w:line="280" w:lineRule="atLeast"/>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6" w:type="dxa"/>
          </w:tcPr>
          <w:p>
            <w:pPr>
              <w:spacing w:before="120" w:line="280" w:lineRule="atLeast"/>
              <w:jc w:val="center"/>
              <w:rPr>
                <w:b/>
                <w:bCs/>
                <w:lang w:val="en-US"/>
              </w:rPr>
            </w:pPr>
            <w:r>
              <w:rPr>
                <w:b/>
                <w:bCs/>
                <w:lang w:val="en-US"/>
              </w:rPr>
              <w:t>OOK-4 M=2 OFF</w:t>
            </w:r>
          </w:p>
        </w:tc>
        <w:tc>
          <w:tcPr>
            <w:tcW w:w="3341" w:type="dxa"/>
          </w:tcPr>
          <w:p>
            <w:pPr>
              <w:spacing w:before="120" w:line="280" w:lineRule="atLeast"/>
              <w:jc w:val="center"/>
              <w:rPr>
                <w:lang w:val="en-US"/>
              </w:rPr>
            </w:pPr>
            <w:r>
              <w:rPr>
                <w:lang w:val="en-US"/>
              </w:rPr>
              <w:t xml:space="preserve"> Zeros app. N’/2= 149 + ZC of size app. N’/2´=139</w:t>
            </w:r>
          </w:p>
        </w:tc>
        <w:tc>
          <w:tcPr>
            <w:tcW w:w="3042" w:type="dxa"/>
            <w:vMerge w:val="continue"/>
          </w:tcPr>
          <w:p>
            <w:pPr>
              <w:spacing w:before="120" w:line="280" w:lineRule="atLeast"/>
              <w:jc w:val="center"/>
              <w:rPr>
                <w:lang w:val="en-US"/>
              </w:rPr>
            </w:pPr>
          </w:p>
        </w:tc>
      </w:tr>
    </w:tbl>
    <w:p>
      <w:pPr>
        <w:widowControl w:val="0"/>
        <w:numPr>
          <w:ilvl w:val="0"/>
          <w:numId w:val="0"/>
        </w:numPr>
        <w:spacing w:after="180"/>
        <w:jc w:val="both"/>
        <w:rPr>
          <w:rFonts w:hint="default" w:ascii="Times New Roman" w:hAnsi="Times New Roman" w:cs="Times New Roman"/>
          <w:b w:val="0"/>
          <w:bCs w:val="0"/>
          <w:sz w:val="20"/>
          <w:szCs w:val="20"/>
          <w:lang w:val="en-US" w:eastAsia="zh-CN"/>
        </w:rPr>
      </w:pP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LP-WUS waveform, modulation scheme, CBW will impact PAPR performance and then impact final in-band power boosting performance of gNB.</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Proposal 4: for power boosting requirements, RAN4 needs to wait for RAN1 waveform, modulation scheme design before concluding common PAPR assumption.</w:t>
      </w:r>
      <w:r>
        <w:rPr>
          <w:rFonts w:hint="eastAsia" w:ascii="Times New Roman" w:hAnsi="Times New Roman" w:cs="Times New Roman"/>
          <w:b w:val="0"/>
          <w:bCs w:val="0"/>
          <w:sz w:val="20"/>
          <w:szCs w:val="20"/>
          <w:lang w:val="en-US" w:eastAsia="zh-CN"/>
        </w:rPr>
        <w:t xml:space="preserve"> </w:t>
      </w:r>
    </w:p>
    <w:p>
      <w:pPr>
        <w:widowControl w:val="0"/>
        <w:numPr>
          <w:ilvl w:val="0"/>
          <w:numId w:val="0"/>
        </w:numPr>
        <w:spacing w:after="180"/>
        <w:jc w:val="both"/>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For in-band mode, the NR signal and LP-WUS share total power. The higher power boosting, the less remained power for NR signal, especially when the BW of LP-WUS is high, e.g. 5MHz much larger than 180kHz for NB. From coverage point of view, reducing NR signal PSD due to LP-WUS power boosting is not allowed. </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reducing NR signal PSD to some large extent is not allowed. RAN4 should take the affected NR PSD factor into considering when determining final power boosting value.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operation bands, multi-bands, in-band power boosting are discussed with following observations and proposals.</w:t>
      </w:r>
    </w:p>
    <w:p>
      <w:pPr>
        <w:widowControl w:val="0"/>
        <w:numPr>
          <w:ilvl w:val="0"/>
          <w:numId w:val="0"/>
        </w:numPr>
        <w:spacing w:after="18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LP-WUS operation bands definition,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focus on IMT licensed bands that has been defined in current 3GPP spec.</w:t>
      </w:r>
    </w:p>
    <w:p>
      <w:pPr>
        <w:widowControl w:val="0"/>
        <w:numPr>
          <w:ilvl w:val="0"/>
          <w:numId w:val="0"/>
        </w:numPr>
        <w:spacing w:after="18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better not limit the number of operation bands defined in 3GPP spec for both gNB and UE spec. But to reduce LP-WUS UE costing and support global roaming, LP-WUS UE could only mandatory support 1 or several operation bands which depends on its RF architecture.</w:t>
      </w:r>
    </w:p>
    <w:p>
      <w:pPr>
        <w:widowControl w:val="0"/>
        <w:numPr>
          <w:ilvl w:val="0"/>
          <w:numId w:val="0"/>
        </w:numPr>
        <w:spacing w:after="180"/>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suggested to also define multi-band requirements at gNB side for LP-WUS.</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1: LP-WUS waveform, modulation scheme, CBW will impact PAPR performance and then impact final in-band power boosting performance of gNB.</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for power boosting requirements, RAN4 needs to wait for RAN1 waveform, modulation scheme conclusion before common PAPR assumption.</w:t>
      </w:r>
    </w:p>
    <w:p>
      <w:pPr>
        <w:widowControl w:val="0"/>
        <w:numPr>
          <w:ilvl w:val="0"/>
          <w:numId w:val="0"/>
        </w:numPr>
        <w:spacing w:after="180"/>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5: reducing NR signal PSD to some large extent is not allowed. RAN4 should take the affected NR PSD factor into considering when determining final power boosting value.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6"/>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RP-240801</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Revised WID: Low-power wake-up signal and receiver for NR (LP-WUS/WUR)</w:t>
      </w:r>
      <w:r>
        <w:rPr>
          <w:rFonts w:hint="eastAsia" w:ascii="Times New Roman" w:hAnsi="Times New Roman" w:cs="Times New Roman"/>
          <w:sz w:val="20"/>
          <w:szCs w:val="20"/>
          <w:highlight w:val="none"/>
          <w:lang w:val="en-US" w:eastAsia="zh-CN"/>
        </w:rPr>
        <w:t>, vivo, NTT DOCOMO, Ericsson, MediaTek, Samsung, Sony</w:t>
      </w:r>
    </w:p>
    <w:p>
      <w:pPr>
        <w:numPr>
          <w:ilvl w:val="0"/>
          <w:numId w:val="6"/>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R1-2401349</w:t>
      </w:r>
      <w:r>
        <w:rPr>
          <w:rFonts w:hint="eastAsia" w:ascii="Times New Roman" w:hAnsi="Times New Roman"/>
          <w:sz w:val="20"/>
          <w:szCs w:val="20"/>
          <w:lang w:val="en-US" w:eastAsia="zh-CN"/>
        </w:rPr>
        <w:t>, On LP-WUS and LP-SS design, Nordic Semiconductor ASA</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E637EA4"/>
    <w:multiLevelType w:val="multilevel"/>
    <w:tmpl w:val="3E637E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F15E17C"/>
    <w:multiLevelType w:val="singleLevel"/>
    <w:tmpl w:val="3F15E17C"/>
    <w:lvl w:ilvl="0" w:tentative="0">
      <w:start w:val="1"/>
      <w:numFmt w:val="bullet"/>
      <w:lvlText w:val=""/>
      <w:lvlJc w:val="left"/>
      <w:pPr>
        <w:ind w:left="420" w:hanging="420"/>
      </w:pPr>
      <w:rPr>
        <w:rFonts w:hint="default" w:ascii="Wingdings" w:hAnsi="Wingdings"/>
      </w:rPr>
    </w:lvl>
  </w:abstractNum>
  <w:abstractNum w:abstractNumId="5">
    <w:nsid w:val="73E91E3B"/>
    <w:multiLevelType w:val="multilevel"/>
    <w:tmpl w:val="73E91E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1DD"/>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7826CF"/>
    <w:rsid w:val="018E309C"/>
    <w:rsid w:val="01BD0368"/>
    <w:rsid w:val="01DE089D"/>
    <w:rsid w:val="020970CA"/>
    <w:rsid w:val="028E1852"/>
    <w:rsid w:val="02BF1210"/>
    <w:rsid w:val="02C81B1F"/>
    <w:rsid w:val="031676A0"/>
    <w:rsid w:val="032E14C4"/>
    <w:rsid w:val="033E7560"/>
    <w:rsid w:val="035967B1"/>
    <w:rsid w:val="035D4591"/>
    <w:rsid w:val="03631D1E"/>
    <w:rsid w:val="03C142B6"/>
    <w:rsid w:val="03E26584"/>
    <w:rsid w:val="040B4025"/>
    <w:rsid w:val="04492C16"/>
    <w:rsid w:val="047B4D00"/>
    <w:rsid w:val="04A732AF"/>
    <w:rsid w:val="04B527F1"/>
    <w:rsid w:val="05026E46"/>
    <w:rsid w:val="053C405B"/>
    <w:rsid w:val="056F5AD7"/>
    <w:rsid w:val="059731F4"/>
    <w:rsid w:val="059E10D1"/>
    <w:rsid w:val="05A012C8"/>
    <w:rsid w:val="05BF54F8"/>
    <w:rsid w:val="06305334"/>
    <w:rsid w:val="06434355"/>
    <w:rsid w:val="06CC0A35"/>
    <w:rsid w:val="07031681"/>
    <w:rsid w:val="07530E8A"/>
    <w:rsid w:val="0769686A"/>
    <w:rsid w:val="076E27BD"/>
    <w:rsid w:val="0770402F"/>
    <w:rsid w:val="078E5270"/>
    <w:rsid w:val="07B42F31"/>
    <w:rsid w:val="07CA6B66"/>
    <w:rsid w:val="07F15671"/>
    <w:rsid w:val="080829BC"/>
    <w:rsid w:val="08200491"/>
    <w:rsid w:val="083B25C1"/>
    <w:rsid w:val="08425E71"/>
    <w:rsid w:val="085D3E3F"/>
    <w:rsid w:val="087F5E7D"/>
    <w:rsid w:val="08973524"/>
    <w:rsid w:val="08A26EE3"/>
    <w:rsid w:val="08A65D3D"/>
    <w:rsid w:val="08BB0747"/>
    <w:rsid w:val="08BF335A"/>
    <w:rsid w:val="08D75341"/>
    <w:rsid w:val="0900762B"/>
    <w:rsid w:val="092D4D1C"/>
    <w:rsid w:val="09626007"/>
    <w:rsid w:val="09993AB5"/>
    <w:rsid w:val="09F66D51"/>
    <w:rsid w:val="0A0219DF"/>
    <w:rsid w:val="0A5C1B8B"/>
    <w:rsid w:val="0AA20101"/>
    <w:rsid w:val="0ABA1F25"/>
    <w:rsid w:val="0ADD2F10"/>
    <w:rsid w:val="0AE113D2"/>
    <w:rsid w:val="0AF67B8B"/>
    <w:rsid w:val="0B0758A7"/>
    <w:rsid w:val="0B1B4548"/>
    <w:rsid w:val="0B4A1814"/>
    <w:rsid w:val="0BBF5056"/>
    <w:rsid w:val="0BE65845"/>
    <w:rsid w:val="0BE92617"/>
    <w:rsid w:val="0BF0521B"/>
    <w:rsid w:val="0BF7455D"/>
    <w:rsid w:val="0BFE4B3A"/>
    <w:rsid w:val="0C296C83"/>
    <w:rsid w:val="0C5C1421"/>
    <w:rsid w:val="0C786A02"/>
    <w:rsid w:val="0C8D3125"/>
    <w:rsid w:val="0D26201E"/>
    <w:rsid w:val="0D545798"/>
    <w:rsid w:val="0D624402"/>
    <w:rsid w:val="0D747B9F"/>
    <w:rsid w:val="0D8F41B3"/>
    <w:rsid w:val="0DD237BC"/>
    <w:rsid w:val="0E037D57"/>
    <w:rsid w:val="0E1D4B35"/>
    <w:rsid w:val="0E241F41"/>
    <w:rsid w:val="0E5F68A3"/>
    <w:rsid w:val="0E7813A9"/>
    <w:rsid w:val="0EBC441C"/>
    <w:rsid w:val="0EBD33B9"/>
    <w:rsid w:val="0EBE690E"/>
    <w:rsid w:val="0F1A117A"/>
    <w:rsid w:val="0F5116AE"/>
    <w:rsid w:val="0F596ABB"/>
    <w:rsid w:val="0F5F09C4"/>
    <w:rsid w:val="0F5F4247"/>
    <w:rsid w:val="0F6273CA"/>
    <w:rsid w:val="0F7D4B34"/>
    <w:rsid w:val="0FC419ED"/>
    <w:rsid w:val="0FD9288C"/>
    <w:rsid w:val="0FEE6FAE"/>
    <w:rsid w:val="0FF20B73"/>
    <w:rsid w:val="10003991"/>
    <w:rsid w:val="100565B7"/>
    <w:rsid w:val="101F3001"/>
    <w:rsid w:val="10254F0A"/>
    <w:rsid w:val="106946FA"/>
    <w:rsid w:val="107B7E97"/>
    <w:rsid w:val="109C57D8"/>
    <w:rsid w:val="10D64689"/>
    <w:rsid w:val="10EF7E56"/>
    <w:rsid w:val="11321BC4"/>
    <w:rsid w:val="1155307D"/>
    <w:rsid w:val="117C38F8"/>
    <w:rsid w:val="117D6EEE"/>
    <w:rsid w:val="11B5219D"/>
    <w:rsid w:val="11DF67EB"/>
    <w:rsid w:val="12213A4B"/>
    <w:rsid w:val="122946DB"/>
    <w:rsid w:val="124C353A"/>
    <w:rsid w:val="12750F57"/>
    <w:rsid w:val="12E83AF4"/>
    <w:rsid w:val="13771DFE"/>
    <w:rsid w:val="13F25EC4"/>
    <w:rsid w:val="14245767"/>
    <w:rsid w:val="14454402"/>
    <w:rsid w:val="14593B5C"/>
    <w:rsid w:val="145C23B3"/>
    <w:rsid w:val="149E7662"/>
    <w:rsid w:val="1508348E"/>
    <w:rsid w:val="15350710"/>
    <w:rsid w:val="154410F5"/>
    <w:rsid w:val="155F416A"/>
    <w:rsid w:val="156354FD"/>
    <w:rsid w:val="156C0FB4"/>
    <w:rsid w:val="156E44B7"/>
    <w:rsid w:val="157A51BC"/>
    <w:rsid w:val="159557BE"/>
    <w:rsid w:val="15A85596"/>
    <w:rsid w:val="15CD7D54"/>
    <w:rsid w:val="15D00CD9"/>
    <w:rsid w:val="15E450B5"/>
    <w:rsid w:val="161A0A0A"/>
    <w:rsid w:val="16371982"/>
    <w:rsid w:val="163D388B"/>
    <w:rsid w:val="1683077C"/>
    <w:rsid w:val="168B5B89"/>
    <w:rsid w:val="16913315"/>
    <w:rsid w:val="16C005E1"/>
    <w:rsid w:val="16FD2BCB"/>
    <w:rsid w:val="175862BF"/>
    <w:rsid w:val="17B730F8"/>
    <w:rsid w:val="17C4240D"/>
    <w:rsid w:val="17F263D4"/>
    <w:rsid w:val="17F52BDC"/>
    <w:rsid w:val="180D2D20"/>
    <w:rsid w:val="182249A5"/>
    <w:rsid w:val="18642373"/>
    <w:rsid w:val="18834ED9"/>
    <w:rsid w:val="18E26C79"/>
    <w:rsid w:val="18E55D68"/>
    <w:rsid w:val="18FE0AB6"/>
    <w:rsid w:val="19813C3F"/>
    <w:rsid w:val="19A17418"/>
    <w:rsid w:val="19B263B5"/>
    <w:rsid w:val="19DF2D99"/>
    <w:rsid w:val="19EA686E"/>
    <w:rsid w:val="1A8670A6"/>
    <w:rsid w:val="1AB02A55"/>
    <w:rsid w:val="1AFD11C6"/>
    <w:rsid w:val="1B00542F"/>
    <w:rsid w:val="1B2F42F1"/>
    <w:rsid w:val="1B3F3E40"/>
    <w:rsid w:val="1B7C00B3"/>
    <w:rsid w:val="1B7C0EA4"/>
    <w:rsid w:val="1BB42683"/>
    <w:rsid w:val="1BF509C2"/>
    <w:rsid w:val="1BF95FEE"/>
    <w:rsid w:val="1C363B56"/>
    <w:rsid w:val="1C700838"/>
    <w:rsid w:val="1C986011"/>
    <w:rsid w:val="1CE56278"/>
    <w:rsid w:val="1CFC261A"/>
    <w:rsid w:val="1CFF6E5D"/>
    <w:rsid w:val="1D0432AA"/>
    <w:rsid w:val="1D0A4412"/>
    <w:rsid w:val="1D0B38F8"/>
    <w:rsid w:val="1D1D5776"/>
    <w:rsid w:val="1D2753AE"/>
    <w:rsid w:val="1D3E218A"/>
    <w:rsid w:val="1D6D7456"/>
    <w:rsid w:val="1D7879E5"/>
    <w:rsid w:val="1D867707"/>
    <w:rsid w:val="1DB652CB"/>
    <w:rsid w:val="1E29579B"/>
    <w:rsid w:val="1E295925"/>
    <w:rsid w:val="1E3D0B9B"/>
    <w:rsid w:val="1E81151C"/>
    <w:rsid w:val="1E884DB6"/>
    <w:rsid w:val="1EFE1319"/>
    <w:rsid w:val="1F0D1045"/>
    <w:rsid w:val="1F1F489E"/>
    <w:rsid w:val="1F2F076D"/>
    <w:rsid w:val="1F8C690A"/>
    <w:rsid w:val="1FFB17BC"/>
    <w:rsid w:val="201828B7"/>
    <w:rsid w:val="203D39F0"/>
    <w:rsid w:val="204E170C"/>
    <w:rsid w:val="20817033"/>
    <w:rsid w:val="20990887"/>
    <w:rsid w:val="20E833A7"/>
    <w:rsid w:val="20EA2C10"/>
    <w:rsid w:val="216C01F4"/>
    <w:rsid w:val="219168A1"/>
    <w:rsid w:val="21B038D2"/>
    <w:rsid w:val="21D70408"/>
    <w:rsid w:val="21F50B43"/>
    <w:rsid w:val="221E7789"/>
    <w:rsid w:val="223076A3"/>
    <w:rsid w:val="228B3B2E"/>
    <w:rsid w:val="22E84C54"/>
    <w:rsid w:val="235E2230"/>
    <w:rsid w:val="2370600B"/>
    <w:rsid w:val="237B1C44"/>
    <w:rsid w:val="23CA7445"/>
    <w:rsid w:val="23F0569A"/>
    <w:rsid w:val="241B0EB4"/>
    <w:rsid w:val="24513BF6"/>
    <w:rsid w:val="246266BF"/>
    <w:rsid w:val="24683E4B"/>
    <w:rsid w:val="246C2851"/>
    <w:rsid w:val="24841763"/>
    <w:rsid w:val="2488042D"/>
    <w:rsid w:val="24896A55"/>
    <w:rsid w:val="24C36C6D"/>
    <w:rsid w:val="254E0ABD"/>
    <w:rsid w:val="25641764"/>
    <w:rsid w:val="257C268E"/>
    <w:rsid w:val="258A21E5"/>
    <w:rsid w:val="25A10883"/>
    <w:rsid w:val="25D729E7"/>
    <w:rsid w:val="260512EE"/>
    <w:rsid w:val="260F5480"/>
    <w:rsid w:val="262720AC"/>
    <w:rsid w:val="26382DB8"/>
    <w:rsid w:val="265C4D5F"/>
    <w:rsid w:val="26644B8A"/>
    <w:rsid w:val="268A1547"/>
    <w:rsid w:val="268B3CAF"/>
    <w:rsid w:val="26A73075"/>
    <w:rsid w:val="26B2270B"/>
    <w:rsid w:val="26F853FE"/>
    <w:rsid w:val="270B1F80"/>
    <w:rsid w:val="27101B72"/>
    <w:rsid w:val="27360A19"/>
    <w:rsid w:val="274B1605"/>
    <w:rsid w:val="27706A48"/>
    <w:rsid w:val="277D7855"/>
    <w:rsid w:val="27816C71"/>
    <w:rsid w:val="278B3C06"/>
    <w:rsid w:val="27990C94"/>
    <w:rsid w:val="27C61EE6"/>
    <w:rsid w:val="27E33F9B"/>
    <w:rsid w:val="27F23097"/>
    <w:rsid w:val="2805016B"/>
    <w:rsid w:val="285343B6"/>
    <w:rsid w:val="286036CB"/>
    <w:rsid w:val="28A91541"/>
    <w:rsid w:val="28AA4C8A"/>
    <w:rsid w:val="294A494E"/>
    <w:rsid w:val="29560760"/>
    <w:rsid w:val="2960326E"/>
    <w:rsid w:val="2975343F"/>
    <w:rsid w:val="29824843"/>
    <w:rsid w:val="29922597"/>
    <w:rsid w:val="29C71D19"/>
    <w:rsid w:val="29E7224E"/>
    <w:rsid w:val="29FE789F"/>
    <w:rsid w:val="2A144016"/>
    <w:rsid w:val="2A24682F"/>
    <w:rsid w:val="2A2C74BF"/>
    <w:rsid w:val="2A53737E"/>
    <w:rsid w:val="2A573A81"/>
    <w:rsid w:val="2A704730"/>
    <w:rsid w:val="2AA1167C"/>
    <w:rsid w:val="2AC70C94"/>
    <w:rsid w:val="2AE354DA"/>
    <w:rsid w:val="2B1E47FB"/>
    <w:rsid w:val="2B2A3B5F"/>
    <w:rsid w:val="2B7319D4"/>
    <w:rsid w:val="2B747456"/>
    <w:rsid w:val="2B7A5997"/>
    <w:rsid w:val="2C0547C6"/>
    <w:rsid w:val="2C380499"/>
    <w:rsid w:val="2C401128"/>
    <w:rsid w:val="2C8A1751"/>
    <w:rsid w:val="2C8A2F49"/>
    <w:rsid w:val="2C9F3BCE"/>
    <w:rsid w:val="2CA64350"/>
    <w:rsid w:val="2D4D51B1"/>
    <w:rsid w:val="2D4D79AC"/>
    <w:rsid w:val="2DB7418D"/>
    <w:rsid w:val="2DD5373D"/>
    <w:rsid w:val="2DF80479"/>
    <w:rsid w:val="2E747DC3"/>
    <w:rsid w:val="2E9C0F87"/>
    <w:rsid w:val="2EA61F97"/>
    <w:rsid w:val="2EB7077F"/>
    <w:rsid w:val="2EB8044F"/>
    <w:rsid w:val="2EC16B9C"/>
    <w:rsid w:val="2EDF426C"/>
    <w:rsid w:val="2EEC4E92"/>
    <w:rsid w:val="2F0902B7"/>
    <w:rsid w:val="2F1A1856"/>
    <w:rsid w:val="2F1C0982"/>
    <w:rsid w:val="2F416B8C"/>
    <w:rsid w:val="2F5B00C1"/>
    <w:rsid w:val="2F747966"/>
    <w:rsid w:val="2FBB19B3"/>
    <w:rsid w:val="2FCB6344"/>
    <w:rsid w:val="2FEC1523"/>
    <w:rsid w:val="3011145B"/>
    <w:rsid w:val="30524DF2"/>
    <w:rsid w:val="306B7868"/>
    <w:rsid w:val="3099089E"/>
    <w:rsid w:val="30E556A6"/>
    <w:rsid w:val="310304B5"/>
    <w:rsid w:val="31432160"/>
    <w:rsid w:val="31490DA5"/>
    <w:rsid w:val="31570E00"/>
    <w:rsid w:val="315F5D75"/>
    <w:rsid w:val="31B00595"/>
    <w:rsid w:val="31CA113F"/>
    <w:rsid w:val="31D53C4D"/>
    <w:rsid w:val="31E91E87"/>
    <w:rsid w:val="31F82F08"/>
    <w:rsid w:val="3243059C"/>
    <w:rsid w:val="32697D44"/>
    <w:rsid w:val="326D0948"/>
    <w:rsid w:val="328A5CFA"/>
    <w:rsid w:val="32C835E0"/>
    <w:rsid w:val="32DF7982"/>
    <w:rsid w:val="331537CD"/>
    <w:rsid w:val="331E4E70"/>
    <w:rsid w:val="336E17F0"/>
    <w:rsid w:val="33CC276C"/>
    <w:rsid w:val="33E2230D"/>
    <w:rsid w:val="33FB26D9"/>
    <w:rsid w:val="34291F23"/>
    <w:rsid w:val="34413D46"/>
    <w:rsid w:val="344A45A5"/>
    <w:rsid w:val="345C5BF5"/>
    <w:rsid w:val="348103B3"/>
    <w:rsid w:val="356F47B8"/>
    <w:rsid w:val="35745678"/>
    <w:rsid w:val="357C3ACE"/>
    <w:rsid w:val="35962F2D"/>
    <w:rsid w:val="35B629AE"/>
    <w:rsid w:val="35B71496"/>
    <w:rsid w:val="35B8262E"/>
    <w:rsid w:val="35BA352A"/>
    <w:rsid w:val="35CC12CF"/>
    <w:rsid w:val="35D319E6"/>
    <w:rsid w:val="35D72EE3"/>
    <w:rsid w:val="35E768F5"/>
    <w:rsid w:val="35F559C7"/>
    <w:rsid w:val="36075C31"/>
    <w:rsid w:val="36177105"/>
    <w:rsid w:val="362D458B"/>
    <w:rsid w:val="36354715"/>
    <w:rsid w:val="36510879"/>
    <w:rsid w:val="37036DCD"/>
    <w:rsid w:val="372F46A7"/>
    <w:rsid w:val="37726C9D"/>
    <w:rsid w:val="379A1E22"/>
    <w:rsid w:val="37BD6848"/>
    <w:rsid w:val="37CC6816"/>
    <w:rsid w:val="37DE6907"/>
    <w:rsid w:val="37E01992"/>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5D3C1C"/>
    <w:rsid w:val="3B617677"/>
    <w:rsid w:val="3B757B5E"/>
    <w:rsid w:val="3B997439"/>
    <w:rsid w:val="3BA65BED"/>
    <w:rsid w:val="3BAA6325"/>
    <w:rsid w:val="3BDB4DC2"/>
    <w:rsid w:val="3C09240E"/>
    <w:rsid w:val="3C146221"/>
    <w:rsid w:val="3C5C6615"/>
    <w:rsid w:val="3CBF66BA"/>
    <w:rsid w:val="3CC365B8"/>
    <w:rsid w:val="3CD51844"/>
    <w:rsid w:val="3CE979FE"/>
    <w:rsid w:val="3D08452F"/>
    <w:rsid w:val="3D0A6D79"/>
    <w:rsid w:val="3D3675FD"/>
    <w:rsid w:val="3D5001A7"/>
    <w:rsid w:val="3D55441E"/>
    <w:rsid w:val="3D6B2F4F"/>
    <w:rsid w:val="3D713555"/>
    <w:rsid w:val="3D741DEE"/>
    <w:rsid w:val="3D85737C"/>
    <w:rsid w:val="3D9C3FFF"/>
    <w:rsid w:val="3DA92F31"/>
    <w:rsid w:val="3DDE328E"/>
    <w:rsid w:val="3E0B0DB0"/>
    <w:rsid w:val="3E116F60"/>
    <w:rsid w:val="3E436723"/>
    <w:rsid w:val="3E572F58"/>
    <w:rsid w:val="3E636D6A"/>
    <w:rsid w:val="3E872DEF"/>
    <w:rsid w:val="3E962A3C"/>
    <w:rsid w:val="3E9704BE"/>
    <w:rsid w:val="3F043070"/>
    <w:rsid w:val="3F1D2CEE"/>
    <w:rsid w:val="3F4D6968"/>
    <w:rsid w:val="3F8B424E"/>
    <w:rsid w:val="3F934EDE"/>
    <w:rsid w:val="3FA97081"/>
    <w:rsid w:val="3FCE6ABE"/>
    <w:rsid w:val="3FDC2D53"/>
    <w:rsid w:val="40035191"/>
    <w:rsid w:val="40130E98"/>
    <w:rsid w:val="401776B5"/>
    <w:rsid w:val="402D77BF"/>
    <w:rsid w:val="403501D5"/>
    <w:rsid w:val="40516596"/>
    <w:rsid w:val="407E4ADB"/>
    <w:rsid w:val="40B04E56"/>
    <w:rsid w:val="40C60753"/>
    <w:rsid w:val="40D15800"/>
    <w:rsid w:val="40D24565"/>
    <w:rsid w:val="410113A2"/>
    <w:rsid w:val="41880811"/>
    <w:rsid w:val="41B44DE2"/>
    <w:rsid w:val="41C60C56"/>
    <w:rsid w:val="41E9727E"/>
    <w:rsid w:val="41F50509"/>
    <w:rsid w:val="420226D9"/>
    <w:rsid w:val="42375131"/>
    <w:rsid w:val="42610172"/>
    <w:rsid w:val="426339F7"/>
    <w:rsid w:val="42733C91"/>
    <w:rsid w:val="428C76CE"/>
    <w:rsid w:val="42916AC5"/>
    <w:rsid w:val="42A3645B"/>
    <w:rsid w:val="42CE0B28"/>
    <w:rsid w:val="432106B2"/>
    <w:rsid w:val="436807A8"/>
    <w:rsid w:val="436F06B1"/>
    <w:rsid w:val="439901E8"/>
    <w:rsid w:val="43CD51C7"/>
    <w:rsid w:val="43EC12FF"/>
    <w:rsid w:val="43F11B33"/>
    <w:rsid w:val="43F17986"/>
    <w:rsid w:val="43FF4262"/>
    <w:rsid w:val="444678CE"/>
    <w:rsid w:val="44565A46"/>
    <w:rsid w:val="445C041A"/>
    <w:rsid w:val="44604594"/>
    <w:rsid w:val="447E086E"/>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797873"/>
    <w:rsid w:val="46E67A01"/>
    <w:rsid w:val="47262D4B"/>
    <w:rsid w:val="47670737"/>
    <w:rsid w:val="47D927EF"/>
    <w:rsid w:val="47F00216"/>
    <w:rsid w:val="480F5247"/>
    <w:rsid w:val="4839608B"/>
    <w:rsid w:val="483A3F41"/>
    <w:rsid w:val="485D1370"/>
    <w:rsid w:val="487813F3"/>
    <w:rsid w:val="488678AB"/>
    <w:rsid w:val="48B06FCF"/>
    <w:rsid w:val="48FF25D1"/>
    <w:rsid w:val="49281A93"/>
    <w:rsid w:val="492C6C51"/>
    <w:rsid w:val="492F313E"/>
    <w:rsid w:val="495010D7"/>
    <w:rsid w:val="4955555E"/>
    <w:rsid w:val="495D4B69"/>
    <w:rsid w:val="49611371"/>
    <w:rsid w:val="49A21DDA"/>
    <w:rsid w:val="49E453DD"/>
    <w:rsid w:val="49EE4458"/>
    <w:rsid w:val="4A521971"/>
    <w:rsid w:val="4A880DD3"/>
    <w:rsid w:val="4A9C4E28"/>
    <w:rsid w:val="4AE661F4"/>
    <w:rsid w:val="4AFF7B18"/>
    <w:rsid w:val="4B254325"/>
    <w:rsid w:val="4B275459"/>
    <w:rsid w:val="4B2941E0"/>
    <w:rsid w:val="4BDB3CAE"/>
    <w:rsid w:val="4BFF2F3E"/>
    <w:rsid w:val="4C261BDE"/>
    <w:rsid w:val="4C334692"/>
    <w:rsid w:val="4C660668"/>
    <w:rsid w:val="4C816990"/>
    <w:rsid w:val="4CB613E8"/>
    <w:rsid w:val="4CCC6E0F"/>
    <w:rsid w:val="4CE51F37"/>
    <w:rsid w:val="4D1B40EF"/>
    <w:rsid w:val="4D2079EB"/>
    <w:rsid w:val="4D2B4C2A"/>
    <w:rsid w:val="4D570F71"/>
    <w:rsid w:val="4DE230D4"/>
    <w:rsid w:val="4DEE01EB"/>
    <w:rsid w:val="4DF036EE"/>
    <w:rsid w:val="4DF30DF0"/>
    <w:rsid w:val="4DF6271E"/>
    <w:rsid w:val="4DFC16FF"/>
    <w:rsid w:val="4E03108A"/>
    <w:rsid w:val="4E2822B5"/>
    <w:rsid w:val="4E5A1A99"/>
    <w:rsid w:val="4E640249"/>
    <w:rsid w:val="4E723844"/>
    <w:rsid w:val="4E7D0D54"/>
    <w:rsid w:val="4E835C30"/>
    <w:rsid w:val="4E85035F"/>
    <w:rsid w:val="4EB95335"/>
    <w:rsid w:val="4ED33CE1"/>
    <w:rsid w:val="4F01352B"/>
    <w:rsid w:val="4F13254C"/>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7C5E3E"/>
    <w:rsid w:val="51A227FA"/>
    <w:rsid w:val="51A57002"/>
    <w:rsid w:val="51F65583"/>
    <w:rsid w:val="521274CB"/>
    <w:rsid w:val="522D01E0"/>
    <w:rsid w:val="523F397D"/>
    <w:rsid w:val="528278EA"/>
    <w:rsid w:val="52B5070D"/>
    <w:rsid w:val="52E03A67"/>
    <w:rsid w:val="52F62F2A"/>
    <w:rsid w:val="52FC46EA"/>
    <w:rsid w:val="53257A17"/>
    <w:rsid w:val="534D042C"/>
    <w:rsid w:val="5350703E"/>
    <w:rsid w:val="538C361F"/>
    <w:rsid w:val="538D10A1"/>
    <w:rsid w:val="53A46AC8"/>
    <w:rsid w:val="53A54549"/>
    <w:rsid w:val="53F47B4C"/>
    <w:rsid w:val="5403314B"/>
    <w:rsid w:val="542C5727"/>
    <w:rsid w:val="544A4CD7"/>
    <w:rsid w:val="545309AA"/>
    <w:rsid w:val="54BF0519"/>
    <w:rsid w:val="55202F4B"/>
    <w:rsid w:val="552827AD"/>
    <w:rsid w:val="552B1450"/>
    <w:rsid w:val="55584783"/>
    <w:rsid w:val="55835CD9"/>
    <w:rsid w:val="558E2FA7"/>
    <w:rsid w:val="55B464A8"/>
    <w:rsid w:val="55B7742C"/>
    <w:rsid w:val="55BD2802"/>
    <w:rsid w:val="55F969E7"/>
    <w:rsid w:val="56024028"/>
    <w:rsid w:val="5616190A"/>
    <w:rsid w:val="56856B80"/>
    <w:rsid w:val="56866800"/>
    <w:rsid w:val="56941399"/>
    <w:rsid w:val="569F71AC"/>
    <w:rsid w:val="56BA15D9"/>
    <w:rsid w:val="56EF3AF5"/>
    <w:rsid w:val="56F83407"/>
    <w:rsid w:val="571A4227"/>
    <w:rsid w:val="571E54DC"/>
    <w:rsid w:val="572210F5"/>
    <w:rsid w:val="572A730E"/>
    <w:rsid w:val="574B7843"/>
    <w:rsid w:val="574C25EA"/>
    <w:rsid w:val="576146B9"/>
    <w:rsid w:val="57677173"/>
    <w:rsid w:val="577865C9"/>
    <w:rsid w:val="578F7CCE"/>
    <w:rsid w:val="579C1BCB"/>
    <w:rsid w:val="57B74973"/>
    <w:rsid w:val="57E1103B"/>
    <w:rsid w:val="57E23AB5"/>
    <w:rsid w:val="57F020A7"/>
    <w:rsid w:val="58467715"/>
    <w:rsid w:val="587B1239"/>
    <w:rsid w:val="58886F75"/>
    <w:rsid w:val="58B65B9B"/>
    <w:rsid w:val="593309E8"/>
    <w:rsid w:val="59957788"/>
    <w:rsid w:val="59B07FB1"/>
    <w:rsid w:val="59F73FA9"/>
    <w:rsid w:val="59FB712C"/>
    <w:rsid w:val="59FD262F"/>
    <w:rsid w:val="5A050D40"/>
    <w:rsid w:val="5A364636"/>
    <w:rsid w:val="5A460B06"/>
    <w:rsid w:val="5A770B6E"/>
    <w:rsid w:val="5A8A0BF0"/>
    <w:rsid w:val="5A9E21B8"/>
    <w:rsid w:val="5AB246DC"/>
    <w:rsid w:val="5AB3215E"/>
    <w:rsid w:val="5AD42692"/>
    <w:rsid w:val="5B2F7529"/>
    <w:rsid w:val="5B814DBA"/>
    <w:rsid w:val="5B9E579F"/>
    <w:rsid w:val="5BBA168B"/>
    <w:rsid w:val="5BBD01B3"/>
    <w:rsid w:val="5BED535D"/>
    <w:rsid w:val="5C13779B"/>
    <w:rsid w:val="5CCF11D3"/>
    <w:rsid w:val="5CF0712B"/>
    <w:rsid w:val="5D4A309B"/>
    <w:rsid w:val="5D7F7CF2"/>
    <w:rsid w:val="5D851C35"/>
    <w:rsid w:val="5E6409F4"/>
    <w:rsid w:val="5F187E14"/>
    <w:rsid w:val="5F255EFF"/>
    <w:rsid w:val="5F5159EF"/>
    <w:rsid w:val="5F8913CC"/>
    <w:rsid w:val="5FDA5B33"/>
    <w:rsid w:val="5FDC7E75"/>
    <w:rsid w:val="5FF120B4"/>
    <w:rsid w:val="603A596D"/>
    <w:rsid w:val="607B393B"/>
    <w:rsid w:val="609B470C"/>
    <w:rsid w:val="609F3113"/>
    <w:rsid w:val="60AC4695"/>
    <w:rsid w:val="60BA2331"/>
    <w:rsid w:val="60D45B6B"/>
    <w:rsid w:val="60EB32AF"/>
    <w:rsid w:val="61171AD8"/>
    <w:rsid w:val="6142291C"/>
    <w:rsid w:val="615F5E74"/>
    <w:rsid w:val="61816597"/>
    <w:rsid w:val="61B73BDF"/>
    <w:rsid w:val="61E7105C"/>
    <w:rsid w:val="61EE1B3B"/>
    <w:rsid w:val="61FE0917"/>
    <w:rsid w:val="623E513D"/>
    <w:rsid w:val="62563CE5"/>
    <w:rsid w:val="62E47AC9"/>
    <w:rsid w:val="6350047D"/>
    <w:rsid w:val="63567BC6"/>
    <w:rsid w:val="63A6340B"/>
    <w:rsid w:val="6412053C"/>
    <w:rsid w:val="64430D0B"/>
    <w:rsid w:val="648065F1"/>
    <w:rsid w:val="64971BDD"/>
    <w:rsid w:val="64BA54D1"/>
    <w:rsid w:val="65046BCA"/>
    <w:rsid w:val="650A2CD2"/>
    <w:rsid w:val="651435E1"/>
    <w:rsid w:val="654153AA"/>
    <w:rsid w:val="654D4A40"/>
    <w:rsid w:val="65644665"/>
    <w:rsid w:val="6566621E"/>
    <w:rsid w:val="65821697"/>
    <w:rsid w:val="65CE6293"/>
    <w:rsid w:val="66077C6A"/>
    <w:rsid w:val="661E7317"/>
    <w:rsid w:val="66495BDD"/>
    <w:rsid w:val="669E696B"/>
    <w:rsid w:val="66C60005"/>
    <w:rsid w:val="66D16DBA"/>
    <w:rsid w:val="66D435C2"/>
    <w:rsid w:val="66ED66EB"/>
    <w:rsid w:val="67763396"/>
    <w:rsid w:val="677C4CD5"/>
    <w:rsid w:val="678A1A6C"/>
    <w:rsid w:val="679F070D"/>
    <w:rsid w:val="67A9335C"/>
    <w:rsid w:val="67D44D17"/>
    <w:rsid w:val="680C4CB4"/>
    <w:rsid w:val="680E2045"/>
    <w:rsid w:val="682E6C7E"/>
    <w:rsid w:val="68374408"/>
    <w:rsid w:val="68400296"/>
    <w:rsid w:val="68976726"/>
    <w:rsid w:val="69156EBB"/>
    <w:rsid w:val="69760313"/>
    <w:rsid w:val="698A6FB3"/>
    <w:rsid w:val="69A16BD8"/>
    <w:rsid w:val="69DD483F"/>
    <w:rsid w:val="69F47683"/>
    <w:rsid w:val="69F942E4"/>
    <w:rsid w:val="6A0568FD"/>
    <w:rsid w:val="6A2B6B3C"/>
    <w:rsid w:val="6A5F0290"/>
    <w:rsid w:val="6A844ADF"/>
    <w:rsid w:val="6A865F51"/>
    <w:rsid w:val="6B0B1A2E"/>
    <w:rsid w:val="6B1235B7"/>
    <w:rsid w:val="6B9F60AC"/>
    <w:rsid w:val="6BA350A4"/>
    <w:rsid w:val="6BAA4A2F"/>
    <w:rsid w:val="6BFA38B5"/>
    <w:rsid w:val="6C0079BC"/>
    <w:rsid w:val="6C0A3B4F"/>
    <w:rsid w:val="6C254067"/>
    <w:rsid w:val="6C3426E1"/>
    <w:rsid w:val="6C352415"/>
    <w:rsid w:val="6C7A1884"/>
    <w:rsid w:val="6D0A6F75"/>
    <w:rsid w:val="6D276982"/>
    <w:rsid w:val="6D2E4BAB"/>
    <w:rsid w:val="6D4A44DB"/>
    <w:rsid w:val="6D63623C"/>
    <w:rsid w:val="6D853006"/>
    <w:rsid w:val="6DA944F5"/>
    <w:rsid w:val="6DEB7F47"/>
    <w:rsid w:val="6E123F24"/>
    <w:rsid w:val="6E3B72E7"/>
    <w:rsid w:val="6E5C02CB"/>
    <w:rsid w:val="6E680DA5"/>
    <w:rsid w:val="6E804558"/>
    <w:rsid w:val="6EA0288E"/>
    <w:rsid w:val="6EE509F4"/>
    <w:rsid w:val="6EFC51A7"/>
    <w:rsid w:val="6F023405"/>
    <w:rsid w:val="6F0B13DB"/>
    <w:rsid w:val="6F25039A"/>
    <w:rsid w:val="6F6D675F"/>
    <w:rsid w:val="6FA8783E"/>
    <w:rsid w:val="6FBC2EB1"/>
    <w:rsid w:val="701A0A00"/>
    <w:rsid w:val="70623166"/>
    <w:rsid w:val="70714D08"/>
    <w:rsid w:val="7073020B"/>
    <w:rsid w:val="709C35CE"/>
    <w:rsid w:val="70D127A3"/>
    <w:rsid w:val="70F86AD9"/>
    <w:rsid w:val="71032079"/>
    <w:rsid w:val="713F2DD7"/>
    <w:rsid w:val="71936767"/>
    <w:rsid w:val="720F35F2"/>
    <w:rsid w:val="72100F31"/>
    <w:rsid w:val="72287D95"/>
    <w:rsid w:val="72304FDF"/>
    <w:rsid w:val="72434C03"/>
    <w:rsid w:val="7247717D"/>
    <w:rsid w:val="729926C8"/>
    <w:rsid w:val="73096F4B"/>
    <w:rsid w:val="73131A58"/>
    <w:rsid w:val="7317045F"/>
    <w:rsid w:val="732D5E85"/>
    <w:rsid w:val="7332230D"/>
    <w:rsid w:val="733D42E3"/>
    <w:rsid w:val="737230F7"/>
    <w:rsid w:val="73854316"/>
    <w:rsid w:val="73A57DF9"/>
    <w:rsid w:val="73A744CA"/>
    <w:rsid w:val="73CC19D5"/>
    <w:rsid w:val="741A7D2C"/>
    <w:rsid w:val="74570FAF"/>
    <w:rsid w:val="74694588"/>
    <w:rsid w:val="746C550D"/>
    <w:rsid w:val="74AF2AFE"/>
    <w:rsid w:val="74E146D2"/>
    <w:rsid w:val="74F86B15"/>
    <w:rsid w:val="753B48E1"/>
    <w:rsid w:val="75482448"/>
    <w:rsid w:val="756A3232"/>
    <w:rsid w:val="75745DF5"/>
    <w:rsid w:val="75895CE5"/>
    <w:rsid w:val="759901A2"/>
    <w:rsid w:val="759F2407"/>
    <w:rsid w:val="75D02BD6"/>
    <w:rsid w:val="75E15270"/>
    <w:rsid w:val="76116EC2"/>
    <w:rsid w:val="76325B80"/>
    <w:rsid w:val="766A4FD3"/>
    <w:rsid w:val="76B72ED4"/>
    <w:rsid w:val="76CF4CF7"/>
    <w:rsid w:val="76F00D88"/>
    <w:rsid w:val="771928DB"/>
    <w:rsid w:val="771C067A"/>
    <w:rsid w:val="772A6AEC"/>
    <w:rsid w:val="77693C0F"/>
    <w:rsid w:val="77695CCA"/>
    <w:rsid w:val="776C5E7A"/>
    <w:rsid w:val="779415BD"/>
    <w:rsid w:val="779C0BC8"/>
    <w:rsid w:val="779C4C9B"/>
    <w:rsid w:val="77C2468B"/>
    <w:rsid w:val="78065D2A"/>
    <w:rsid w:val="7855167B"/>
    <w:rsid w:val="78A92755"/>
    <w:rsid w:val="78B9366E"/>
    <w:rsid w:val="78BC17CD"/>
    <w:rsid w:val="78D366C6"/>
    <w:rsid w:val="790B20A3"/>
    <w:rsid w:val="796C47DC"/>
    <w:rsid w:val="79B934C1"/>
    <w:rsid w:val="79DF2C7C"/>
    <w:rsid w:val="79E47779"/>
    <w:rsid w:val="79F57AA2"/>
    <w:rsid w:val="7A1F66E8"/>
    <w:rsid w:val="7A4C3D34"/>
    <w:rsid w:val="7A7D4CC5"/>
    <w:rsid w:val="7A8F7CA1"/>
    <w:rsid w:val="7A9D68D8"/>
    <w:rsid w:val="7ACD1D04"/>
    <w:rsid w:val="7AE67D87"/>
    <w:rsid w:val="7B3A48B6"/>
    <w:rsid w:val="7B6E2211"/>
    <w:rsid w:val="7B8472B4"/>
    <w:rsid w:val="7BC80470"/>
    <w:rsid w:val="7BE0484E"/>
    <w:rsid w:val="7C081A8C"/>
    <w:rsid w:val="7C0F40E4"/>
    <w:rsid w:val="7C153320"/>
    <w:rsid w:val="7C312C50"/>
    <w:rsid w:val="7C92278E"/>
    <w:rsid w:val="7C970076"/>
    <w:rsid w:val="7CD32459"/>
    <w:rsid w:val="7CDE07EA"/>
    <w:rsid w:val="7CF22D0E"/>
    <w:rsid w:val="7D0C0035"/>
    <w:rsid w:val="7D99311C"/>
    <w:rsid w:val="7D9E7791"/>
    <w:rsid w:val="7DA22244"/>
    <w:rsid w:val="7DC50AE8"/>
    <w:rsid w:val="7DCE3976"/>
    <w:rsid w:val="7E0B59D9"/>
    <w:rsid w:val="7E4C3A0F"/>
    <w:rsid w:val="7E4C3A98"/>
    <w:rsid w:val="7E4C4244"/>
    <w:rsid w:val="7E9E07CB"/>
    <w:rsid w:val="7EBF5509"/>
    <w:rsid w:val="7EC9380E"/>
    <w:rsid w:val="7EDD5D31"/>
    <w:rsid w:val="7EE50E2A"/>
    <w:rsid w:val="7F23352A"/>
    <w:rsid w:val="7F63232A"/>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NO"/>
    <w:basedOn w:val="1"/>
    <w:qFormat/>
    <w:uiPriority w:val="0"/>
    <w:pPr>
      <w:keepLines/>
      <w:ind w:left="1135" w:hanging="851"/>
    </w:pPr>
  </w:style>
  <w:style w:type="character" w:customStyle="1" w:styleId="62">
    <w:name w:val="normaltextrun"/>
    <w:basedOn w:val="1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2024-04-08T12:13:25Z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