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D93EC" w14:textId="64821469" w:rsidR="00580DC0" w:rsidRPr="00CE0424" w:rsidRDefault="00580DC0" w:rsidP="00580DC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110bis</w:t>
      </w:r>
      <w:r w:rsidRPr="00CE0424">
        <w:tab/>
      </w:r>
      <w:r w:rsidR="006159B4" w:rsidRPr="006159B4">
        <w:rPr>
          <w:sz w:val="32"/>
          <w:szCs w:val="32"/>
        </w:rPr>
        <w:t>R4-240498</w:t>
      </w:r>
      <w:r w:rsidR="006159B4">
        <w:rPr>
          <w:sz w:val="32"/>
          <w:szCs w:val="32"/>
        </w:rPr>
        <w:t>1</w:t>
      </w:r>
    </w:p>
    <w:p w14:paraId="5F6081CD" w14:textId="77777777" w:rsidR="00580DC0" w:rsidRPr="00CE0424" w:rsidRDefault="00580DC0" w:rsidP="00580DC0">
      <w:pPr>
        <w:pStyle w:val="3GPPHeader"/>
      </w:pPr>
      <w:r>
        <w:t>Changsha</w:t>
      </w:r>
      <w:r w:rsidRPr="00A82108">
        <w:t xml:space="preserve">, China, </w:t>
      </w:r>
      <w:r>
        <w:t>April</w:t>
      </w:r>
      <w:r w:rsidRPr="00A82108">
        <w:t xml:space="preserve"> </w:t>
      </w:r>
      <w:r>
        <w:t>15</w:t>
      </w:r>
      <w:r w:rsidRPr="00A82108">
        <w:t>th – 1</w:t>
      </w:r>
      <w:r>
        <w:t>9</w:t>
      </w:r>
      <w:r w:rsidRPr="00A82108">
        <w:t>th 202</w:t>
      </w:r>
      <w:r>
        <w:t>4</w:t>
      </w:r>
    </w:p>
    <w:p w14:paraId="146070BD" w14:textId="77777777" w:rsidR="00580DC0" w:rsidRPr="00CE0424" w:rsidRDefault="00580DC0" w:rsidP="00580DC0">
      <w:pPr>
        <w:pStyle w:val="3GPPHeader"/>
      </w:pPr>
    </w:p>
    <w:p w14:paraId="59379417" w14:textId="77777777" w:rsidR="00580DC0" w:rsidRPr="00D848DF" w:rsidRDefault="00580DC0" w:rsidP="00580DC0">
      <w:pPr>
        <w:pStyle w:val="3GPPHeader"/>
        <w:rPr>
          <w:sz w:val="22"/>
        </w:rPr>
      </w:pPr>
      <w:r w:rsidRPr="00D848DF">
        <w:rPr>
          <w:sz w:val="22"/>
        </w:rPr>
        <w:t>Agenda Item:</w:t>
      </w:r>
      <w:r>
        <w:tab/>
      </w:r>
      <w:r w:rsidRPr="00D848DF">
        <w:rPr>
          <w:sz w:val="22"/>
        </w:rPr>
        <w:t>9.12.1</w:t>
      </w:r>
    </w:p>
    <w:p w14:paraId="4439233A" w14:textId="77777777" w:rsidR="00580DC0" w:rsidRPr="00CE0424" w:rsidRDefault="00580DC0" w:rsidP="00580DC0">
      <w:pPr>
        <w:pStyle w:val="3GPPHeader"/>
        <w:rPr>
          <w:sz w:val="22"/>
        </w:rPr>
      </w:pPr>
      <w:r>
        <w:rPr>
          <w:sz w:val="22"/>
        </w:rPr>
        <w:t>Source:</w:t>
      </w:r>
      <w:r>
        <w:tab/>
      </w:r>
      <w:r w:rsidRPr="00CE0424">
        <w:rPr>
          <w:sz w:val="22"/>
        </w:rPr>
        <w:t>Ericsson</w:t>
      </w:r>
    </w:p>
    <w:p w14:paraId="5F093EFC" w14:textId="77777777" w:rsidR="00580DC0" w:rsidRPr="00CE0424" w:rsidRDefault="00580DC0" w:rsidP="00580DC0">
      <w:pPr>
        <w:pStyle w:val="3GPPHeader"/>
        <w:rPr>
          <w:sz w:val="22"/>
        </w:rPr>
      </w:pPr>
      <w:r>
        <w:rPr>
          <w:sz w:val="22"/>
        </w:rPr>
        <w:t>Title:</w:t>
      </w:r>
      <w:r>
        <w:tab/>
      </w:r>
      <w:r>
        <w:rPr>
          <w:sz w:val="22"/>
        </w:rPr>
        <w:t>Discussion on SBFD general aspects</w:t>
      </w:r>
    </w:p>
    <w:p w14:paraId="00C23E5D" w14:textId="4B8C4E1A" w:rsidR="00580DC0" w:rsidRPr="00CE0424" w:rsidRDefault="00580DC0" w:rsidP="38B20B20">
      <w:pPr>
        <w:pStyle w:val="3GPPHeader"/>
        <w:rPr>
          <w:sz w:val="22"/>
        </w:rPr>
      </w:pPr>
      <w:r w:rsidRPr="38B20B20">
        <w:rPr>
          <w:sz w:val="22"/>
        </w:rPr>
        <w:t>Document for:</w:t>
      </w:r>
      <w:r>
        <w:tab/>
      </w:r>
      <w:r w:rsidR="287ADF4E" w:rsidRPr="38B20B20">
        <w:rPr>
          <w:sz w:val="22"/>
        </w:rPr>
        <w:t>Approval</w:t>
      </w:r>
    </w:p>
    <w:p w14:paraId="6B2D159E" w14:textId="77777777" w:rsidR="00FE276B" w:rsidRPr="006F6F55" w:rsidRDefault="00FE276B" w:rsidP="00090A7C">
      <w:pPr>
        <w:jc w:val="both"/>
        <w:rPr>
          <w:rFonts w:cs="Arial"/>
        </w:rPr>
      </w:pPr>
    </w:p>
    <w:p w14:paraId="3BA35139" w14:textId="77777777" w:rsidR="00FE276B" w:rsidRPr="006F6F55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6F6F55" w:rsidSect="00F77806">
          <w:headerReference w:type="even" r:id="rId13"/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6F6F55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6F6F55">
        <w:rPr>
          <w:rFonts w:cs="Arial"/>
        </w:rPr>
        <w:t>1</w:t>
      </w:r>
      <w:r w:rsidRPr="006F6F55">
        <w:rPr>
          <w:rFonts w:cs="Arial"/>
        </w:rPr>
        <w:tab/>
        <w:t>Introduction</w:t>
      </w:r>
    </w:p>
    <w:bookmarkEnd w:id="0"/>
    <w:p w14:paraId="1877A9EE" w14:textId="1467820A" w:rsidR="00A26C53" w:rsidRPr="00AD11EE" w:rsidRDefault="001039D9" w:rsidP="006F6F55">
      <w:pPr>
        <w:pStyle w:val="BodyText"/>
      </w:pPr>
      <w:r>
        <w:rPr>
          <w:rFonts w:cs="Arial"/>
        </w:rPr>
        <w:br/>
      </w:r>
      <w:r w:rsidR="00AD11EE">
        <w:t>In this contribution, we present our views and proposals on the following general aspects of requirements for SBFD capable BS. A comprehensive analysis of each SBFD BS RF requirement is detailed in a separate submission [1].</w:t>
      </w:r>
    </w:p>
    <w:p w14:paraId="591E4232" w14:textId="737EE4FD" w:rsidR="00917CA4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6F6F55">
        <w:rPr>
          <w:rFonts w:cs="Arial"/>
        </w:rPr>
        <w:t>2</w:t>
      </w:r>
      <w:r w:rsidRPr="006F6F55">
        <w:rPr>
          <w:rFonts w:cs="Arial"/>
        </w:rPr>
        <w:tab/>
      </w:r>
      <w:bookmarkStart w:id="2" w:name="_In-sequence_SDU_delivery"/>
      <w:bookmarkEnd w:id="1"/>
      <w:bookmarkEnd w:id="2"/>
      <w:r w:rsidR="0066520E">
        <w:rPr>
          <w:rFonts w:cs="Arial"/>
        </w:rPr>
        <w:t>Discussion</w:t>
      </w:r>
    </w:p>
    <w:p w14:paraId="4824E676" w14:textId="77777777" w:rsidR="00AD11EE" w:rsidRPr="006E429D" w:rsidRDefault="00AD11EE" w:rsidP="00AD11EE">
      <w:pPr>
        <w:spacing w:after="120"/>
        <w:rPr>
          <w:rFonts w:eastAsiaTheme="minorEastAsia"/>
          <w:szCs w:val="20"/>
          <w:u w:val="single"/>
          <w:lang w:eastAsia="zh-CN"/>
        </w:rPr>
      </w:pPr>
      <w:r w:rsidRPr="006E429D">
        <w:rPr>
          <w:szCs w:val="20"/>
          <w:u w:val="single"/>
          <w:lang w:eastAsia="ja-JP"/>
        </w:rPr>
        <w:t>Applicability of requirement</w:t>
      </w:r>
    </w:p>
    <w:p w14:paraId="4AAA05EC" w14:textId="77777777" w:rsidR="00AD11EE" w:rsidRPr="006E429D" w:rsidRDefault="00AD11EE" w:rsidP="00AD11EE">
      <w:pPr>
        <w:spacing w:after="120"/>
        <w:rPr>
          <w:szCs w:val="20"/>
          <w:lang w:eastAsia="ja-JP"/>
        </w:rPr>
      </w:pPr>
      <w:r w:rsidRPr="006E429D">
        <w:rPr>
          <w:szCs w:val="20"/>
          <w:lang w:eastAsia="ja-JP"/>
        </w:rPr>
        <w:t xml:space="preserve">In general, all requirements should apply to </w:t>
      </w:r>
      <w:r>
        <w:rPr>
          <w:szCs w:val="20"/>
          <w:lang w:eastAsia="ja-JP"/>
        </w:rPr>
        <w:t xml:space="preserve">both </w:t>
      </w:r>
      <w:r w:rsidRPr="006E429D">
        <w:rPr>
          <w:szCs w:val="20"/>
          <w:lang w:eastAsia="ja-JP"/>
        </w:rPr>
        <w:t xml:space="preserve">SBFD and non-SBFD. </w:t>
      </w:r>
    </w:p>
    <w:p w14:paraId="77B20C64" w14:textId="6B0F950C" w:rsidR="00AD11EE" w:rsidRPr="006E429D" w:rsidRDefault="00AD11EE" w:rsidP="00AD11EE">
      <w:pPr>
        <w:spacing w:after="120"/>
        <w:rPr>
          <w:lang w:eastAsia="ja-JP"/>
        </w:rPr>
      </w:pPr>
      <w:r w:rsidRPr="38B20B20">
        <w:rPr>
          <w:lang w:eastAsia="ja-JP"/>
        </w:rPr>
        <w:t>Although some requirements might change between SBFD and non-SBFD, it is essential that all requirements should be tested in both SBFD slots and non-SBFD slots</w:t>
      </w:r>
      <w:r w:rsidR="001702C3" w:rsidRPr="38B20B20">
        <w:rPr>
          <w:lang w:eastAsia="ja-JP"/>
        </w:rPr>
        <w:t xml:space="preserve"> except for TDD </w:t>
      </w:r>
      <w:r w:rsidR="00B661FC" w:rsidRPr="38B20B20">
        <w:rPr>
          <w:lang w:eastAsia="ja-JP"/>
        </w:rPr>
        <w:t>ON/</w:t>
      </w:r>
      <w:r w:rsidR="001702C3" w:rsidRPr="38B20B20">
        <w:rPr>
          <w:lang w:eastAsia="ja-JP"/>
        </w:rPr>
        <w:t>OFF power that does not apply in SBFD slots</w:t>
      </w:r>
      <w:r w:rsidRPr="38B20B20">
        <w:rPr>
          <w:lang w:eastAsia="ja-JP"/>
        </w:rPr>
        <w:t xml:space="preserve">. </w:t>
      </w:r>
      <w:r w:rsidR="001C1899">
        <w:t xml:space="preserve">Due to the fact that some transmitter or receiver configurations, such as DPD, PA operating point, </w:t>
      </w:r>
      <w:r w:rsidR="00286C97">
        <w:t>C</w:t>
      </w:r>
      <w:r w:rsidR="00A07403">
        <w:t>FR</w:t>
      </w:r>
      <w:r w:rsidR="00286C97">
        <w:t xml:space="preserve"> and </w:t>
      </w:r>
      <w:r w:rsidR="001C1899">
        <w:t xml:space="preserve">filters etc. may change between SBFD and non-SBFD </w:t>
      </w:r>
      <w:r w:rsidR="7C4B0956">
        <w:t>slots,</w:t>
      </w:r>
      <w:r w:rsidR="001C1899">
        <w:t xml:space="preserve"> it is important to ensure conformance in both types</w:t>
      </w:r>
      <w:r w:rsidR="00777078">
        <w:t xml:space="preserve"> of slots</w:t>
      </w:r>
      <w:r w:rsidR="001C1899">
        <w:t xml:space="preserve">. </w:t>
      </w:r>
      <w:r w:rsidRPr="38B20B20">
        <w:rPr>
          <w:lang w:eastAsia="ja-JP"/>
        </w:rPr>
        <w:t xml:space="preserve">For example, it is permissible to declare different BS output power for </w:t>
      </w:r>
      <w:r w:rsidRPr="38B20B20">
        <w:rPr>
          <w:lang w:eastAsia="zh-CN"/>
        </w:rPr>
        <w:t xml:space="preserve">normal DL and SBFD DL, </w:t>
      </w:r>
      <w:r w:rsidRPr="38B20B20">
        <w:rPr>
          <w:lang w:eastAsia="ja-JP"/>
        </w:rPr>
        <w:t xml:space="preserve">while accuracy requirements should remain the same for both, i.e., output power and accuracy requirements on both </w:t>
      </w:r>
      <w:r>
        <w:t>SBFD slots and non-SBFD slots are applicable and should be tested.</w:t>
      </w:r>
    </w:p>
    <w:p w14:paraId="04925A7C" w14:textId="77777777" w:rsidR="00AD11EE" w:rsidRPr="00AD11EE" w:rsidRDefault="00AD11EE" w:rsidP="00AD11EE">
      <w:pPr>
        <w:pStyle w:val="Observation"/>
        <w:ind w:left="1701" w:hanging="1701"/>
      </w:pPr>
      <w:bookmarkStart w:id="3" w:name="_Toc163120168"/>
      <w:r w:rsidRPr="00AD11EE">
        <w:t>Requirements in general need to be consistently applied and thoroughly tested in both SBFD slots and non-SBFD slots.</w:t>
      </w:r>
      <w:bookmarkEnd w:id="3"/>
    </w:p>
    <w:p w14:paraId="7DA5E7C9" w14:textId="77777777" w:rsidR="00AD11EE" w:rsidRDefault="00AD11EE" w:rsidP="00AD11EE">
      <w:pPr>
        <w:spacing w:after="120"/>
        <w:rPr>
          <w:szCs w:val="20"/>
          <w:u w:val="single"/>
          <w:lang w:eastAsia="ja-JP"/>
        </w:rPr>
      </w:pPr>
    </w:p>
    <w:p w14:paraId="60BA18AE" w14:textId="77777777" w:rsidR="00AD11EE" w:rsidRPr="006E429D" w:rsidRDefault="00AD11EE" w:rsidP="00AD11EE">
      <w:pPr>
        <w:spacing w:after="120"/>
        <w:rPr>
          <w:szCs w:val="20"/>
          <w:u w:val="single"/>
          <w:lang w:eastAsia="ja-JP"/>
        </w:rPr>
      </w:pPr>
      <w:r w:rsidRPr="006E429D">
        <w:rPr>
          <w:szCs w:val="20"/>
          <w:u w:val="single"/>
          <w:lang w:eastAsia="ja-JP"/>
        </w:rPr>
        <w:t>Simulation work</w:t>
      </w:r>
    </w:p>
    <w:p w14:paraId="5E51C56B" w14:textId="77777777" w:rsidR="00AD11EE" w:rsidRDefault="00AD11EE" w:rsidP="00AD11EE">
      <w:pPr>
        <w:spacing w:after="120"/>
        <w:rPr>
          <w:szCs w:val="20"/>
          <w:lang w:eastAsia="ja-JP"/>
        </w:rPr>
      </w:pPr>
      <w:r w:rsidRPr="006E429D">
        <w:rPr>
          <w:szCs w:val="20"/>
          <w:lang w:eastAsia="ja-JP"/>
        </w:rPr>
        <w:t xml:space="preserve">Overall, there are three categories of requirements, i.e., BS TX requirements, BS RX requirements, new requirements for SBFD operation. The simulation work </w:t>
      </w:r>
      <w:r>
        <w:rPr>
          <w:szCs w:val="20"/>
          <w:lang w:eastAsia="ja-JP"/>
        </w:rPr>
        <w:t xml:space="preserve">conducted </w:t>
      </w:r>
      <w:r w:rsidRPr="006E429D">
        <w:rPr>
          <w:szCs w:val="20"/>
          <w:lang w:eastAsia="ja-JP"/>
        </w:rPr>
        <w:t xml:space="preserve">in the SI </w:t>
      </w:r>
      <w:r>
        <w:rPr>
          <w:szCs w:val="20"/>
          <w:lang w:eastAsia="ja-JP"/>
        </w:rPr>
        <w:t xml:space="preserve">sufficiently addressed </w:t>
      </w:r>
      <w:r w:rsidRPr="006E429D">
        <w:rPr>
          <w:szCs w:val="20"/>
          <w:lang w:eastAsia="ja-JP"/>
        </w:rPr>
        <w:t>most of the</w:t>
      </w:r>
      <w:r>
        <w:rPr>
          <w:szCs w:val="20"/>
          <w:lang w:eastAsia="ja-JP"/>
        </w:rPr>
        <w:t>se</w:t>
      </w:r>
      <w:r w:rsidRPr="006E429D">
        <w:rPr>
          <w:szCs w:val="20"/>
          <w:lang w:eastAsia="ja-JP"/>
        </w:rPr>
        <w:t xml:space="preserve"> requirements</w:t>
      </w:r>
      <w:r>
        <w:rPr>
          <w:szCs w:val="20"/>
          <w:lang w:eastAsia="ja-JP"/>
        </w:rPr>
        <w:t>. However</w:t>
      </w:r>
      <w:r w:rsidRPr="006E429D">
        <w:rPr>
          <w:szCs w:val="20"/>
          <w:lang w:eastAsia="ja-JP"/>
        </w:rPr>
        <w:t xml:space="preserve">, </w:t>
      </w:r>
      <w:r w:rsidRPr="00D82F04">
        <w:rPr>
          <w:szCs w:val="20"/>
          <w:lang w:eastAsia="ja-JP"/>
        </w:rPr>
        <w:t>further simulation work is required for the RX in-band blocking requirement</w:t>
      </w:r>
      <w:r>
        <w:rPr>
          <w:szCs w:val="20"/>
          <w:lang w:eastAsia="ja-JP"/>
        </w:rPr>
        <w:t>s.</w:t>
      </w:r>
    </w:p>
    <w:p w14:paraId="020F7D88" w14:textId="540B2D64" w:rsidR="00AD11EE" w:rsidRPr="002071A8" w:rsidRDefault="00AD11EE" w:rsidP="00AD11EE">
      <w:pPr>
        <w:spacing w:after="120"/>
        <w:rPr>
          <w:szCs w:val="20"/>
          <w:lang w:eastAsia="ja-JP"/>
        </w:rPr>
      </w:pPr>
      <w:r>
        <w:rPr>
          <w:szCs w:val="20"/>
          <w:lang w:eastAsia="ja-JP"/>
        </w:rPr>
        <w:t xml:space="preserve">In-band </w:t>
      </w:r>
      <w:r w:rsidRPr="00290539">
        <w:rPr>
          <w:szCs w:val="20"/>
          <w:lang w:eastAsia="ja-JP"/>
        </w:rPr>
        <w:t>b</w:t>
      </w:r>
      <w:r w:rsidRPr="002071A8">
        <w:rPr>
          <w:szCs w:val="20"/>
          <w:lang w:eastAsia="ja-JP"/>
        </w:rPr>
        <w:t>locking requirements are designed for uplink operation</w:t>
      </w:r>
      <w:r w:rsidRPr="002F384A">
        <w:rPr>
          <w:szCs w:val="20"/>
          <w:lang w:eastAsia="ja-JP"/>
        </w:rPr>
        <w:t>,</w:t>
      </w:r>
      <w:r w:rsidRPr="002071A8">
        <w:rPr>
          <w:szCs w:val="20"/>
          <w:lang w:eastAsia="ja-JP"/>
        </w:rPr>
        <w:t xml:space="preserve"> where the blocking transmitters are </w:t>
      </w:r>
      <w:r w:rsidR="00B82DA4">
        <w:rPr>
          <w:szCs w:val="20"/>
          <w:lang w:eastAsia="ja-JP"/>
        </w:rPr>
        <w:t xml:space="preserve">the </w:t>
      </w:r>
      <w:r w:rsidRPr="002071A8">
        <w:rPr>
          <w:szCs w:val="20"/>
          <w:lang w:eastAsia="ja-JP"/>
        </w:rPr>
        <w:t xml:space="preserve">UEs. </w:t>
      </w:r>
      <w:r w:rsidRPr="005B1AC4">
        <w:rPr>
          <w:szCs w:val="20"/>
          <w:lang w:eastAsia="ja-JP"/>
        </w:rPr>
        <w:t>Ho</w:t>
      </w:r>
      <w:r>
        <w:rPr>
          <w:szCs w:val="20"/>
          <w:lang w:eastAsia="ja-JP"/>
        </w:rPr>
        <w:t xml:space="preserve">wever, </w:t>
      </w:r>
      <w:r w:rsidRPr="005B1AC4">
        <w:rPr>
          <w:szCs w:val="20"/>
          <w:lang w:eastAsia="ja-JP"/>
        </w:rPr>
        <w:t>i</w:t>
      </w:r>
      <w:r w:rsidRPr="002071A8">
        <w:rPr>
          <w:szCs w:val="20"/>
          <w:lang w:eastAsia="ja-JP"/>
        </w:rPr>
        <w:t>n SBFD slots</w:t>
      </w:r>
      <w:r w:rsidRPr="007204EB">
        <w:rPr>
          <w:szCs w:val="20"/>
          <w:lang w:eastAsia="ja-JP"/>
        </w:rPr>
        <w:t xml:space="preserve">, </w:t>
      </w:r>
      <w:r>
        <w:rPr>
          <w:szCs w:val="20"/>
          <w:lang w:eastAsia="ja-JP"/>
        </w:rPr>
        <w:t>the</w:t>
      </w:r>
      <w:r w:rsidRPr="002071A8">
        <w:rPr>
          <w:szCs w:val="20"/>
          <w:lang w:eastAsia="ja-JP"/>
        </w:rPr>
        <w:t xml:space="preserve"> blocking interferers are other BSs</w:t>
      </w:r>
      <w:r w:rsidRPr="000F4E86">
        <w:rPr>
          <w:szCs w:val="20"/>
          <w:lang w:eastAsia="ja-JP"/>
        </w:rPr>
        <w:t xml:space="preserve"> </w:t>
      </w:r>
      <w:r>
        <w:rPr>
          <w:szCs w:val="20"/>
          <w:lang w:eastAsia="ja-JP"/>
        </w:rPr>
        <w:t>instead of UEs</w:t>
      </w:r>
      <w:r w:rsidRPr="002071A8">
        <w:rPr>
          <w:szCs w:val="20"/>
          <w:lang w:eastAsia="ja-JP"/>
        </w:rPr>
        <w:t xml:space="preserve">. </w:t>
      </w:r>
      <w:r>
        <w:rPr>
          <w:szCs w:val="20"/>
          <w:lang w:eastAsia="ja-JP"/>
        </w:rPr>
        <w:t>Consequently</w:t>
      </w:r>
      <w:r w:rsidRPr="002071A8">
        <w:rPr>
          <w:szCs w:val="20"/>
          <w:lang w:eastAsia="ja-JP"/>
        </w:rPr>
        <w:t>, the RX blocking requirement is based on signal levels from the DL of other operators</w:t>
      </w:r>
      <w:r w:rsidRPr="002F384A">
        <w:rPr>
          <w:szCs w:val="20"/>
          <w:lang w:eastAsia="ja-JP"/>
        </w:rPr>
        <w:t>’</w:t>
      </w:r>
      <w:r w:rsidRPr="002071A8">
        <w:rPr>
          <w:szCs w:val="20"/>
          <w:lang w:eastAsia="ja-JP"/>
        </w:rPr>
        <w:t xml:space="preserve"> BS</w:t>
      </w:r>
      <w:r w:rsidRPr="002F384A">
        <w:rPr>
          <w:szCs w:val="20"/>
          <w:lang w:eastAsia="ja-JP"/>
        </w:rPr>
        <w:t>s</w:t>
      </w:r>
      <w:r w:rsidRPr="002071A8">
        <w:rPr>
          <w:szCs w:val="20"/>
          <w:lang w:eastAsia="ja-JP"/>
        </w:rPr>
        <w:t xml:space="preserve">. </w:t>
      </w:r>
      <w:r>
        <w:rPr>
          <w:szCs w:val="20"/>
          <w:lang w:eastAsia="ja-JP"/>
        </w:rPr>
        <w:t>Additional</w:t>
      </w:r>
      <w:r w:rsidRPr="002071A8">
        <w:rPr>
          <w:szCs w:val="20"/>
          <w:lang w:eastAsia="ja-JP"/>
        </w:rPr>
        <w:t xml:space="preserve"> </w:t>
      </w:r>
      <w:r w:rsidRPr="00D15F4C">
        <w:rPr>
          <w:szCs w:val="20"/>
          <w:lang w:eastAsia="ja-JP"/>
        </w:rPr>
        <w:t>si</w:t>
      </w:r>
      <w:r>
        <w:rPr>
          <w:szCs w:val="20"/>
          <w:lang w:eastAsia="ja-JP"/>
        </w:rPr>
        <w:t>mulation</w:t>
      </w:r>
      <w:r w:rsidRPr="002071A8">
        <w:rPr>
          <w:szCs w:val="20"/>
          <w:lang w:eastAsia="ja-JP"/>
        </w:rPr>
        <w:t xml:space="preserve"> is </w:t>
      </w:r>
      <w:r w:rsidRPr="006E6D41">
        <w:rPr>
          <w:szCs w:val="20"/>
          <w:lang w:eastAsia="ja-JP"/>
        </w:rPr>
        <w:t xml:space="preserve">necessary </w:t>
      </w:r>
      <w:r w:rsidRPr="002071A8">
        <w:rPr>
          <w:szCs w:val="20"/>
          <w:lang w:eastAsia="ja-JP"/>
        </w:rPr>
        <w:t>to determine the expected blocker levels due to other operator</w:t>
      </w:r>
      <w:r w:rsidRPr="00A905AE">
        <w:rPr>
          <w:szCs w:val="20"/>
          <w:lang w:eastAsia="ja-JP"/>
        </w:rPr>
        <w:t>s</w:t>
      </w:r>
      <w:r>
        <w:rPr>
          <w:szCs w:val="20"/>
          <w:lang w:eastAsia="ja-JP"/>
        </w:rPr>
        <w:t xml:space="preserve">’ </w:t>
      </w:r>
      <w:r w:rsidRPr="002071A8">
        <w:rPr>
          <w:szCs w:val="20"/>
          <w:lang w:eastAsia="ja-JP"/>
        </w:rPr>
        <w:t>BS</w:t>
      </w:r>
      <w:r w:rsidRPr="00A905AE">
        <w:rPr>
          <w:szCs w:val="20"/>
          <w:lang w:eastAsia="ja-JP"/>
        </w:rPr>
        <w:t>s</w:t>
      </w:r>
      <w:r w:rsidRPr="002071A8">
        <w:rPr>
          <w:szCs w:val="20"/>
          <w:lang w:eastAsia="ja-JP"/>
        </w:rPr>
        <w:t xml:space="preserve"> during SBFD slots</w:t>
      </w:r>
      <w:r w:rsidRPr="003A7B8D">
        <w:rPr>
          <w:szCs w:val="20"/>
          <w:lang w:eastAsia="ja-JP"/>
        </w:rPr>
        <w:t xml:space="preserve"> </w:t>
      </w:r>
      <w:r>
        <w:rPr>
          <w:szCs w:val="20"/>
          <w:lang w:eastAsia="ja-JP"/>
        </w:rPr>
        <w:t>and to define</w:t>
      </w:r>
      <w:r w:rsidRPr="002071A8">
        <w:rPr>
          <w:szCs w:val="20"/>
          <w:lang w:eastAsia="ja-JP"/>
        </w:rPr>
        <w:t xml:space="preserve"> the SBFD RX blocking requirement.</w:t>
      </w:r>
    </w:p>
    <w:p w14:paraId="274F6DD9" w14:textId="77777777" w:rsidR="00AD11EE" w:rsidRPr="006E429D" w:rsidRDefault="00AD11EE" w:rsidP="00AD11EE">
      <w:pPr>
        <w:pStyle w:val="Observation"/>
        <w:ind w:left="1701" w:hanging="1701"/>
      </w:pPr>
      <w:bookmarkStart w:id="4" w:name="_Toc163120169"/>
      <w:r w:rsidRPr="096D65A0">
        <w:t>Further simulation is necessary to determine the expected blocker levels due to other operators’ BSs during SBFD slots and to define the SBFD RX blocking requirement during the WI phase.</w:t>
      </w:r>
      <w:bookmarkEnd w:id="4"/>
    </w:p>
    <w:p w14:paraId="2D35F474" w14:textId="77777777" w:rsidR="00AD11EE" w:rsidRDefault="00AD11EE" w:rsidP="00AD11EE">
      <w:pPr>
        <w:spacing w:after="120"/>
        <w:rPr>
          <w:szCs w:val="20"/>
          <w:u w:val="single"/>
          <w:lang w:eastAsia="ja-JP"/>
        </w:rPr>
      </w:pPr>
    </w:p>
    <w:p w14:paraId="09EFCFB9" w14:textId="77777777" w:rsidR="00AD11EE" w:rsidRPr="006E429D" w:rsidRDefault="00AD11EE" w:rsidP="00AD11EE">
      <w:pPr>
        <w:spacing w:after="120"/>
        <w:rPr>
          <w:szCs w:val="20"/>
          <w:lang w:val="en-GB" w:eastAsia="ja-JP"/>
        </w:rPr>
      </w:pPr>
      <w:r w:rsidRPr="006E429D">
        <w:rPr>
          <w:szCs w:val="20"/>
          <w:u w:val="single"/>
          <w:lang w:eastAsia="ja-JP"/>
        </w:rPr>
        <w:lastRenderedPageBreak/>
        <w:t>SBFD sub-band configuration</w:t>
      </w:r>
    </w:p>
    <w:p w14:paraId="5000ADEB" w14:textId="0E4BE1C1" w:rsidR="00AD11EE" w:rsidRDefault="00AD11EE" w:rsidP="38B20B20">
      <w:pPr>
        <w:spacing w:after="120"/>
        <w:rPr>
          <w:lang w:eastAsia="ja-JP"/>
        </w:rPr>
      </w:pPr>
      <w:r w:rsidRPr="38B20B20">
        <w:rPr>
          <w:lang w:eastAsia="ja-JP"/>
        </w:rPr>
        <w:t xml:space="preserve">During the SI, companies </w:t>
      </w:r>
      <w:r w:rsidR="1E9446FF" w:rsidRPr="38B20B20">
        <w:rPr>
          <w:lang w:eastAsia="ja-JP"/>
        </w:rPr>
        <w:t>agreed</w:t>
      </w:r>
      <w:r w:rsidRPr="38B20B20">
        <w:rPr>
          <w:lang w:eastAsia="ja-JP"/>
        </w:rPr>
        <w:t xml:space="preserve"> to allocate only one carrier for SBFD slot. In practice, RAN4 should define a limited number of SBFD sub-band configurations, as well as a limited set of possible sub-band bandwidths</w:t>
      </w:r>
      <w:r>
        <w:t xml:space="preserve"> </w:t>
      </w:r>
      <w:r w:rsidRPr="38B20B20">
        <w:rPr>
          <w:lang w:eastAsia="ja-JP"/>
        </w:rPr>
        <w:t xml:space="preserve">in the specifications. </w:t>
      </w:r>
    </w:p>
    <w:p w14:paraId="451CF5AD" w14:textId="4BD93875" w:rsidR="00AD11EE" w:rsidRPr="006E429D" w:rsidRDefault="00AD11EE" w:rsidP="00AD11EE">
      <w:pPr>
        <w:spacing w:after="120"/>
        <w:rPr>
          <w:szCs w:val="20"/>
          <w:lang w:eastAsia="ja-JP"/>
        </w:rPr>
      </w:pPr>
      <w:r>
        <w:rPr>
          <w:szCs w:val="20"/>
          <w:lang w:eastAsia="ja-JP"/>
        </w:rPr>
        <w:t>For example, i</w:t>
      </w:r>
      <w:r w:rsidRPr="006E429D">
        <w:rPr>
          <w:szCs w:val="20"/>
          <w:lang w:eastAsia="ja-JP"/>
        </w:rPr>
        <w:t>n TS 38.104</w:t>
      </w:r>
      <w:r>
        <w:rPr>
          <w:szCs w:val="20"/>
          <w:lang w:eastAsia="ja-JP"/>
        </w:rPr>
        <w:t>,</w:t>
      </w:r>
      <w:r w:rsidRPr="006E429D">
        <w:rPr>
          <w:szCs w:val="20"/>
          <w:lang w:eastAsia="ja-JP"/>
        </w:rPr>
        <w:t xml:space="preserve"> there are dedicated tables of BS channel bandwidth, guard</w:t>
      </w:r>
      <w:r w:rsidR="00B82DA4">
        <w:rPr>
          <w:szCs w:val="20"/>
          <w:lang w:eastAsia="ja-JP"/>
        </w:rPr>
        <w:t xml:space="preserve"> </w:t>
      </w:r>
      <w:r w:rsidRPr="006E429D">
        <w:rPr>
          <w:szCs w:val="20"/>
          <w:lang w:eastAsia="ja-JP"/>
        </w:rPr>
        <w:t>band and transmission bandwidth configuration. Similar tables of a certain limited number of different possibilities for the sub-band sizes are needed for SBFD slot formats.</w:t>
      </w:r>
    </w:p>
    <w:p w14:paraId="0309B782" w14:textId="77777777" w:rsidR="00AD11EE" w:rsidRPr="00AD11EE" w:rsidRDefault="00AD11EE" w:rsidP="00AD11EE">
      <w:pPr>
        <w:pStyle w:val="Observation"/>
        <w:ind w:left="1701" w:hanging="1701"/>
      </w:pPr>
      <w:bookmarkStart w:id="5" w:name="_Toc163120170"/>
      <w:r w:rsidRPr="00AD11EE">
        <w:t>Capture a limited set of sub-bands, bandwidth possibilities in the same way as channel bandwidths and transmission bandwidth configurations are captured.</w:t>
      </w:r>
      <w:bookmarkEnd w:id="5"/>
    </w:p>
    <w:p w14:paraId="26D1988C" w14:textId="77777777" w:rsidR="00AD11EE" w:rsidRDefault="00AD11EE" w:rsidP="00AD11EE">
      <w:pPr>
        <w:spacing w:after="120"/>
        <w:rPr>
          <w:szCs w:val="20"/>
          <w:u w:val="single"/>
          <w:lang w:eastAsia="ja-JP"/>
        </w:rPr>
      </w:pPr>
    </w:p>
    <w:p w14:paraId="51D5EDAE" w14:textId="77777777" w:rsidR="00AD11EE" w:rsidRPr="006E429D" w:rsidRDefault="00AD11EE" w:rsidP="00AD11EE">
      <w:pPr>
        <w:spacing w:after="120"/>
        <w:rPr>
          <w:szCs w:val="20"/>
          <w:lang w:val="en-GB" w:eastAsia="ja-JP"/>
        </w:rPr>
      </w:pPr>
      <w:r w:rsidRPr="006E429D">
        <w:rPr>
          <w:szCs w:val="20"/>
          <w:u w:val="single"/>
          <w:lang w:eastAsia="ja-JP"/>
        </w:rPr>
        <w:t>Timeline of the WI</w:t>
      </w:r>
    </w:p>
    <w:p w14:paraId="170C0D3F" w14:textId="77777777" w:rsidR="00AD11EE" w:rsidRDefault="00AD11EE" w:rsidP="00AD11EE">
      <w:pPr>
        <w:spacing w:after="120"/>
        <w:rPr>
          <w:lang w:eastAsia="ja-JP"/>
        </w:rPr>
      </w:pPr>
      <w:r w:rsidRPr="127CAB15">
        <w:rPr>
          <w:lang w:eastAsia="ja-JP"/>
        </w:rPr>
        <w:t xml:space="preserve">Requirements for SBFD capable BS cover both core requirements and conformance requirements. </w:t>
      </w:r>
      <w:r>
        <w:t>To ensure smooth progression and timely completion of the WI,</w:t>
      </w:r>
      <w:r w:rsidRPr="127CAB15">
        <w:rPr>
          <w:lang w:eastAsia="ja-JP"/>
        </w:rPr>
        <w:t xml:space="preserve"> it is essential for RAN4 to establish a timeline for the WI, which </w:t>
      </w:r>
      <w:r>
        <w:t>allocates specific deadlines for both core requirements and conformance requirements in the relevant specifications</w:t>
      </w:r>
      <w:r w:rsidRPr="127CAB15">
        <w:rPr>
          <w:lang w:eastAsia="ja-JP"/>
        </w:rPr>
        <w:t>.</w:t>
      </w:r>
    </w:p>
    <w:p w14:paraId="4464E5FB" w14:textId="77777777" w:rsidR="00AD11EE" w:rsidRPr="0066727A" w:rsidRDefault="00AD11EE" w:rsidP="00AD11EE">
      <w:pPr>
        <w:pStyle w:val="Observation"/>
        <w:ind w:left="1701" w:hanging="1701"/>
      </w:pPr>
      <w:bookmarkStart w:id="6" w:name="_Toc163120171"/>
      <w:r w:rsidRPr="096D65A0">
        <w:t>Schedule</w:t>
      </w:r>
      <w:r w:rsidRPr="002A0C01">
        <w:t xml:space="preserve"> </w:t>
      </w:r>
      <w:r>
        <w:t>a structured</w:t>
      </w:r>
      <w:r w:rsidRPr="096D65A0">
        <w:t xml:space="preserve"> timeline for the WI and </w:t>
      </w:r>
      <w:r>
        <w:t xml:space="preserve">allocate clear </w:t>
      </w:r>
      <w:r w:rsidRPr="096D65A0">
        <w:t>deadlines</w:t>
      </w:r>
      <w:r>
        <w:t xml:space="preserve"> for completion of both core requirements and conformance requirements in the relevant specifications</w:t>
      </w:r>
      <w:r w:rsidRPr="096D65A0">
        <w:t>.</w:t>
      </w:r>
      <w:bookmarkEnd w:id="6"/>
    </w:p>
    <w:p w14:paraId="540F46C6" w14:textId="77777777" w:rsidR="001702E0" w:rsidRPr="00AE21F4" w:rsidRDefault="001702E0" w:rsidP="00930A9E">
      <w:pPr>
        <w:pStyle w:val="Observation"/>
        <w:numPr>
          <w:ilvl w:val="0"/>
          <w:numId w:val="0"/>
        </w:numPr>
      </w:pPr>
    </w:p>
    <w:p w14:paraId="04361302" w14:textId="21020560" w:rsidR="00AA7058" w:rsidRPr="00E11990" w:rsidRDefault="00637DA0" w:rsidP="00E11990">
      <w:pPr>
        <w:pStyle w:val="Heading1"/>
        <w:rPr>
          <w:lang w:val="en-US"/>
        </w:rPr>
      </w:pPr>
      <w:r w:rsidRPr="00065EE2">
        <w:rPr>
          <w:lang w:val="en-US"/>
        </w:rPr>
        <w:t>Conclusion</w:t>
      </w:r>
    </w:p>
    <w:p w14:paraId="2F96C24E" w14:textId="7085E11A" w:rsidR="00E11990" w:rsidRPr="00AD11EE" w:rsidRDefault="00AD11EE" w:rsidP="00AD11EE">
      <w:pPr>
        <w:rPr>
          <w:lang w:val="en-GB" w:eastAsia="ja-JP"/>
        </w:rPr>
      </w:pPr>
      <w:r>
        <w:rPr>
          <w:lang w:val="en-GB" w:eastAsia="ja-JP"/>
        </w:rPr>
        <w:t>In this contribution, views, and proposals on general aspects for SBFD WI are presented.</w:t>
      </w:r>
      <w:r w:rsidR="00E11990" w:rsidRPr="00300A24">
        <w:t>:</w:t>
      </w:r>
      <w:r w:rsidR="00E11990" w:rsidRPr="00300A24">
        <w:rPr>
          <w:b/>
          <w:bCs/>
        </w:rPr>
        <w:t xml:space="preserve"> </w:t>
      </w:r>
    </w:p>
    <w:p w14:paraId="6CFF7D7C" w14:textId="250BB001" w:rsidR="00AD11EE" w:rsidRDefault="00E1199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r w:rsidRPr="00300A24">
        <w:rPr>
          <w:b w:val="0"/>
          <w:bCs/>
        </w:rPr>
        <w:fldChar w:fldCharType="begin"/>
      </w:r>
      <w:r w:rsidRPr="00300A24">
        <w:rPr>
          <w:bCs/>
        </w:rPr>
        <w:instrText xml:space="preserve"> TOC \f O \n \h \z \t "Observation" \c </w:instrText>
      </w:r>
      <w:r w:rsidRPr="00300A24">
        <w:rPr>
          <w:b w:val="0"/>
          <w:bCs/>
        </w:rPr>
        <w:fldChar w:fldCharType="separate"/>
      </w:r>
      <w:hyperlink w:anchor="_Toc163120168" w:history="1">
        <w:r w:rsidR="00AD11EE" w:rsidRPr="00DA4AB8">
          <w:rPr>
            <w:rStyle w:val="Hyperlink"/>
            <w:noProof/>
          </w:rPr>
          <w:t>Proposal 1</w:t>
        </w:r>
        <w:r w:rsidR="00AD11E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AD11EE" w:rsidRPr="00DA4AB8">
          <w:rPr>
            <w:rStyle w:val="Hyperlink"/>
            <w:noProof/>
          </w:rPr>
          <w:t>Requirements in general need to be consistently applied and thoroughly tested in both SBFD slots and non-SBFD slots.</w:t>
        </w:r>
      </w:hyperlink>
    </w:p>
    <w:p w14:paraId="207DF76F" w14:textId="618F27B8" w:rsidR="00AD11EE" w:rsidRDefault="00EE70D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63120169" w:history="1">
        <w:r w:rsidR="00AD11EE" w:rsidRPr="00DA4AB8">
          <w:rPr>
            <w:rStyle w:val="Hyperlink"/>
            <w:noProof/>
          </w:rPr>
          <w:t>Proposal 2</w:t>
        </w:r>
        <w:r w:rsidR="00AD11E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AD11EE" w:rsidRPr="00DA4AB8">
          <w:rPr>
            <w:rStyle w:val="Hyperlink"/>
            <w:noProof/>
          </w:rPr>
          <w:t>Further simulation is necessary to determine the expected blocker levels due to other operators’ BSs during SBFD slots and to define the SBFD RX blocking requirement during the WI phase.</w:t>
        </w:r>
      </w:hyperlink>
    </w:p>
    <w:p w14:paraId="1B8A1AB1" w14:textId="5E33C209" w:rsidR="00AD11EE" w:rsidRDefault="00EE70D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63120170" w:history="1">
        <w:r w:rsidR="00AD11EE" w:rsidRPr="00DA4AB8">
          <w:rPr>
            <w:rStyle w:val="Hyperlink"/>
            <w:noProof/>
          </w:rPr>
          <w:t>Proposal 3</w:t>
        </w:r>
        <w:r w:rsidR="00AD11E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AD11EE" w:rsidRPr="00DA4AB8">
          <w:rPr>
            <w:rStyle w:val="Hyperlink"/>
            <w:noProof/>
          </w:rPr>
          <w:t>Capture a limited set of sub-bands, bandwidth possibilities in the same way as channel bandwidths and transmission bandwidth configurations are captured.</w:t>
        </w:r>
      </w:hyperlink>
    </w:p>
    <w:p w14:paraId="1C2EC913" w14:textId="7524A2CA" w:rsidR="00AD11EE" w:rsidRDefault="00EE70D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63120171" w:history="1">
        <w:r w:rsidR="00AD11EE" w:rsidRPr="00DA4AB8">
          <w:rPr>
            <w:rStyle w:val="Hyperlink"/>
            <w:noProof/>
          </w:rPr>
          <w:t>Proposal 4</w:t>
        </w:r>
        <w:r w:rsidR="00AD11EE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AD11EE" w:rsidRPr="00DA4AB8">
          <w:rPr>
            <w:rStyle w:val="Hyperlink"/>
            <w:noProof/>
          </w:rPr>
          <w:t>Schedule a structured timeline for the WI and allocate clear deadlines for completion of both core requirements and conformance requirements in the relevant specifications.</w:t>
        </w:r>
      </w:hyperlink>
    </w:p>
    <w:p w14:paraId="32AF6371" w14:textId="49E4B066" w:rsidR="00637DA0" w:rsidRPr="00E11990" w:rsidRDefault="00E11990" w:rsidP="00E11990">
      <w:pPr>
        <w:pStyle w:val="TableofFigures"/>
      </w:pPr>
      <w:r w:rsidRPr="00300A24">
        <w:rPr>
          <w:b w:val="0"/>
          <w:bCs/>
        </w:rPr>
        <w:fldChar w:fldCharType="end"/>
      </w:r>
    </w:p>
    <w:p w14:paraId="0D86C2E4" w14:textId="77777777" w:rsidR="00637DA0" w:rsidRPr="00300A24" w:rsidRDefault="00637DA0" w:rsidP="00637DA0">
      <w:pPr>
        <w:pStyle w:val="Heading1"/>
        <w:rPr>
          <w:lang w:val="en-US"/>
        </w:rPr>
      </w:pPr>
      <w:r w:rsidRPr="00300A24">
        <w:rPr>
          <w:lang w:val="en-US"/>
        </w:rPr>
        <w:t>References</w:t>
      </w:r>
    </w:p>
    <w:p w14:paraId="11ACD318" w14:textId="7848E9DA" w:rsidR="00637DA0" w:rsidRPr="00AD11EE" w:rsidRDefault="00EE70D2" w:rsidP="00AD11EE">
      <w:pPr>
        <w:pStyle w:val="Reference"/>
        <w:rPr>
          <w:szCs w:val="20"/>
        </w:rPr>
      </w:pPr>
      <w:r w:rsidRPr="00EE70D2">
        <w:t>R4-240498</w:t>
      </w:r>
      <w:r>
        <w:t>2</w:t>
      </w:r>
      <w:r w:rsidR="00483975">
        <w:t xml:space="preserve">, </w:t>
      </w:r>
      <w:r w:rsidR="00AD11EE" w:rsidRPr="2D0022C9">
        <w:rPr>
          <w:sz w:val="22"/>
        </w:rPr>
        <w:t>Impact on SBFD BS RF requirements</w:t>
      </w:r>
      <w:r w:rsidR="00483975">
        <w:t>, Ericsson</w:t>
      </w:r>
    </w:p>
    <w:sectPr w:rsidR="00637DA0" w:rsidRPr="00AD11EE" w:rsidSect="00F77806">
      <w:headerReference w:type="default" r:id="rId16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42A3" w14:textId="77777777" w:rsidR="005F3124" w:rsidRDefault="005F3124">
      <w:pPr>
        <w:spacing w:after="0" w:line="240" w:lineRule="auto"/>
      </w:pPr>
      <w:r>
        <w:separator/>
      </w:r>
    </w:p>
  </w:endnote>
  <w:endnote w:type="continuationSeparator" w:id="0">
    <w:p w14:paraId="5B07F9AD" w14:textId="77777777" w:rsidR="005F3124" w:rsidRDefault="005F3124">
      <w:pPr>
        <w:spacing w:after="0" w:line="240" w:lineRule="auto"/>
      </w:pPr>
      <w:r>
        <w:continuationSeparator/>
      </w:r>
    </w:p>
  </w:endnote>
  <w:endnote w:type="continuationNotice" w:id="1">
    <w:p w14:paraId="5F53829B" w14:textId="77777777" w:rsidR="005F3124" w:rsidRDefault="005F31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8ADC8" w14:textId="77777777" w:rsidR="005F3124" w:rsidRDefault="005F3124">
      <w:pPr>
        <w:spacing w:after="0" w:line="240" w:lineRule="auto"/>
      </w:pPr>
      <w:r>
        <w:separator/>
      </w:r>
    </w:p>
  </w:footnote>
  <w:footnote w:type="continuationSeparator" w:id="0">
    <w:p w14:paraId="5F2ED390" w14:textId="77777777" w:rsidR="005F3124" w:rsidRDefault="005F3124">
      <w:pPr>
        <w:spacing w:after="0" w:line="240" w:lineRule="auto"/>
      </w:pPr>
      <w:r>
        <w:continuationSeparator/>
      </w:r>
    </w:p>
  </w:footnote>
  <w:footnote w:type="continuationNotice" w:id="1">
    <w:p w14:paraId="4DBE077A" w14:textId="77777777" w:rsidR="005F3124" w:rsidRDefault="005F31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8B20B20" w14:paraId="653ECA91" w14:textId="77777777" w:rsidTr="38B20B20">
      <w:trPr>
        <w:trHeight w:val="300"/>
      </w:trPr>
      <w:tc>
        <w:tcPr>
          <w:tcW w:w="3210" w:type="dxa"/>
        </w:tcPr>
        <w:p w14:paraId="04E09916" w14:textId="4504874A" w:rsidR="38B20B20" w:rsidRDefault="38B20B20" w:rsidP="38B20B20">
          <w:pPr>
            <w:pStyle w:val="Header"/>
            <w:ind w:left="-115"/>
          </w:pPr>
        </w:p>
      </w:tc>
      <w:tc>
        <w:tcPr>
          <w:tcW w:w="3210" w:type="dxa"/>
        </w:tcPr>
        <w:p w14:paraId="5F0C3194" w14:textId="501AACBE" w:rsidR="38B20B20" w:rsidRDefault="38B20B20" w:rsidP="38B20B20">
          <w:pPr>
            <w:pStyle w:val="Header"/>
            <w:jc w:val="center"/>
          </w:pPr>
        </w:p>
      </w:tc>
      <w:tc>
        <w:tcPr>
          <w:tcW w:w="3210" w:type="dxa"/>
        </w:tcPr>
        <w:p w14:paraId="2607177D" w14:textId="0F5925C4" w:rsidR="38B20B20" w:rsidRDefault="38B20B20" w:rsidP="38B20B20">
          <w:pPr>
            <w:pStyle w:val="Header"/>
            <w:ind w:right="-115"/>
            <w:jc w:val="right"/>
          </w:pPr>
        </w:p>
      </w:tc>
    </w:tr>
  </w:tbl>
  <w:p w14:paraId="4A2B048A" w14:textId="4DE3CA0F" w:rsidR="38B20B20" w:rsidRDefault="38B20B20" w:rsidP="38B20B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8B20B20" w14:paraId="5353EDFD" w14:textId="77777777" w:rsidTr="38B20B20">
      <w:trPr>
        <w:trHeight w:val="300"/>
      </w:trPr>
      <w:tc>
        <w:tcPr>
          <w:tcW w:w="3210" w:type="dxa"/>
        </w:tcPr>
        <w:p w14:paraId="5E2C8EDB" w14:textId="13921C3E" w:rsidR="38B20B20" w:rsidRDefault="38B20B20" w:rsidP="38B20B20">
          <w:pPr>
            <w:pStyle w:val="Header"/>
            <w:ind w:left="-115"/>
          </w:pPr>
        </w:p>
      </w:tc>
      <w:tc>
        <w:tcPr>
          <w:tcW w:w="3210" w:type="dxa"/>
        </w:tcPr>
        <w:p w14:paraId="7E586D3A" w14:textId="43F10B9B" w:rsidR="38B20B20" w:rsidRDefault="38B20B20" w:rsidP="38B20B20">
          <w:pPr>
            <w:pStyle w:val="Header"/>
            <w:jc w:val="center"/>
          </w:pPr>
        </w:p>
      </w:tc>
      <w:tc>
        <w:tcPr>
          <w:tcW w:w="3210" w:type="dxa"/>
        </w:tcPr>
        <w:p w14:paraId="7CDE37A0" w14:textId="56BB9DA6" w:rsidR="38B20B20" w:rsidRDefault="38B20B20" w:rsidP="38B20B20">
          <w:pPr>
            <w:pStyle w:val="Header"/>
            <w:ind w:right="-115"/>
            <w:jc w:val="right"/>
          </w:pPr>
        </w:p>
      </w:tc>
    </w:tr>
  </w:tbl>
  <w:p w14:paraId="27EB1DC5" w14:textId="7AF7679C" w:rsidR="38B20B20" w:rsidRDefault="38B20B20" w:rsidP="38B20B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D1D6BD40"/>
    <w:lvl w:ilvl="0" w:tplc="D4625E38">
      <w:start w:val="1"/>
      <w:numFmt w:val="decimal"/>
      <w:pStyle w:val="Observation"/>
      <w:lvlText w:val="Proposal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1"/>
  </w:num>
  <w:num w:numId="2" w16cid:durableId="1830167566">
    <w:abstractNumId w:val="8"/>
  </w:num>
  <w:num w:numId="3" w16cid:durableId="1597325116">
    <w:abstractNumId w:val="12"/>
  </w:num>
  <w:num w:numId="4" w16cid:durableId="720635610">
    <w:abstractNumId w:val="7"/>
  </w:num>
  <w:num w:numId="5" w16cid:durableId="416291258">
    <w:abstractNumId w:val="9"/>
  </w:num>
  <w:num w:numId="6" w16cid:durableId="487863924">
    <w:abstractNumId w:val="6"/>
  </w:num>
  <w:num w:numId="7" w16cid:durableId="1741247155">
    <w:abstractNumId w:val="16"/>
  </w:num>
  <w:num w:numId="8" w16cid:durableId="1498157732">
    <w:abstractNumId w:val="15"/>
  </w:num>
  <w:num w:numId="9" w16cid:durableId="1538932918">
    <w:abstractNumId w:val="13"/>
  </w:num>
  <w:num w:numId="10" w16cid:durableId="713310379">
    <w:abstractNumId w:val="17"/>
  </w:num>
  <w:num w:numId="11" w16cid:durableId="559486497">
    <w:abstractNumId w:val="3"/>
  </w:num>
  <w:num w:numId="12" w16cid:durableId="409694195">
    <w:abstractNumId w:val="0"/>
  </w:num>
  <w:num w:numId="13" w16cid:durableId="836772180">
    <w:abstractNumId w:val="14"/>
  </w:num>
  <w:num w:numId="14" w16cid:durableId="768086336">
    <w:abstractNumId w:val="10"/>
  </w:num>
  <w:num w:numId="15" w16cid:durableId="866406148">
    <w:abstractNumId w:val="5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4"/>
  </w:num>
  <w:num w:numId="19" w16cid:durableId="297106924">
    <w:abstractNumId w:val="12"/>
  </w:num>
  <w:num w:numId="20" w16cid:durableId="1268200782">
    <w:abstractNumId w:val="12"/>
  </w:num>
  <w:num w:numId="21" w16cid:durableId="1825078629">
    <w:abstractNumId w:val="12"/>
  </w:num>
  <w:num w:numId="22" w16cid:durableId="1521045219">
    <w:abstractNumId w:val="12"/>
  </w:num>
  <w:num w:numId="23" w16cid:durableId="13942305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31976"/>
    <w:rsid w:val="00034960"/>
    <w:rsid w:val="00035351"/>
    <w:rsid w:val="00036EA9"/>
    <w:rsid w:val="0004203F"/>
    <w:rsid w:val="0004799C"/>
    <w:rsid w:val="000537F6"/>
    <w:rsid w:val="000560DA"/>
    <w:rsid w:val="00061C35"/>
    <w:rsid w:val="00065EE2"/>
    <w:rsid w:val="0006602B"/>
    <w:rsid w:val="000668D2"/>
    <w:rsid w:val="00074302"/>
    <w:rsid w:val="000776FC"/>
    <w:rsid w:val="00083B5C"/>
    <w:rsid w:val="00084A5D"/>
    <w:rsid w:val="000877A7"/>
    <w:rsid w:val="00087E77"/>
    <w:rsid w:val="00090A7C"/>
    <w:rsid w:val="00094616"/>
    <w:rsid w:val="00094EB7"/>
    <w:rsid w:val="000978C1"/>
    <w:rsid w:val="000A1A31"/>
    <w:rsid w:val="000B0BCB"/>
    <w:rsid w:val="000C25B5"/>
    <w:rsid w:val="000C58F9"/>
    <w:rsid w:val="000D404F"/>
    <w:rsid w:val="000F11F1"/>
    <w:rsid w:val="000F6C77"/>
    <w:rsid w:val="00100F63"/>
    <w:rsid w:val="001039D9"/>
    <w:rsid w:val="001054F0"/>
    <w:rsid w:val="00106F36"/>
    <w:rsid w:val="00111A3B"/>
    <w:rsid w:val="00111BB1"/>
    <w:rsid w:val="00112E37"/>
    <w:rsid w:val="001137AF"/>
    <w:rsid w:val="00124525"/>
    <w:rsid w:val="00130EA6"/>
    <w:rsid w:val="001342FE"/>
    <w:rsid w:val="00140828"/>
    <w:rsid w:val="00140ABF"/>
    <w:rsid w:val="0014741C"/>
    <w:rsid w:val="001618A3"/>
    <w:rsid w:val="00167629"/>
    <w:rsid w:val="001702C3"/>
    <w:rsid w:val="001702E0"/>
    <w:rsid w:val="001705C5"/>
    <w:rsid w:val="0017164B"/>
    <w:rsid w:val="00171F3F"/>
    <w:rsid w:val="00177337"/>
    <w:rsid w:val="001778C3"/>
    <w:rsid w:val="0018220D"/>
    <w:rsid w:val="00184646"/>
    <w:rsid w:val="00187887"/>
    <w:rsid w:val="00190C64"/>
    <w:rsid w:val="00192907"/>
    <w:rsid w:val="00195A64"/>
    <w:rsid w:val="001A1169"/>
    <w:rsid w:val="001A4244"/>
    <w:rsid w:val="001A55F2"/>
    <w:rsid w:val="001A63DD"/>
    <w:rsid w:val="001C1899"/>
    <w:rsid w:val="001C3D5C"/>
    <w:rsid w:val="001C5876"/>
    <w:rsid w:val="001C7533"/>
    <w:rsid w:val="001D28C9"/>
    <w:rsid w:val="001D4463"/>
    <w:rsid w:val="001D4AA8"/>
    <w:rsid w:val="001D4E30"/>
    <w:rsid w:val="001D530B"/>
    <w:rsid w:val="001E1094"/>
    <w:rsid w:val="001E1D71"/>
    <w:rsid w:val="001E2E21"/>
    <w:rsid w:val="001E3B63"/>
    <w:rsid w:val="001E5321"/>
    <w:rsid w:val="001E55EC"/>
    <w:rsid w:val="001E5728"/>
    <w:rsid w:val="001E5A73"/>
    <w:rsid w:val="001F014E"/>
    <w:rsid w:val="001F7E8C"/>
    <w:rsid w:val="001F7FE9"/>
    <w:rsid w:val="00202CC4"/>
    <w:rsid w:val="002042AF"/>
    <w:rsid w:val="00204F82"/>
    <w:rsid w:val="00205B00"/>
    <w:rsid w:val="002069F0"/>
    <w:rsid w:val="00212952"/>
    <w:rsid w:val="00212EA7"/>
    <w:rsid w:val="002203FC"/>
    <w:rsid w:val="00221574"/>
    <w:rsid w:val="0022297F"/>
    <w:rsid w:val="00222CBB"/>
    <w:rsid w:val="0022491D"/>
    <w:rsid w:val="00241E78"/>
    <w:rsid w:val="00242434"/>
    <w:rsid w:val="002437A9"/>
    <w:rsid w:val="00243B3E"/>
    <w:rsid w:val="00243EFC"/>
    <w:rsid w:val="00245501"/>
    <w:rsid w:val="00246D68"/>
    <w:rsid w:val="002514F2"/>
    <w:rsid w:val="002528A0"/>
    <w:rsid w:val="0025657B"/>
    <w:rsid w:val="00256690"/>
    <w:rsid w:val="00256920"/>
    <w:rsid w:val="00262F05"/>
    <w:rsid w:val="002640AF"/>
    <w:rsid w:val="00264168"/>
    <w:rsid w:val="002661CA"/>
    <w:rsid w:val="0026656D"/>
    <w:rsid w:val="00270BF1"/>
    <w:rsid w:val="002736D9"/>
    <w:rsid w:val="00283418"/>
    <w:rsid w:val="00284ACA"/>
    <w:rsid w:val="00286685"/>
    <w:rsid w:val="00286C97"/>
    <w:rsid w:val="0029486D"/>
    <w:rsid w:val="00296A1C"/>
    <w:rsid w:val="002A0C77"/>
    <w:rsid w:val="002A174B"/>
    <w:rsid w:val="002A46CB"/>
    <w:rsid w:val="002A4EBC"/>
    <w:rsid w:val="002A76B1"/>
    <w:rsid w:val="002C1362"/>
    <w:rsid w:val="002C3A7B"/>
    <w:rsid w:val="002C67E1"/>
    <w:rsid w:val="002C6FCB"/>
    <w:rsid w:val="002D1618"/>
    <w:rsid w:val="002D1846"/>
    <w:rsid w:val="002D2EE3"/>
    <w:rsid w:val="002D3F2D"/>
    <w:rsid w:val="002D758A"/>
    <w:rsid w:val="002E12D6"/>
    <w:rsid w:val="002E2EA7"/>
    <w:rsid w:val="002E42F4"/>
    <w:rsid w:val="002E4745"/>
    <w:rsid w:val="002F3068"/>
    <w:rsid w:val="002F3092"/>
    <w:rsid w:val="002F5324"/>
    <w:rsid w:val="002F68B4"/>
    <w:rsid w:val="002F6F23"/>
    <w:rsid w:val="003005E4"/>
    <w:rsid w:val="0030203B"/>
    <w:rsid w:val="00312106"/>
    <w:rsid w:val="00314C62"/>
    <w:rsid w:val="003153D3"/>
    <w:rsid w:val="00320CFA"/>
    <w:rsid w:val="0032275C"/>
    <w:rsid w:val="003260A6"/>
    <w:rsid w:val="003304BF"/>
    <w:rsid w:val="00331091"/>
    <w:rsid w:val="00337C3B"/>
    <w:rsid w:val="003459EA"/>
    <w:rsid w:val="00346897"/>
    <w:rsid w:val="003569B5"/>
    <w:rsid w:val="00364F9C"/>
    <w:rsid w:val="00370B5E"/>
    <w:rsid w:val="00373773"/>
    <w:rsid w:val="00374F20"/>
    <w:rsid w:val="003753FE"/>
    <w:rsid w:val="00380D6A"/>
    <w:rsid w:val="00382A63"/>
    <w:rsid w:val="00387B77"/>
    <w:rsid w:val="00392397"/>
    <w:rsid w:val="00396CF4"/>
    <w:rsid w:val="00397BC9"/>
    <w:rsid w:val="003A5C48"/>
    <w:rsid w:val="003A5ED9"/>
    <w:rsid w:val="003A79B2"/>
    <w:rsid w:val="003B1A7D"/>
    <w:rsid w:val="003B23EC"/>
    <w:rsid w:val="003B4EDF"/>
    <w:rsid w:val="003C0CB7"/>
    <w:rsid w:val="003E17B9"/>
    <w:rsid w:val="003E246D"/>
    <w:rsid w:val="003E25A2"/>
    <w:rsid w:val="003E40D5"/>
    <w:rsid w:val="003E7B75"/>
    <w:rsid w:val="003F1595"/>
    <w:rsid w:val="003F6040"/>
    <w:rsid w:val="003F65C3"/>
    <w:rsid w:val="004005C9"/>
    <w:rsid w:val="00400C22"/>
    <w:rsid w:val="004019B9"/>
    <w:rsid w:val="00402982"/>
    <w:rsid w:val="004033AA"/>
    <w:rsid w:val="00405A59"/>
    <w:rsid w:val="004062B5"/>
    <w:rsid w:val="00406A2B"/>
    <w:rsid w:val="00406D71"/>
    <w:rsid w:val="004115D5"/>
    <w:rsid w:val="004131D5"/>
    <w:rsid w:val="0042254E"/>
    <w:rsid w:val="00422A04"/>
    <w:rsid w:val="00424E37"/>
    <w:rsid w:val="00425C4F"/>
    <w:rsid w:val="00430C83"/>
    <w:rsid w:val="00435B30"/>
    <w:rsid w:val="00436B42"/>
    <w:rsid w:val="00440614"/>
    <w:rsid w:val="00443FA1"/>
    <w:rsid w:val="00444F4E"/>
    <w:rsid w:val="00450991"/>
    <w:rsid w:val="00452909"/>
    <w:rsid w:val="00454D61"/>
    <w:rsid w:val="00455D40"/>
    <w:rsid w:val="00457025"/>
    <w:rsid w:val="004605AC"/>
    <w:rsid w:val="004707A2"/>
    <w:rsid w:val="0048149C"/>
    <w:rsid w:val="00483975"/>
    <w:rsid w:val="004847DE"/>
    <w:rsid w:val="00487A8A"/>
    <w:rsid w:val="00493F3F"/>
    <w:rsid w:val="00497505"/>
    <w:rsid w:val="004A27CA"/>
    <w:rsid w:val="004A3A63"/>
    <w:rsid w:val="004B530D"/>
    <w:rsid w:val="004C064A"/>
    <w:rsid w:val="004C7060"/>
    <w:rsid w:val="004D0845"/>
    <w:rsid w:val="004D370C"/>
    <w:rsid w:val="004D467A"/>
    <w:rsid w:val="004D5F4D"/>
    <w:rsid w:val="004D6F6B"/>
    <w:rsid w:val="004E145F"/>
    <w:rsid w:val="004E2DDE"/>
    <w:rsid w:val="004E3DEB"/>
    <w:rsid w:val="004E4604"/>
    <w:rsid w:val="004E5C45"/>
    <w:rsid w:val="004E5C5E"/>
    <w:rsid w:val="004E601C"/>
    <w:rsid w:val="004F23AD"/>
    <w:rsid w:val="004F592B"/>
    <w:rsid w:val="004F62A1"/>
    <w:rsid w:val="005067C5"/>
    <w:rsid w:val="00511199"/>
    <w:rsid w:val="00511D90"/>
    <w:rsid w:val="00514C7D"/>
    <w:rsid w:val="00515B49"/>
    <w:rsid w:val="00516EC2"/>
    <w:rsid w:val="00523763"/>
    <w:rsid w:val="005251F8"/>
    <w:rsid w:val="00525928"/>
    <w:rsid w:val="00531B68"/>
    <w:rsid w:val="00533166"/>
    <w:rsid w:val="00533FDA"/>
    <w:rsid w:val="005362AD"/>
    <w:rsid w:val="0054047E"/>
    <w:rsid w:val="00541059"/>
    <w:rsid w:val="005447B0"/>
    <w:rsid w:val="00553D93"/>
    <w:rsid w:val="00557A0D"/>
    <w:rsid w:val="005671AB"/>
    <w:rsid w:val="00571230"/>
    <w:rsid w:val="00571D8C"/>
    <w:rsid w:val="00575041"/>
    <w:rsid w:val="00580DC0"/>
    <w:rsid w:val="005842BA"/>
    <w:rsid w:val="005852F5"/>
    <w:rsid w:val="0058797B"/>
    <w:rsid w:val="00595DC3"/>
    <w:rsid w:val="005A1D0F"/>
    <w:rsid w:val="005A6A73"/>
    <w:rsid w:val="005B2331"/>
    <w:rsid w:val="005B552B"/>
    <w:rsid w:val="005D27E8"/>
    <w:rsid w:val="005E4E5A"/>
    <w:rsid w:val="005E55EA"/>
    <w:rsid w:val="005E5FA9"/>
    <w:rsid w:val="005E75B6"/>
    <w:rsid w:val="005E7C94"/>
    <w:rsid w:val="005F3124"/>
    <w:rsid w:val="0060278B"/>
    <w:rsid w:val="00604627"/>
    <w:rsid w:val="00606FC7"/>
    <w:rsid w:val="00611138"/>
    <w:rsid w:val="00612E44"/>
    <w:rsid w:val="006159B4"/>
    <w:rsid w:val="006200B1"/>
    <w:rsid w:val="00624370"/>
    <w:rsid w:val="00630254"/>
    <w:rsid w:val="00634250"/>
    <w:rsid w:val="0063714F"/>
    <w:rsid w:val="00637DA0"/>
    <w:rsid w:val="0065757B"/>
    <w:rsid w:val="00660C5E"/>
    <w:rsid w:val="00661EB3"/>
    <w:rsid w:val="00662230"/>
    <w:rsid w:val="00663C5E"/>
    <w:rsid w:val="0066520E"/>
    <w:rsid w:val="00666ADD"/>
    <w:rsid w:val="00670AFC"/>
    <w:rsid w:val="0067245C"/>
    <w:rsid w:val="006726E9"/>
    <w:rsid w:val="0068492F"/>
    <w:rsid w:val="006851BC"/>
    <w:rsid w:val="00685577"/>
    <w:rsid w:val="00686E5F"/>
    <w:rsid w:val="006930F0"/>
    <w:rsid w:val="00696C1A"/>
    <w:rsid w:val="006A0D39"/>
    <w:rsid w:val="006A19EC"/>
    <w:rsid w:val="006A6022"/>
    <w:rsid w:val="006B0898"/>
    <w:rsid w:val="006B0964"/>
    <w:rsid w:val="006B0C05"/>
    <w:rsid w:val="006C17EA"/>
    <w:rsid w:val="006C1AA1"/>
    <w:rsid w:val="006C5DBE"/>
    <w:rsid w:val="006D1576"/>
    <w:rsid w:val="006D2723"/>
    <w:rsid w:val="006E28A9"/>
    <w:rsid w:val="006F1984"/>
    <w:rsid w:val="006F3AA7"/>
    <w:rsid w:val="006F5771"/>
    <w:rsid w:val="006F6F55"/>
    <w:rsid w:val="006F7CD6"/>
    <w:rsid w:val="00701725"/>
    <w:rsid w:val="00701F3B"/>
    <w:rsid w:val="00702163"/>
    <w:rsid w:val="00712705"/>
    <w:rsid w:val="00714DFD"/>
    <w:rsid w:val="00716915"/>
    <w:rsid w:val="00717074"/>
    <w:rsid w:val="007171AF"/>
    <w:rsid w:val="00726161"/>
    <w:rsid w:val="00731F49"/>
    <w:rsid w:val="00737032"/>
    <w:rsid w:val="00741E3C"/>
    <w:rsid w:val="0074647E"/>
    <w:rsid w:val="00751FFC"/>
    <w:rsid w:val="00755639"/>
    <w:rsid w:val="007560DC"/>
    <w:rsid w:val="00762526"/>
    <w:rsid w:val="00765433"/>
    <w:rsid w:val="00765E19"/>
    <w:rsid w:val="0077033D"/>
    <w:rsid w:val="00771307"/>
    <w:rsid w:val="007723A7"/>
    <w:rsid w:val="00772634"/>
    <w:rsid w:val="007743A3"/>
    <w:rsid w:val="007743BF"/>
    <w:rsid w:val="00774AF5"/>
    <w:rsid w:val="00774E17"/>
    <w:rsid w:val="00777078"/>
    <w:rsid w:val="00781FBF"/>
    <w:rsid w:val="0079055F"/>
    <w:rsid w:val="007A1076"/>
    <w:rsid w:val="007A7847"/>
    <w:rsid w:val="007B072A"/>
    <w:rsid w:val="007B11B8"/>
    <w:rsid w:val="007B3864"/>
    <w:rsid w:val="007B56AF"/>
    <w:rsid w:val="007B7581"/>
    <w:rsid w:val="007B7B30"/>
    <w:rsid w:val="007C21CE"/>
    <w:rsid w:val="007C641B"/>
    <w:rsid w:val="007C64EB"/>
    <w:rsid w:val="007C6E7A"/>
    <w:rsid w:val="007D0F84"/>
    <w:rsid w:val="007D6A33"/>
    <w:rsid w:val="007E55FF"/>
    <w:rsid w:val="007E7D9F"/>
    <w:rsid w:val="007F25ED"/>
    <w:rsid w:val="008038B5"/>
    <w:rsid w:val="00806A43"/>
    <w:rsid w:val="00806E05"/>
    <w:rsid w:val="00807D7A"/>
    <w:rsid w:val="008102FB"/>
    <w:rsid w:val="008136EE"/>
    <w:rsid w:val="00813EB9"/>
    <w:rsid w:val="00816BB1"/>
    <w:rsid w:val="008256EE"/>
    <w:rsid w:val="00830B0B"/>
    <w:rsid w:val="00832330"/>
    <w:rsid w:val="008339D8"/>
    <w:rsid w:val="00835F53"/>
    <w:rsid w:val="00837672"/>
    <w:rsid w:val="00852BC8"/>
    <w:rsid w:val="00855828"/>
    <w:rsid w:val="00860371"/>
    <w:rsid w:val="00863F31"/>
    <w:rsid w:val="00866DC8"/>
    <w:rsid w:val="008709FE"/>
    <w:rsid w:val="008775A9"/>
    <w:rsid w:val="008826B1"/>
    <w:rsid w:val="00887BBC"/>
    <w:rsid w:val="0089330F"/>
    <w:rsid w:val="00894BFA"/>
    <w:rsid w:val="008959BB"/>
    <w:rsid w:val="008971C2"/>
    <w:rsid w:val="008A120E"/>
    <w:rsid w:val="008C0EFB"/>
    <w:rsid w:val="008C14B3"/>
    <w:rsid w:val="008C2F4C"/>
    <w:rsid w:val="008D6391"/>
    <w:rsid w:val="008D6884"/>
    <w:rsid w:val="008E3EFE"/>
    <w:rsid w:val="008E6E29"/>
    <w:rsid w:val="008F63CA"/>
    <w:rsid w:val="008F75AF"/>
    <w:rsid w:val="0090175B"/>
    <w:rsid w:val="00910EB6"/>
    <w:rsid w:val="00915AD3"/>
    <w:rsid w:val="00917CA4"/>
    <w:rsid w:val="0092213A"/>
    <w:rsid w:val="009240CB"/>
    <w:rsid w:val="00925B40"/>
    <w:rsid w:val="009262D1"/>
    <w:rsid w:val="009306C3"/>
    <w:rsid w:val="00930A9E"/>
    <w:rsid w:val="00932E22"/>
    <w:rsid w:val="009348A7"/>
    <w:rsid w:val="00936523"/>
    <w:rsid w:val="00943542"/>
    <w:rsid w:val="009459C7"/>
    <w:rsid w:val="0095049B"/>
    <w:rsid w:val="009506FD"/>
    <w:rsid w:val="00951932"/>
    <w:rsid w:val="009573C6"/>
    <w:rsid w:val="0096149F"/>
    <w:rsid w:val="00961BF4"/>
    <w:rsid w:val="00963BEF"/>
    <w:rsid w:val="00966A37"/>
    <w:rsid w:val="00967DB5"/>
    <w:rsid w:val="00970A0C"/>
    <w:rsid w:val="00973935"/>
    <w:rsid w:val="00974104"/>
    <w:rsid w:val="009809D2"/>
    <w:rsid w:val="0098601E"/>
    <w:rsid w:val="009960DC"/>
    <w:rsid w:val="0099621B"/>
    <w:rsid w:val="009B5818"/>
    <w:rsid w:val="009B70DD"/>
    <w:rsid w:val="009C07C1"/>
    <w:rsid w:val="009C2D25"/>
    <w:rsid w:val="009C4877"/>
    <w:rsid w:val="009C5DF6"/>
    <w:rsid w:val="009C7265"/>
    <w:rsid w:val="009E07F8"/>
    <w:rsid w:val="009E0D2C"/>
    <w:rsid w:val="009E1554"/>
    <w:rsid w:val="009E4ED0"/>
    <w:rsid w:val="009E7B92"/>
    <w:rsid w:val="009F0694"/>
    <w:rsid w:val="009F12BE"/>
    <w:rsid w:val="00A04CCF"/>
    <w:rsid w:val="00A052FE"/>
    <w:rsid w:val="00A07403"/>
    <w:rsid w:val="00A10429"/>
    <w:rsid w:val="00A16834"/>
    <w:rsid w:val="00A17BBB"/>
    <w:rsid w:val="00A220BB"/>
    <w:rsid w:val="00A25369"/>
    <w:rsid w:val="00A26C53"/>
    <w:rsid w:val="00A2745B"/>
    <w:rsid w:val="00A30F52"/>
    <w:rsid w:val="00A31B63"/>
    <w:rsid w:val="00A3364B"/>
    <w:rsid w:val="00A357A5"/>
    <w:rsid w:val="00A40709"/>
    <w:rsid w:val="00A551D3"/>
    <w:rsid w:val="00A73A8D"/>
    <w:rsid w:val="00A7675B"/>
    <w:rsid w:val="00A850AA"/>
    <w:rsid w:val="00A915B7"/>
    <w:rsid w:val="00A96BCA"/>
    <w:rsid w:val="00AA1A7B"/>
    <w:rsid w:val="00AA34BC"/>
    <w:rsid w:val="00AA7058"/>
    <w:rsid w:val="00AA7A8A"/>
    <w:rsid w:val="00AB0D1D"/>
    <w:rsid w:val="00AB3A83"/>
    <w:rsid w:val="00AB6A22"/>
    <w:rsid w:val="00AB75ED"/>
    <w:rsid w:val="00AD11EE"/>
    <w:rsid w:val="00AD1924"/>
    <w:rsid w:val="00AD3042"/>
    <w:rsid w:val="00AD3AFA"/>
    <w:rsid w:val="00AD6A98"/>
    <w:rsid w:val="00AD7312"/>
    <w:rsid w:val="00AE010B"/>
    <w:rsid w:val="00AE0C14"/>
    <w:rsid w:val="00AE1A51"/>
    <w:rsid w:val="00AE21F4"/>
    <w:rsid w:val="00AE2249"/>
    <w:rsid w:val="00AF6D32"/>
    <w:rsid w:val="00B1105F"/>
    <w:rsid w:val="00B20957"/>
    <w:rsid w:val="00B21095"/>
    <w:rsid w:val="00B23B75"/>
    <w:rsid w:val="00B23D30"/>
    <w:rsid w:val="00B25663"/>
    <w:rsid w:val="00B265D3"/>
    <w:rsid w:val="00B306CE"/>
    <w:rsid w:val="00B362EF"/>
    <w:rsid w:val="00B364C5"/>
    <w:rsid w:val="00B40E12"/>
    <w:rsid w:val="00B422BD"/>
    <w:rsid w:val="00B475EA"/>
    <w:rsid w:val="00B47EC7"/>
    <w:rsid w:val="00B51FD7"/>
    <w:rsid w:val="00B54403"/>
    <w:rsid w:val="00B6250A"/>
    <w:rsid w:val="00B6386E"/>
    <w:rsid w:val="00B64F3E"/>
    <w:rsid w:val="00B661FC"/>
    <w:rsid w:val="00B70CAA"/>
    <w:rsid w:val="00B71A7A"/>
    <w:rsid w:val="00B77662"/>
    <w:rsid w:val="00B82DA4"/>
    <w:rsid w:val="00B831E1"/>
    <w:rsid w:val="00B91471"/>
    <w:rsid w:val="00B91867"/>
    <w:rsid w:val="00B930E6"/>
    <w:rsid w:val="00B949D8"/>
    <w:rsid w:val="00B95D2E"/>
    <w:rsid w:val="00B9656D"/>
    <w:rsid w:val="00BA0688"/>
    <w:rsid w:val="00BA1E3C"/>
    <w:rsid w:val="00BA2CEC"/>
    <w:rsid w:val="00BA66B0"/>
    <w:rsid w:val="00BB5064"/>
    <w:rsid w:val="00BC68B0"/>
    <w:rsid w:val="00BD28AB"/>
    <w:rsid w:val="00BE0E74"/>
    <w:rsid w:val="00BE2F6B"/>
    <w:rsid w:val="00BF0D72"/>
    <w:rsid w:val="00BF44F2"/>
    <w:rsid w:val="00BF56B2"/>
    <w:rsid w:val="00C0071C"/>
    <w:rsid w:val="00C0376D"/>
    <w:rsid w:val="00C03F4E"/>
    <w:rsid w:val="00C058BF"/>
    <w:rsid w:val="00C0602E"/>
    <w:rsid w:val="00C0737D"/>
    <w:rsid w:val="00C13C52"/>
    <w:rsid w:val="00C16C3E"/>
    <w:rsid w:val="00C2111E"/>
    <w:rsid w:val="00C225D6"/>
    <w:rsid w:val="00C26198"/>
    <w:rsid w:val="00C31128"/>
    <w:rsid w:val="00C36C0B"/>
    <w:rsid w:val="00C37820"/>
    <w:rsid w:val="00C42771"/>
    <w:rsid w:val="00C43531"/>
    <w:rsid w:val="00C44143"/>
    <w:rsid w:val="00C4533F"/>
    <w:rsid w:val="00C53D77"/>
    <w:rsid w:val="00C5766D"/>
    <w:rsid w:val="00C6008D"/>
    <w:rsid w:val="00C600D4"/>
    <w:rsid w:val="00C60A68"/>
    <w:rsid w:val="00C61D07"/>
    <w:rsid w:val="00C62D35"/>
    <w:rsid w:val="00C63195"/>
    <w:rsid w:val="00C66672"/>
    <w:rsid w:val="00C70779"/>
    <w:rsid w:val="00C71CB5"/>
    <w:rsid w:val="00C744E5"/>
    <w:rsid w:val="00C753AE"/>
    <w:rsid w:val="00C80D0B"/>
    <w:rsid w:val="00C8678C"/>
    <w:rsid w:val="00C86CFE"/>
    <w:rsid w:val="00C92116"/>
    <w:rsid w:val="00C93260"/>
    <w:rsid w:val="00C94CCA"/>
    <w:rsid w:val="00CA1E55"/>
    <w:rsid w:val="00CA5AEA"/>
    <w:rsid w:val="00CA79C9"/>
    <w:rsid w:val="00CB3ADE"/>
    <w:rsid w:val="00CC0ACE"/>
    <w:rsid w:val="00CC1682"/>
    <w:rsid w:val="00CC36F8"/>
    <w:rsid w:val="00CC5976"/>
    <w:rsid w:val="00CC5C03"/>
    <w:rsid w:val="00CD5A8F"/>
    <w:rsid w:val="00CD5B94"/>
    <w:rsid w:val="00CE0F30"/>
    <w:rsid w:val="00CE2926"/>
    <w:rsid w:val="00CE2AC8"/>
    <w:rsid w:val="00CE461C"/>
    <w:rsid w:val="00CE5340"/>
    <w:rsid w:val="00CE76EC"/>
    <w:rsid w:val="00CF45E3"/>
    <w:rsid w:val="00CF6552"/>
    <w:rsid w:val="00CF7E56"/>
    <w:rsid w:val="00D00D6A"/>
    <w:rsid w:val="00D051E9"/>
    <w:rsid w:val="00D079BD"/>
    <w:rsid w:val="00D11E88"/>
    <w:rsid w:val="00D12DA9"/>
    <w:rsid w:val="00D13DCA"/>
    <w:rsid w:val="00D15383"/>
    <w:rsid w:val="00D17D91"/>
    <w:rsid w:val="00D23FDD"/>
    <w:rsid w:val="00D26304"/>
    <w:rsid w:val="00D317E3"/>
    <w:rsid w:val="00D32866"/>
    <w:rsid w:val="00D334FE"/>
    <w:rsid w:val="00D401A5"/>
    <w:rsid w:val="00D41D25"/>
    <w:rsid w:val="00D42260"/>
    <w:rsid w:val="00D44BCE"/>
    <w:rsid w:val="00D44CB3"/>
    <w:rsid w:val="00D46655"/>
    <w:rsid w:val="00D46761"/>
    <w:rsid w:val="00D46B3F"/>
    <w:rsid w:val="00D534C9"/>
    <w:rsid w:val="00D5517E"/>
    <w:rsid w:val="00D57558"/>
    <w:rsid w:val="00D60279"/>
    <w:rsid w:val="00D6059C"/>
    <w:rsid w:val="00D62094"/>
    <w:rsid w:val="00D662FB"/>
    <w:rsid w:val="00D6750C"/>
    <w:rsid w:val="00D7582F"/>
    <w:rsid w:val="00D82735"/>
    <w:rsid w:val="00D83C74"/>
    <w:rsid w:val="00D8557A"/>
    <w:rsid w:val="00D9362F"/>
    <w:rsid w:val="00D96A40"/>
    <w:rsid w:val="00DA6505"/>
    <w:rsid w:val="00DB1BF6"/>
    <w:rsid w:val="00DB200D"/>
    <w:rsid w:val="00DB649E"/>
    <w:rsid w:val="00DC6E95"/>
    <w:rsid w:val="00DD0838"/>
    <w:rsid w:val="00DD0A4C"/>
    <w:rsid w:val="00DD0AA4"/>
    <w:rsid w:val="00DD3760"/>
    <w:rsid w:val="00DE64EF"/>
    <w:rsid w:val="00DF1EE6"/>
    <w:rsid w:val="00DF3ABD"/>
    <w:rsid w:val="00DF41FD"/>
    <w:rsid w:val="00E0074B"/>
    <w:rsid w:val="00E03F5E"/>
    <w:rsid w:val="00E04605"/>
    <w:rsid w:val="00E06D5B"/>
    <w:rsid w:val="00E103AB"/>
    <w:rsid w:val="00E11990"/>
    <w:rsid w:val="00E13E66"/>
    <w:rsid w:val="00E20EE7"/>
    <w:rsid w:val="00E26A59"/>
    <w:rsid w:val="00E27AA8"/>
    <w:rsid w:val="00E34C72"/>
    <w:rsid w:val="00E35638"/>
    <w:rsid w:val="00E37DFD"/>
    <w:rsid w:val="00E50209"/>
    <w:rsid w:val="00E50919"/>
    <w:rsid w:val="00E54A87"/>
    <w:rsid w:val="00E562E2"/>
    <w:rsid w:val="00E57DEC"/>
    <w:rsid w:val="00E61C52"/>
    <w:rsid w:val="00E64878"/>
    <w:rsid w:val="00E64E2A"/>
    <w:rsid w:val="00E711CF"/>
    <w:rsid w:val="00E77DB9"/>
    <w:rsid w:val="00E911C3"/>
    <w:rsid w:val="00E92DE6"/>
    <w:rsid w:val="00E95A0B"/>
    <w:rsid w:val="00E95E99"/>
    <w:rsid w:val="00E96DE6"/>
    <w:rsid w:val="00EA3F00"/>
    <w:rsid w:val="00EA595D"/>
    <w:rsid w:val="00EA7DD3"/>
    <w:rsid w:val="00EB3E57"/>
    <w:rsid w:val="00EB4570"/>
    <w:rsid w:val="00EB55E5"/>
    <w:rsid w:val="00ED111D"/>
    <w:rsid w:val="00ED2299"/>
    <w:rsid w:val="00ED378A"/>
    <w:rsid w:val="00ED6C47"/>
    <w:rsid w:val="00EE3505"/>
    <w:rsid w:val="00EE4BD5"/>
    <w:rsid w:val="00EE6E5D"/>
    <w:rsid w:val="00EE70D2"/>
    <w:rsid w:val="00EF2110"/>
    <w:rsid w:val="00EF59DA"/>
    <w:rsid w:val="00F0788A"/>
    <w:rsid w:val="00F32358"/>
    <w:rsid w:val="00F34785"/>
    <w:rsid w:val="00F374B5"/>
    <w:rsid w:val="00F4449E"/>
    <w:rsid w:val="00F44E89"/>
    <w:rsid w:val="00F45A13"/>
    <w:rsid w:val="00F52A04"/>
    <w:rsid w:val="00F54E33"/>
    <w:rsid w:val="00F62494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21B8"/>
    <w:rsid w:val="00F832F0"/>
    <w:rsid w:val="00F852B3"/>
    <w:rsid w:val="00F91E0D"/>
    <w:rsid w:val="00F94D6E"/>
    <w:rsid w:val="00FA0A04"/>
    <w:rsid w:val="00FA6415"/>
    <w:rsid w:val="00FB2027"/>
    <w:rsid w:val="00FB208E"/>
    <w:rsid w:val="00FB2CEB"/>
    <w:rsid w:val="00FB4E8D"/>
    <w:rsid w:val="00FB737B"/>
    <w:rsid w:val="00FC12CF"/>
    <w:rsid w:val="00FC26C7"/>
    <w:rsid w:val="00FC3960"/>
    <w:rsid w:val="00FC47F6"/>
    <w:rsid w:val="00FC61D2"/>
    <w:rsid w:val="00FC7077"/>
    <w:rsid w:val="00FC7B88"/>
    <w:rsid w:val="00FD217B"/>
    <w:rsid w:val="00FE1137"/>
    <w:rsid w:val="00FE276B"/>
    <w:rsid w:val="00FE4450"/>
    <w:rsid w:val="00FF1903"/>
    <w:rsid w:val="1196326B"/>
    <w:rsid w:val="1E9446FF"/>
    <w:rsid w:val="287ADF4E"/>
    <w:rsid w:val="38B20B20"/>
    <w:rsid w:val="53E122B5"/>
    <w:rsid w:val="6AD8D20D"/>
    <w:rsid w:val="7C4B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43177AE7-D193-4A6C-AFB3-2DC0AB88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SharedWithUsers xmlns="f166a696-7b5b-4ccd-9f0c-ffde0cceec81">
      <UserInfo>
        <DisplayName>Bing Li</DisplayName>
        <AccountId>6315</AccountId>
        <AccountType/>
      </UserInfo>
    </SharedWithUsers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5NUHHDQN7SK2-1476151046-564053</_dlc_DocId>
    <_dlc_DocIdUrl xmlns="f166a696-7b5b-4ccd-9f0c-ffde0cceec81">
      <Url>https://ericsson.sharepoint.com/sites/star/_layouts/15/DocIdRedir.aspx?ID=5NUHHDQN7SK2-1476151046-564053</Url>
      <Description>5NUHHDQN7SK2-1476151046-564053</Description>
    </_dlc_DocIdUrl>
  </documentManagement>
</p:properties>
</file>

<file path=customXml/itemProps1.xml><?xml version="1.0" encoding="utf-8"?>
<ds:datastoreItem xmlns:ds="http://schemas.openxmlformats.org/officeDocument/2006/customXml" ds:itemID="{03A7852A-CF25-4923-A755-ADF3E8FA3CF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21CDC29-4C45-4751-AC8F-00C3A18FF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836C71-B502-4FA2-A2CC-AF0C25A69EF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13DB73F-7FF1-40DA-908D-33A8405A8CF8}">
  <ds:schemaRefs>
    <ds:schemaRef ds:uri="http://purl.org/dc/elements/1.1/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office/2006/metadata/properties"/>
    <ds:schemaRef ds:uri="d8762117-8292-4133-b1c7-eab5c6487cfd"/>
    <ds:schemaRef ds:uri="http://purl.org/dc/dcmitype/"/>
    <ds:schemaRef ds:uri="611109f9-ed58-4498-a270-1fb2086a5321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18</cp:revision>
  <dcterms:created xsi:type="dcterms:W3CDTF">2024-04-04T08:46:00Z</dcterms:created>
  <dcterms:modified xsi:type="dcterms:W3CDTF">2024-04-08T12:24:00Z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052a9909-2509-44a4-9482-fc497e8f86f9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