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134579F7"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10</w:t>
      </w:r>
      <w:r w:rsidR="00442EC1">
        <w:rPr>
          <w:rFonts w:ascii="Arial" w:hAnsi="Arial" w:cs="Arial"/>
          <w:sz w:val="28"/>
          <w:lang w:val="en-GB"/>
        </w:rPr>
        <w:t>b</w:t>
      </w:r>
      <w:r w:rsidRPr="00B27937">
        <w:rPr>
          <w:rFonts w:ascii="Arial" w:hAnsi="Arial" w:cs="Arial"/>
          <w:sz w:val="28"/>
          <w:lang w:val="en-GB"/>
        </w:rPr>
        <w:t>is</w:t>
      </w:r>
      <w:r w:rsidR="00155C9B" w:rsidRPr="00B27937">
        <w:rPr>
          <w:rFonts w:ascii="Arial" w:hAnsi="Arial" w:cs="Arial"/>
          <w:sz w:val="28"/>
          <w:lang w:val="en-GB"/>
        </w:rPr>
        <w:tab/>
        <w:t>R4-2</w:t>
      </w:r>
      <w:r w:rsidR="00815ED5" w:rsidRPr="00B27937">
        <w:rPr>
          <w:rFonts w:ascii="Arial" w:hAnsi="Arial" w:cs="Arial"/>
          <w:sz w:val="28"/>
          <w:lang w:val="en-GB"/>
        </w:rPr>
        <w:t>40</w:t>
      </w:r>
      <w:r w:rsidR="00A7724E">
        <w:rPr>
          <w:rFonts w:ascii="Arial" w:hAnsi="Arial" w:cs="Arial"/>
          <w:sz w:val="28"/>
          <w:lang w:val="en-GB"/>
        </w:rPr>
        <w:t>4287</w:t>
      </w:r>
    </w:p>
    <w:p w14:paraId="51C9EA69" w14:textId="12D715F3" w:rsidR="00155C9B" w:rsidRPr="00B27937" w:rsidRDefault="00815ED5" w:rsidP="00155C9B">
      <w:pPr>
        <w:tabs>
          <w:tab w:val="right" w:pos="9781"/>
        </w:tabs>
        <w:rPr>
          <w:rFonts w:ascii="Arial" w:hAnsi="Arial" w:cs="Arial"/>
          <w:sz w:val="28"/>
          <w:lang w:val="en-GB"/>
        </w:rPr>
      </w:pPr>
      <w:r w:rsidRPr="00B27937">
        <w:rPr>
          <w:rFonts w:ascii="Arial" w:hAnsi="Arial" w:cs="Arial"/>
          <w:sz w:val="28"/>
          <w:lang w:val="en-GB"/>
        </w:rPr>
        <w:t>Changsha, China, 15 – 19 April 2024</w:t>
      </w:r>
    </w:p>
    <w:p w14:paraId="1AF3D573" w14:textId="77777777" w:rsidR="00442785" w:rsidRPr="00B27937" w:rsidRDefault="00442785" w:rsidP="00442785">
      <w:pPr>
        <w:tabs>
          <w:tab w:val="left" w:pos="1985"/>
        </w:tabs>
        <w:rPr>
          <w:rFonts w:ascii="Arial" w:hAnsi="Arial"/>
          <w:b/>
          <w:lang w:val="en-GB"/>
        </w:rPr>
      </w:pPr>
    </w:p>
    <w:p w14:paraId="267589E6" w14:textId="0637FF65" w:rsidR="0058494B" w:rsidRPr="0058494B" w:rsidRDefault="00442785" w:rsidP="00442785">
      <w:pPr>
        <w:tabs>
          <w:tab w:val="left" w:pos="1985"/>
        </w:tabs>
        <w:rPr>
          <w:rFonts w:ascii="Arial" w:hAnsi="Arial"/>
          <w:b/>
          <w:lang w:val="en-GB"/>
        </w:rPr>
      </w:pPr>
      <w:r w:rsidRPr="00B27937">
        <w:rPr>
          <w:rFonts w:ascii="Arial" w:hAnsi="Arial"/>
          <w:b/>
          <w:lang w:val="en-GB"/>
        </w:rPr>
        <w:t>Agenda Item:</w:t>
      </w:r>
      <w:r w:rsidRPr="00B27937">
        <w:rPr>
          <w:rFonts w:ascii="Arial" w:hAnsi="Arial"/>
          <w:lang w:val="en-GB"/>
        </w:rPr>
        <w:tab/>
      </w:r>
      <w:bookmarkStart w:id="0" w:name="Source"/>
      <w:bookmarkEnd w:id="0"/>
      <w:r w:rsidR="00442EC1">
        <w:rPr>
          <w:rFonts w:ascii="Arial" w:hAnsi="Arial"/>
          <w:b/>
          <w:lang w:val="en-GB"/>
        </w:rPr>
        <w:t>9</w:t>
      </w:r>
      <w:r w:rsidR="0080255D" w:rsidRPr="00B27937">
        <w:rPr>
          <w:rFonts w:ascii="Arial" w:hAnsi="Arial"/>
          <w:b/>
          <w:lang w:val="en-GB"/>
        </w:rPr>
        <w:t>.</w:t>
      </w:r>
      <w:r w:rsidR="00AF5C43">
        <w:rPr>
          <w:rFonts w:ascii="Arial" w:hAnsi="Arial"/>
          <w:b/>
          <w:lang w:val="en-GB"/>
        </w:rPr>
        <w:t>3.</w:t>
      </w:r>
      <w:r w:rsidR="0058494B">
        <w:rPr>
          <w:rFonts w:ascii="Arial" w:hAnsi="Arial"/>
          <w:b/>
          <w:lang w:val="en-GB"/>
        </w:rPr>
        <w:t>4</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1ECA4CB9"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2F6DC2" w:rsidRPr="002F6DC2">
        <w:rPr>
          <w:rFonts w:ascii="Arial" w:hAnsi="Arial" w:cs="Arial"/>
          <w:b/>
          <w:lang w:val="en-GB"/>
        </w:rPr>
        <w:t xml:space="preserve">IMT parameters for </w:t>
      </w:r>
      <w:r w:rsidR="001D7A68" w:rsidRPr="001D7A68">
        <w:rPr>
          <w:rFonts w:ascii="Arial" w:hAnsi="Arial" w:cs="Arial"/>
          <w:b/>
          <w:lang w:val="en-GB"/>
        </w:rPr>
        <w:t>14800 to 15350 MHz</w:t>
      </w:r>
    </w:p>
    <w:p w14:paraId="28480302" w14:textId="1C59B07C"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053411">
        <w:rPr>
          <w:rFonts w:ascii="Arial" w:hAnsi="Arial"/>
          <w:b/>
          <w:lang w:val="en-GB"/>
        </w:rPr>
        <w:t>Discussion</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68C4C603" w:rsidR="00815ED5" w:rsidRDefault="00CC7709" w:rsidP="00DC28D5">
      <w:pPr>
        <w:pStyle w:val="BodyText"/>
        <w:snapToGrid w:val="0"/>
        <w:rPr>
          <w:bCs/>
        </w:rPr>
      </w:pPr>
      <w:bookmarkStart w:id="3" w:name="_Hlk67504958"/>
      <w:r>
        <w:rPr>
          <w:color w:val="000000"/>
          <w:szCs w:val="20"/>
          <w:lang w:val="en-GB"/>
        </w:rPr>
        <w:t>The</w:t>
      </w:r>
      <w:r w:rsidR="00B8550A" w:rsidRPr="00B27937">
        <w:rPr>
          <w:color w:val="000000"/>
          <w:szCs w:val="20"/>
          <w:lang w:val="en-GB"/>
        </w:rPr>
        <w:t xml:space="preserve"> </w:t>
      </w:r>
      <w:r w:rsidR="00AF5C43">
        <w:rPr>
          <w:color w:val="000000"/>
          <w:szCs w:val="20"/>
          <w:lang w:val="en-GB"/>
        </w:rPr>
        <w:t>S</w:t>
      </w:r>
      <w:r w:rsidR="00A16BC9" w:rsidRPr="00B27937">
        <w:rPr>
          <w:color w:val="000000"/>
          <w:szCs w:val="20"/>
          <w:lang w:val="en-GB"/>
        </w:rPr>
        <w:t>I</w:t>
      </w:r>
      <w:r w:rsidR="00B8550A" w:rsidRPr="00B27937">
        <w:rPr>
          <w:color w:val="000000"/>
          <w:szCs w:val="20"/>
          <w:lang w:val="en-GB"/>
        </w:rPr>
        <w:t xml:space="preserve"> </w:t>
      </w:r>
      <w:r w:rsidR="00AF5C43" w:rsidRPr="00AF5C43">
        <w:rPr>
          <w:color w:val="000000"/>
          <w:szCs w:val="20"/>
          <w:lang w:val="en-GB"/>
        </w:rPr>
        <w:t xml:space="preserve">on IMT parameters for 4400 to 4800 MHz, 7125 to 8400 MHz and 14800 to 15350 MHz </w:t>
      </w:r>
      <w:r w:rsidR="00B8550A" w:rsidRPr="00B27937">
        <w:rPr>
          <w:color w:val="000000"/>
          <w:szCs w:val="20"/>
          <w:lang w:val="en-GB"/>
        </w:rPr>
        <w:t>was approved at TSG RAN#</w:t>
      </w:r>
      <w:r w:rsidR="00815ED5"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F5C43">
        <w:rPr>
          <w:color w:val="000000"/>
          <w:szCs w:val="20"/>
          <w:lang w:val="en-GB"/>
        </w:rPr>
        <w:t>S</w:t>
      </w:r>
      <w:r w:rsidR="00A16BC9" w:rsidRPr="00B27937">
        <w:rPr>
          <w:color w:val="000000"/>
          <w:szCs w:val="20"/>
          <w:lang w:val="en-GB"/>
        </w:rPr>
        <w:t>I</w:t>
      </w:r>
      <w:r w:rsidR="00DC28D5" w:rsidRPr="00B27937">
        <w:rPr>
          <w:color w:val="000000"/>
          <w:szCs w:val="20"/>
          <w:lang w:val="en-GB"/>
        </w:rPr>
        <w:t xml:space="preserve"> is</w:t>
      </w:r>
      <w:r w:rsidR="00815ED5" w:rsidRPr="00B27937">
        <w:rPr>
          <w:color w:val="000000"/>
          <w:szCs w:val="20"/>
          <w:lang w:val="en-GB"/>
        </w:rPr>
        <w:t xml:space="preserve"> to</w:t>
      </w:r>
      <w:r w:rsidR="00AF5C43">
        <w:rPr>
          <w:color w:val="000000"/>
          <w:szCs w:val="20"/>
          <w:lang w:val="en-GB"/>
        </w:rPr>
        <w:t xml:space="preserve"> </w:t>
      </w:r>
      <w:r w:rsidR="00FA6650">
        <w:rPr>
          <w:color w:val="000000"/>
          <w:szCs w:val="20"/>
          <w:lang w:val="en-GB"/>
        </w:rPr>
        <w:t>study</w:t>
      </w:r>
      <w:r w:rsidR="002F6DC2" w:rsidRPr="002F6DC2">
        <w:rPr>
          <w:bCs/>
        </w:rPr>
        <w:t xml:space="preserve"> the IMT parameters relevant for sharing and compatibility for </w:t>
      </w:r>
      <w:r w:rsidR="00681ADF">
        <w:rPr>
          <w:bCs/>
        </w:rPr>
        <w:t xml:space="preserve">14800 to 15350 MHz </w:t>
      </w:r>
      <w:r w:rsidR="002F6DC2" w:rsidRPr="002F6DC2">
        <w:rPr>
          <w:bCs/>
        </w:rPr>
        <w:t>frequency range</w:t>
      </w:r>
      <w:r w:rsidR="00AF5C43">
        <w:rPr>
          <w:bCs/>
        </w:rPr>
        <w:t>.</w:t>
      </w:r>
    </w:p>
    <w:p w14:paraId="77DD3F27" w14:textId="640C2C9A" w:rsidR="00AF5C43" w:rsidRDefault="00AF5C43" w:rsidP="00DC28D5">
      <w:pPr>
        <w:pStyle w:val="BodyText"/>
        <w:snapToGrid w:val="0"/>
        <w:rPr>
          <w:bCs/>
        </w:rPr>
      </w:pPr>
      <w:r>
        <w:rPr>
          <w:bCs/>
        </w:rPr>
        <w:t xml:space="preserve">It is stated in the </w:t>
      </w:r>
      <w:r w:rsidR="00F50C2C">
        <w:rPr>
          <w:bCs/>
        </w:rPr>
        <w:t>‘</w:t>
      </w:r>
      <w:r>
        <w:rPr>
          <w:bCs/>
        </w:rPr>
        <w:t>Justification</w:t>
      </w:r>
      <w:r w:rsidR="00F50C2C">
        <w:rPr>
          <w:bCs/>
        </w:rPr>
        <w:t>’</w:t>
      </w:r>
      <w:r>
        <w:rPr>
          <w:bCs/>
        </w:rPr>
        <w:t xml:space="preserve"> of the approved SID that:</w:t>
      </w:r>
    </w:p>
    <w:tbl>
      <w:tblPr>
        <w:tblStyle w:val="TableGrid"/>
        <w:tblW w:w="0" w:type="auto"/>
        <w:tblLook w:val="04A0" w:firstRow="1" w:lastRow="0" w:firstColumn="1" w:lastColumn="0" w:noHBand="0" w:noVBand="1"/>
      </w:tblPr>
      <w:tblGrid>
        <w:gridCol w:w="9062"/>
      </w:tblGrid>
      <w:tr w:rsidR="00AF5C43" w14:paraId="2D9BB615" w14:textId="77777777" w:rsidTr="00AF5C43">
        <w:tc>
          <w:tcPr>
            <w:tcW w:w="9062" w:type="dxa"/>
          </w:tcPr>
          <w:p w14:paraId="06B01ED6" w14:textId="37CA7BAF" w:rsidR="00AF5C43" w:rsidRPr="00AF5C43" w:rsidRDefault="00F94788" w:rsidP="00AF5C43">
            <w:pPr>
              <w:pStyle w:val="BodyText"/>
              <w:rPr>
                <w:i/>
                <w:iCs/>
              </w:rPr>
            </w:pPr>
            <w:r w:rsidRPr="00F94788">
              <w:rPr>
                <w:iCs/>
              </w:rPr>
              <w:t>Previous work e.g., SI outcomes on 7 to 24 GHz as captured in TR 38.820 or 6 to 10 GHz parameters as captured in TR 38.921</w:t>
            </w:r>
            <w:r w:rsidR="00FA6650">
              <w:rPr>
                <w:iCs/>
              </w:rPr>
              <w:t xml:space="preserve"> </w:t>
            </w:r>
            <w:r w:rsidRPr="00F94788">
              <w:rPr>
                <w:iCs/>
              </w:rPr>
              <w:t>may be taken to account, as needed.</w:t>
            </w:r>
          </w:p>
        </w:tc>
      </w:tr>
    </w:tbl>
    <w:p w14:paraId="6798906D" w14:textId="77777777" w:rsidR="00AF5C43" w:rsidRDefault="00AF5C43" w:rsidP="00DC28D5">
      <w:pPr>
        <w:pStyle w:val="BodyText"/>
        <w:snapToGrid w:val="0"/>
        <w:rPr>
          <w:color w:val="000000"/>
          <w:szCs w:val="20"/>
          <w:lang w:val="en-GB"/>
        </w:rPr>
      </w:pPr>
    </w:p>
    <w:bookmarkEnd w:id="3"/>
    <w:p w14:paraId="600A0CD0" w14:textId="691A6C89"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3F24C2">
        <w:rPr>
          <w:lang w:val="en-GB"/>
        </w:rPr>
        <w:t xml:space="preserve">discusses the </w:t>
      </w:r>
      <w:r w:rsidR="00AF5C43" w:rsidRPr="007C04C3">
        <w:rPr>
          <w:iCs/>
        </w:rPr>
        <w:t xml:space="preserve">BS antenna parameters </w:t>
      </w:r>
      <w:r w:rsidR="00FA6650">
        <w:rPr>
          <w:iCs/>
        </w:rPr>
        <w:t xml:space="preserve">from the </w:t>
      </w:r>
      <w:r w:rsidR="00FA6650" w:rsidRPr="00F94788">
        <w:rPr>
          <w:iCs/>
        </w:rPr>
        <w:t xml:space="preserve">SI outcomes on 7 to 24 GHz as captured in TR 38.820 </w:t>
      </w:r>
      <w:r w:rsidR="00FA6650">
        <w:rPr>
          <w:iCs/>
        </w:rPr>
        <w:t xml:space="preserve">[2] </w:t>
      </w:r>
      <w:r w:rsidR="003F24C2">
        <w:rPr>
          <w:color w:val="000000"/>
          <w:szCs w:val="20"/>
          <w:lang w:val="en-GB"/>
        </w:rPr>
        <w:t xml:space="preserve">and </w:t>
      </w:r>
      <w:r w:rsidR="00096D36">
        <w:rPr>
          <w:color w:val="000000"/>
          <w:szCs w:val="20"/>
          <w:lang w:val="en-GB"/>
        </w:rPr>
        <w:t>the propagation loss model in TR 36.942 [3]</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C33B1DE" w14:textId="4B9AEDED" w:rsidR="007C3E0C" w:rsidRDefault="00267655" w:rsidP="007C3E0C">
      <w:pPr>
        <w:pStyle w:val="BodyText"/>
        <w:snapToGrid w:val="0"/>
      </w:pPr>
      <w:r>
        <w:rPr>
          <w:lang w:val="en-GB"/>
        </w:rPr>
        <w:t xml:space="preserve">The </w:t>
      </w:r>
      <w:r w:rsidR="005B3E5F">
        <w:rPr>
          <w:lang w:val="en-GB"/>
        </w:rPr>
        <w:t xml:space="preserve">examples of </w:t>
      </w:r>
      <w:r w:rsidRPr="007C04C3">
        <w:rPr>
          <w:iCs/>
        </w:rPr>
        <w:t xml:space="preserve">BS antenna </w:t>
      </w:r>
      <w:r w:rsidR="005B3E5F">
        <w:rPr>
          <w:iCs/>
        </w:rPr>
        <w:t xml:space="preserve">topologies </w:t>
      </w:r>
      <w:r w:rsidRPr="007C04C3">
        <w:rPr>
          <w:rFonts w:eastAsia="SimSun" w:hint="eastAsia"/>
          <w:iCs/>
          <w:lang w:eastAsia="zh-CN"/>
        </w:rPr>
        <w:t xml:space="preserve">in </w:t>
      </w:r>
      <w:r w:rsidR="006E7E97">
        <w:rPr>
          <w:iCs/>
        </w:rPr>
        <w:t>[2]</w:t>
      </w:r>
      <w:r>
        <w:rPr>
          <w:iCs/>
        </w:rPr>
        <w:t xml:space="preserve"> </w:t>
      </w:r>
      <w:r w:rsidR="00BA167B">
        <w:rPr>
          <w:iCs/>
        </w:rPr>
        <w:t xml:space="preserve">for </w:t>
      </w:r>
      <w:r w:rsidR="00BA167B" w:rsidRPr="00F94788">
        <w:rPr>
          <w:iCs/>
        </w:rPr>
        <w:t xml:space="preserve">7 to 24 GHz </w:t>
      </w:r>
      <w:r>
        <w:rPr>
          <w:iCs/>
        </w:rPr>
        <w:t>are extracted</w:t>
      </w:r>
      <w:r w:rsidR="007C3E0C">
        <w:t xml:space="preserve"> </w:t>
      </w:r>
      <w:r>
        <w:t>below.</w:t>
      </w:r>
    </w:p>
    <w:tbl>
      <w:tblPr>
        <w:tblStyle w:val="TableGrid"/>
        <w:tblW w:w="0" w:type="auto"/>
        <w:tblLook w:val="04A0" w:firstRow="1" w:lastRow="0" w:firstColumn="1" w:lastColumn="0" w:noHBand="0" w:noVBand="1"/>
      </w:tblPr>
      <w:tblGrid>
        <w:gridCol w:w="9062"/>
      </w:tblGrid>
      <w:tr w:rsidR="007C3E0C" w14:paraId="18826EAE" w14:textId="77777777" w:rsidTr="00F7526C">
        <w:tc>
          <w:tcPr>
            <w:tcW w:w="9062" w:type="dxa"/>
          </w:tcPr>
          <w:p w14:paraId="7B92853F" w14:textId="77777777" w:rsidR="005B3E5F" w:rsidRPr="0075325E" w:rsidRDefault="005B3E5F" w:rsidP="005B3E5F">
            <w:pPr>
              <w:pStyle w:val="TF"/>
            </w:pPr>
            <w:r w:rsidRPr="0075325E">
              <w:rPr>
                <w:noProof/>
                <w:lang w:val="en-US" w:eastAsia="zh-CN"/>
              </w:rPr>
              <w:drawing>
                <wp:inline distT="0" distB="0" distL="0" distR="0" wp14:anchorId="31B7BADE" wp14:editId="5FC9F4E5">
                  <wp:extent cx="5668645" cy="2370822"/>
                  <wp:effectExtent l="0" t="0" r="825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4520" cy="2436014"/>
                          </a:xfrm>
                          <a:prstGeom prst="rect">
                            <a:avLst/>
                          </a:prstGeom>
                          <a:noFill/>
                          <a:ln>
                            <a:noFill/>
                          </a:ln>
                        </pic:spPr>
                      </pic:pic>
                    </a:graphicData>
                  </a:graphic>
                </wp:inline>
              </w:drawing>
            </w:r>
          </w:p>
          <w:p w14:paraId="5431E09B" w14:textId="08AF3FB6" w:rsidR="007C3E0C" w:rsidRDefault="005B3E5F" w:rsidP="005B3E5F">
            <w:pPr>
              <w:pStyle w:val="TF"/>
            </w:pPr>
            <w:r w:rsidRPr="0075325E">
              <w:t>Figure 7.2.3-1: Example RDN mappings</w:t>
            </w:r>
          </w:p>
        </w:tc>
      </w:tr>
    </w:tbl>
    <w:p w14:paraId="31BC3648" w14:textId="77777777" w:rsidR="00D31606" w:rsidRDefault="00D31606" w:rsidP="007C3E0C">
      <w:pPr>
        <w:pStyle w:val="BodyText"/>
        <w:snapToGrid w:val="0"/>
      </w:pPr>
    </w:p>
    <w:p w14:paraId="01F56EDC" w14:textId="55D90816" w:rsidR="00660078" w:rsidRDefault="00EC32AA" w:rsidP="007C3E0C">
      <w:pPr>
        <w:pStyle w:val="BodyText"/>
        <w:snapToGrid w:val="0"/>
      </w:pPr>
      <w:r>
        <w:t xml:space="preserve">Note that different antenna array size with different number of RDN ports are used as examples. </w:t>
      </w:r>
      <w:r w:rsidR="00096D36">
        <w:t>On the other hand, t</w:t>
      </w:r>
      <w:r w:rsidR="00660078">
        <w:t xml:space="preserve">he </w:t>
      </w:r>
      <w:r w:rsidR="001D5DA7">
        <w:t xml:space="preserve">propagation loss model </w:t>
      </w:r>
      <w:r w:rsidR="00BA167B">
        <w:t xml:space="preserve">in </w:t>
      </w:r>
      <w:r w:rsidR="001D5DA7">
        <w:t xml:space="preserve">TR 36.942 </w:t>
      </w:r>
      <w:r w:rsidR="00BA167B">
        <w:t xml:space="preserve">[3] </w:t>
      </w:r>
      <w:r w:rsidR="001D5DA7">
        <w:t>in</w:t>
      </w:r>
      <w:r w:rsidR="00BA167B">
        <w:t xml:space="preserve"> </w:t>
      </w:r>
      <w:r w:rsidR="001D5DA7">
        <w:rPr>
          <w:iCs/>
        </w:rPr>
        <w:t>urban macro</w:t>
      </w:r>
      <w:r w:rsidR="00BA167B">
        <w:rPr>
          <w:iCs/>
        </w:rPr>
        <w:t xml:space="preserve"> </w:t>
      </w:r>
      <w:r w:rsidR="001D5DA7">
        <w:rPr>
          <w:iCs/>
        </w:rPr>
        <w:t xml:space="preserve">area is </w:t>
      </w:r>
      <w:r w:rsidR="00BA167B">
        <w:rPr>
          <w:iCs/>
        </w:rPr>
        <w:t>extracted below.</w:t>
      </w:r>
    </w:p>
    <w:tbl>
      <w:tblPr>
        <w:tblStyle w:val="TableGrid"/>
        <w:tblW w:w="0" w:type="auto"/>
        <w:tblLook w:val="04A0" w:firstRow="1" w:lastRow="0" w:firstColumn="1" w:lastColumn="0" w:noHBand="0" w:noVBand="1"/>
      </w:tblPr>
      <w:tblGrid>
        <w:gridCol w:w="9062"/>
      </w:tblGrid>
      <w:tr w:rsidR="00BA167B" w14:paraId="357A8117" w14:textId="77777777" w:rsidTr="00BA167B">
        <w:tc>
          <w:tcPr>
            <w:tcW w:w="9062" w:type="dxa"/>
          </w:tcPr>
          <w:p w14:paraId="6DA9CA72" w14:textId="77777777" w:rsidR="001D5DA7" w:rsidRDefault="001D5DA7" w:rsidP="001D5DA7">
            <w:pPr>
              <w:pStyle w:val="Heading3"/>
              <w:numPr>
                <w:ilvl w:val="0"/>
                <w:numId w:val="0"/>
              </w:numPr>
              <w:tabs>
                <w:tab w:val="left" w:pos="1140"/>
              </w:tabs>
              <w:rPr>
                <w:rFonts w:eastAsia="Malgun Gothic"/>
                <w:szCs w:val="20"/>
                <w:lang w:val="en-GB"/>
              </w:rPr>
            </w:pPr>
            <w:bookmarkStart w:id="4" w:name="_Toc518937172"/>
            <w:bookmarkStart w:id="5" w:name="_Toc46233031"/>
            <w:r>
              <w:rPr>
                <w:rFonts w:eastAsia="Malgun Gothic"/>
              </w:rPr>
              <w:lastRenderedPageBreak/>
              <w:t>4.5.2</w:t>
            </w:r>
            <w:r>
              <w:rPr>
                <w:rFonts w:eastAsia="Malgun Gothic"/>
              </w:rPr>
              <w:tab/>
              <w:t>Macro cell propagation model – Urban Area</w:t>
            </w:r>
            <w:bookmarkEnd w:id="4"/>
            <w:bookmarkEnd w:id="5"/>
          </w:p>
          <w:p w14:paraId="25C85F31" w14:textId="77777777" w:rsidR="001D5DA7" w:rsidRDefault="001D5DA7" w:rsidP="001D5DA7">
            <w:pPr>
              <w:rPr>
                <w:rFonts w:eastAsia="Malgun Gothic"/>
              </w:rPr>
            </w:pPr>
            <w:r>
              <w:t xml:space="preserve">Macro cell propagation model for urban area is applicable for scenarios in urban and suburban areas outside the </w:t>
            </w:r>
            <w:proofErr w:type="gramStart"/>
            <w:r>
              <w:t>high rise</w:t>
            </w:r>
            <w:proofErr w:type="gramEnd"/>
            <w:r>
              <w:t xml:space="preserve"> core where the buildings are of nearly uniform height [3]:</w:t>
            </w:r>
          </w:p>
          <w:p w14:paraId="12F8A44F" w14:textId="77777777" w:rsidR="001D5DA7" w:rsidRDefault="001D5DA7" w:rsidP="001D5DA7">
            <w:r>
              <w:rPr>
                <w:rFonts w:eastAsia="Malgun Gothic"/>
                <w:position w:val="-12"/>
                <w:szCs w:val="20"/>
                <w:lang w:val="en-GB"/>
              </w:rPr>
              <w:object w:dxaOrig="6915" w:dyaOrig="375" w14:anchorId="4A77B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8.75pt" o:ole="">
                  <v:imagedata r:id="rId9" o:title=""/>
                </v:shape>
                <o:OLEObject Type="Embed" ProgID="Equation.3" ShapeID="_x0000_i1025" DrawAspect="Content" ObjectID="_1773849230" r:id="rId10"/>
              </w:object>
            </w:r>
          </w:p>
          <w:p w14:paraId="67C42571" w14:textId="77777777" w:rsidR="001D5DA7" w:rsidRDefault="001D5DA7" w:rsidP="001D5DA7">
            <w:r>
              <w:t>where:</w:t>
            </w:r>
          </w:p>
          <w:p w14:paraId="6ADD4979" w14:textId="77777777" w:rsidR="001D5DA7" w:rsidRDefault="001D5DA7" w:rsidP="001D5DA7">
            <w:pPr>
              <w:pStyle w:val="B10"/>
            </w:pPr>
            <w:r>
              <w:t>R is the base station-UE separation in kilometres</w:t>
            </w:r>
          </w:p>
          <w:p w14:paraId="4658969A" w14:textId="77777777" w:rsidR="001D5DA7" w:rsidRDefault="001D5DA7" w:rsidP="001D5DA7">
            <w:pPr>
              <w:pStyle w:val="B10"/>
            </w:pPr>
            <w:r>
              <w:t>f is the carrier frequency in MHz</w:t>
            </w:r>
          </w:p>
          <w:p w14:paraId="7E3E4218" w14:textId="44EAA57B" w:rsidR="00BA167B" w:rsidRDefault="001D5DA7" w:rsidP="001D5DA7">
            <w:pPr>
              <w:pStyle w:val="B10"/>
            </w:pPr>
            <w:r>
              <w:t>Dhb is the base station antenna height in metres, measured from the average rooftop level</w:t>
            </w:r>
          </w:p>
        </w:tc>
      </w:tr>
    </w:tbl>
    <w:p w14:paraId="40A5F97B" w14:textId="77777777" w:rsidR="00BA167B" w:rsidRDefault="00BA167B" w:rsidP="007C3E0C">
      <w:pPr>
        <w:pStyle w:val="BodyText"/>
        <w:snapToGrid w:val="0"/>
      </w:pPr>
    </w:p>
    <w:p w14:paraId="17E24C02" w14:textId="7B66F553" w:rsidR="00767A81" w:rsidRPr="00D31606" w:rsidRDefault="001D5DA7" w:rsidP="00767A81">
      <w:pPr>
        <w:pStyle w:val="BodyText"/>
        <w:snapToGrid w:val="0"/>
        <w:rPr>
          <w:b/>
          <w:bCs/>
          <w:lang w:eastAsia="zh-CN" w:bidi="ar"/>
        </w:rPr>
      </w:pPr>
      <w:r>
        <w:rPr>
          <w:bCs/>
          <w:lang w:eastAsia="zh-CN" w:bidi="ar"/>
        </w:rPr>
        <w:t xml:space="preserve">Since </w:t>
      </w:r>
      <w:r w:rsidR="00C9098B">
        <w:rPr>
          <w:bCs/>
          <w:lang w:eastAsia="zh-CN" w:bidi="ar"/>
        </w:rPr>
        <w:t xml:space="preserve">the carrier frequency in </w:t>
      </w:r>
      <w:r w:rsidRPr="00AF5C43">
        <w:rPr>
          <w:color w:val="000000"/>
          <w:szCs w:val="20"/>
          <w:lang w:val="en-GB"/>
        </w:rPr>
        <w:t>14800 to 15350 MHz</w:t>
      </w:r>
      <w:r>
        <w:rPr>
          <w:color w:val="000000"/>
          <w:szCs w:val="20"/>
          <w:lang w:val="en-GB"/>
        </w:rPr>
        <w:t xml:space="preserve"> is about double of </w:t>
      </w:r>
      <w:r w:rsidR="00C9098B">
        <w:rPr>
          <w:color w:val="000000"/>
          <w:szCs w:val="20"/>
          <w:lang w:val="en-GB"/>
        </w:rPr>
        <w:t xml:space="preserve">that in </w:t>
      </w:r>
      <w:r w:rsidRPr="00AF5C43">
        <w:rPr>
          <w:color w:val="000000"/>
          <w:szCs w:val="20"/>
          <w:lang w:val="en-GB"/>
        </w:rPr>
        <w:t>7125 to 8400 MHz</w:t>
      </w:r>
      <w:r>
        <w:rPr>
          <w:color w:val="000000"/>
          <w:szCs w:val="20"/>
          <w:lang w:val="en-GB"/>
        </w:rPr>
        <w:t xml:space="preserve">, the propagation loss </w:t>
      </w:r>
      <w:r w:rsidR="00C9098B">
        <w:rPr>
          <w:color w:val="000000"/>
          <w:szCs w:val="20"/>
          <w:lang w:val="en-GB"/>
        </w:rPr>
        <w:t>in</w:t>
      </w:r>
      <w:r>
        <w:rPr>
          <w:bCs/>
          <w:lang w:eastAsia="zh-CN" w:bidi="ar"/>
        </w:rPr>
        <w:t xml:space="preserve"> </w:t>
      </w:r>
      <w:r w:rsidRPr="00AF5C43">
        <w:rPr>
          <w:color w:val="000000"/>
          <w:szCs w:val="20"/>
          <w:lang w:val="en-GB"/>
        </w:rPr>
        <w:t>14800 to 15350 MHz</w:t>
      </w:r>
      <w:r>
        <w:rPr>
          <w:color w:val="000000"/>
          <w:szCs w:val="20"/>
          <w:lang w:val="en-GB"/>
        </w:rPr>
        <w:t xml:space="preserve"> in urban macro area will be around 6</w:t>
      </w:r>
      <w:r w:rsidR="00096D36">
        <w:rPr>
          <w:color w:val="000000"/>
          <w:szCs w:val="20"/>
          <w:lang w:val="en-GB"/>
        </w:rPr>
        <w:t xml:space="preserve"> </w:t>
      </w:r>
      <w:r>
        <w:rPr>
          <w:color w:val="000000"/>
          <w:szCs w:val="20"/>
          <w:lang w:val="en-GB"/>
        </w:rPr>
        <w:t xml:space="preserve">dB higher than that </w:t>
      </w:r>
      <w:r w:rsidR="00C9098B">
        <w:rPr>
          <w:color w:val="000000"/>
          <w:szCs w:val="20"/>
          <w:lang w:val="en-GB"/>
        </w:rPr>
        <w:t>in</w:t>
      </w:r>
      <w:r>
        <w:rPr>
          <w:bCs/>
          <w:lang w:eastAsia="zh-CN" w:bidi="ar"/>
        </w:rPr>
        <w:t xml:space="preserve"> </w:t>
      </w:r>
      <w:r w:rsidRPr="00AF5C43">
        <w:rPr>
          <w:color w:val="000000"/>
          <w:szCs w:val="20"/>
          <w:lang w:val="en-GB"/>
        </w:rPr>
        <w:t>7125 to 8400 MHz</w:t>
      </w:r>
      <w:r>
        <w:rPr>
          <w:color w:val="000000"/>
          <w:szCs w:val="20"/>
          <w:lang w:val="en-GB"/>
        </w:rPr>
        <w:t>.</w:t>
      </w:r>
      <w:r w:rsidR="00C9098B">
        <w:rPr>
          <w:color w:val="000000"/>
          <w:szCs w:val="20"/>
          <w:lang w:val="en-GB"/>
        </w:rPr>
        <w:t xml:space="preserve"> </w:t>
      </w:r>
      <w:r w:rsidR="00096D36">
        <w:rPr>
          <w:color w:val="000000"/>
          <w:szCs w:val="20"/>
          <w:lang w:val="en-GB"/>
        </w:rPr>
        <w:t>Therefore, the antenna characteristics in</w:t>
      </w:r>
      <w:r>
        <w:rPr>
          <w:color w:val="000000"/>
          <w:szCs w:val="20"/>
          <w:lang w:val="en-GB"/>
        </w:rPr>
        <w:t xml:space="preserve"> </w:t>
      </w:r>
      <w:r w:rsidR="00096D36" w:rsidRPr="00AF5C43">
        <w:rPr>
          <w:color w:val="000000"/>
          <w:szCs w:val="20"/>
          <w:lang w:val="en-GB"/>
        </w:rPr>
        <w:t>14800 to 15350 MHz</w:t>
      </w:r>
      <w:r w:rsidR="00096D36">
        <w:rPr>
          <w:color w:val="000000"/>
          <w:szCs w:val="20"/>
          <w:lang w:val="en-GB"/>
        </w:rPr>
        <w:t xml:space="preserve"> will need to cover around 6 dB </w:t>
      </w:r>
      <w:r w:rsidR="00C9098B">
        <w:rPr>
          <w:color w:val="000000"/>
          <w:szCs w:val="20"/>
          <w:lang w:val="en-GB"/>
        </w:rPr>
        <w:t xml:space="preserve">propagation loss </w:t>
      </w:r>
      <w:r w:rsidR="00096D36">
        <w:rPr>
          <w:color w:val="000000"/>
          <w:szCs w:val="20"/>
          <w:lang w:val="en-GB"/>
        </w:rPr>
        <w:t xml:space="preserve">difference if the same cell coverage as </w:t>
      </w:r>
      <w:r w:rsidR="00C9098B">
        <w:rPr>
          <w:color w:val="000000"/>
          <w:szCs w:val="20"/>
          <w:lang w:val="en-GB"/>
        </w:rPr>
        <w:t>in</w:t>
      </w:r>
      <w:r w:rsidR="00096D36">
        <w:rPr>
          <w:bCs/>
          <w:lang w:eastAsia="zh-CN" w:bidi="ar"/>
        </w:rPr>
        <w:t xml:space="preserve"> </w:t>
      </w:r>
      <w:r w:rsidR="00096D36" w:rsidRPr="00AF5C43">
        <w:rPr>
          <w:color w:val="000000"/>
          <w:szCs w:val="20"/>
          <w:lang w:val="en-GB"/>
        </w:rPr>
        <w:t>7125 to 8400 MHz</w:t>
      </w:r>
      <w:r w:rsidR="00096D36">
        <w:rPr>
          <w:color w:val="000000"/>
          <w:szCs w:val="20"/>
          <w:lang w:val="en-GB"/>
        </w:rPr>
        <w:t xml:space="preserve"> is targeted. This can be achieved by, e.g., doubling the antenna array size in both horizontal and vertical dimensions</w:t>
      </w:r>
      <w:r w:rsidR="00EC32AA">
        <w:rPr>
          <w:color w:val="000000"/>
          <w:szCs w:val="20"/>
          <w:lang w:val="en-GB"/>
        </w:rPr>
        <w:t>, or doubling the antenna array size in one dimension and doubling the TRX chains (each of which connected to one RDN port).</w:t>
      </w:r>
    </w:p>
    <w:p w14:paraId="063193AE" w14:textId="77777777" w:rsidR="002649DC" w:rsidRPr="00B27937" w:rsidRDefault="002649DC" w:rsidP="00C40FC6">
      <w:pPr>
        <w:pStyle w:val="BodyText"/>
        <w:snapToGrid w:val="0"/>
        <w:rPr>
          <w:lang w:val="en-GB"/>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02937536" w14:textId="7C566443" w:rsidR="006E7E97" w:rsidRDefault="00096D36" w:rsidP="00A62614">
      <w:pPr>
        <w:pStyle w:val="BodyText"/>
        <w:snapToGrid w:val="0"/>
        <w:rPr>
          <w:lang w:val="en-GB"/>
        </w:rPr>
      </w:pPr>
      <w:r w:rsidRPr="00B27937">
        <w:rPr>
          <w:lang w:val="en-GB"/>
        </w:rPr>
        <w:t xml:space="preserve">This contribution </w:t>
      </w:r>
      <w:r>
        <w:rPr>
          <w:lang w:val="en-GB"/>
        </w:rPr>
        <w:t xml:space="preserve">discusses the </w:t>
      </w:r>
      <w:r w:rsidRPr="007C04C3">
        <w:rPr>
          <w:iCs/>
        </w:rPr>
        <w:t xml:space="preserve">BS antenna parameters </w:t>
      </w:r>
      <w:r>
        <w:rPr>
          <w:iCs/>
        </w:rPr>
        <w:t xml:space="preserve">from the </w:t>
      </w:r>
      <w:r w:rsidRPr="00F94788">
        <w:rPr>
          <w:iCs/>
        </w:rPr>
        <w:t xml:space="preserve">SI outcomes on 7 to 24 GHz as captured in TR 38.820 </w:t>
      </w:r>
      <w:r>
        <w:rPr>
          <w:iCs/>
        </w:rPr>
        <w:t xml:space="preserve">[2] </w:t>
      </w:r>
      <w:r>
        <w:rPr>
          <w:color w:val="000000"/>
          <w:szCs w:val="20"/>
          <w:lang w:val="en-GB"/>
        </w:rPr>
        <w:t>and the propagation loss model in TR 36.942 [3]</w:t>
      </w:r>
      <w:r w:rsidRPr="00B27937">
        <w:rPr>
          <w:lang w:val="en-GB"/>
        </w:rPr>
        <w:t>.</w:t>
      </w:r>
    </w:p>
    <w:p w14:paraId="4C7F3233" w14:textId="5103C3D4" w:rsidR="00C9098B" w:rsidRPr="00D31606" w:rsidRDefault="00C9098B" w:rsidP="00C9098B">
      <w:pPr>
        <w:pStyle w:val="BodyText"/>
        <w:snapToGrid w:val="0"/>
        <w:rPr>
          <w:b/>
          <w:bCs/>
          <w:lang w:eastAsia="zh-CN" w:bidi="ar"/>
        </w:rPr>
      </w:pPr>
      <w:r>
        <w:rPr>
          <w:lang w:val="en-GB"/>
        </w:rPr>
        <w:t xml:space="preserve">It is observed that </w:t>
      </w:r>
      <w:r>
        <w:rPr>
          <w:color w:val="000000"/>
          <w:szCs w:val="20"/>
          <w:lang w:val="en-GB"/>
        </w:rPr>
        <w:t>the antenna characteristics in</w:t>
      </w:r>
      <w:r>
        <w:rPr>
          <w:bCs/>
          <w:lang w:eastAsia="zh-CN" w:bidi="ar"/>
        </w:rPr>
        <w:t xml:space="preserve"> </w:t>
      </w:r>
      <w:r w:rsidRPr="00AF5C43">
        <w:rPr>
          <w:color w:val="000000"/>
          <w:szCs w:val="20"/>
          <w:lang w:val="en-GB"/>
        </w:rPr>
        <w:t>14800 to 15350 MHz</w:t>
      </w:r>
      <w:r>
        <w:rPr>
          <w:color w:val="000000"/>
          <w:szCs w:val="20"/>
          <w:lang w:val="en-GB"/>
        </w:rPr>
        <w:t xml:space="preserve"> will need to cover around 6 dB propagation loss difference if the same cell coverage as in</w:t>
      </w:r>
      <w:r>
        <w:rPr>
          <w:bCs/>
          <w:lang w:eastAsia="zh-CN" w:bidi="ar"/>
        </w:rPr>
        <w:t xml:space="preserve"> </w:t>
      </w:r>
      <w:r w:rsidRPr="00AF5C43">
        <w:rPr>
          <w:color w:val="000000"/>
          <w:szCs w:val="20"/>
          <w:lang w:val="en-GB"/>
        </w:rPr>
        <w:t>7125 to 8400 MHz</w:t>
      </w:r>
      <w:r>
        <w:rPr>
          <w:color w:val="000000"/>
          <w:szCs w:val="20"/>
          <w:lang w:val="en-GB"/>
        </w:rPr>
        <w:t xml:space="preserve"> is targeted.</w:t>
      </w:r>
      <w:r w:rsidRPr="00C9098B">
        <w:rPr>
          <w:color w:val="000000"/>
          <w:szCs w:val="20"/>
          <w:lang w:val="en-GB"/>
        </w:rPr>
        <w:t xml:space="preserve"> </w:t>
      </w:r>
      <w:r>
        <w:rPr>
          <w:color w:val="000000"/>
          <w:szCs w:val="20"/>
          <w:lang w:val="en-GB"/>
        </w:rPr>
        <w:t>This can be achieved by, e.g., doubling the antenna array size in both horizontal and vertical dimensions</w:t>
      </w:r>
      <w:r w:rsidR="00EC32AA">
        <w:rPr>
          <w:color w:val="000000"/>
          <w:szCs w:val="20"/>
          <w:lang w:val="en-GB"/>
        </w:rPr>
        <w:t>, or doubling the antenna array size in one dimension and doubling the TRX chains (each of which connected to one RDN port)</w:t>
      </w:r>
      <w:r>
        <w:rPr>
          <w:color w:val="000000"/>
          <w:szCs w:val="20"/>
          <w:lang w:val="en-GB"/>
        </w:rPr>
        <w:t>.</w:t>
      </w:r>
    </w:p>
    <w:p w14:paraId="5AD4E1E3" w14:textId="77777777" w:rsidR="00096D36" w:rsidRPr="00B27937" w:rsidRDefault="00096D36" w:rsidP="00A62614">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7491783E" w:rsidR="00B8550A"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w:t>
      </w:r>
      <w:r w:rsidR="00267655">
        <w:rPr>
          <w:szCs w:val="20"/>
          <w:lang w:val="en-GB"/>
        </w:rPr>
        <w:t>787</w:t>
      </w:r>
      <w:r w:rsidRPr="00B27937">
        <w:rPr>
          <w:szCs w:val="20"/>
          <w:lang w:val="en-GB"/>
        </w:rPr>
        <w:t>, “</w:t>
      </w:r>
      <w:r w:rsidR="00267655" w:rsidRPr="00267655">
        <w:rPr>
          <w:szCs w:val="20"/>
          <w:lang w:val="en-GB"/>
        </w:rPr>
        <w:t>New SI proposal: Study on IMT parameters for 4400 to 4800 MHz, 7125 to 8400 MHz and 14800 to 15350 MHz</w:t>
      </w:r>
      <w:r w:rsidRPr="00B27937">
        <w:rPr>
          <w:szCs w:val="20"/>
          <w:lang w:val="en-GB"/>
        </w:rPr>
        <w:t xml:space="preserve">”, </w:t>
      </w:r>
      <w:r w:rsidR="00CC7709" w:rsidRPr="00CC7709">
        <w:rPr>
          <w:szCs w:val="20"/>
          <w:lang w:val="en-GB"/>
        </w:rPr>
        <w:t>Ericsson</w:t>
      </w:r>
      <w:r w:rsidRPr="00B27937">
        <w:rPr>
          <w:szCs w:val="20"/>
          <w:lang w:val="en-GB"/>
        </w:rPr>
        <w:t>.</w:t>
      </w:r>
    </w:p>
    <w:p w14:paraId="43AE4C31" w14:textId="32724F65" w:rsidR="00F50C2C" w:rsidRPr="00B27937" w:rsidRDefault="00F50C2C" w:rsidP="00F50C2C">
      <w:pPr>
        <w:ind w:left="567" w:hanging="567"/>
        <w:rPr>
          <w:lang w:val="en-GB"/>
        </w:rPr>
      </w:pPr>
      <w:r w:rsidRPr="00B27937">
        <w:rPr>
          <w:lang w:val="en-GB"/>
        </w:rPr>
        <w:t>[2]</w:t>
      </w:r>
      <w:r w:rsidRPr="00B27937">
        <w:rPr>
          <w:lang w:val="en-GB"/>
        </w:rPr>
        <w:tab/>
        <w:t>3GPP T</w:t>
      </w:r>
      <w:r>
        <w:rPr>
          <w:lang w:val="en-GB"/>
        </w:rPr>
        <w:t>R</w:t>
      </w:r>
      <w:r w:rsidRPr="00B27937">
        <w:rPr>
          <w:lang w:val="en-GB"/>
        </w:rPr>
        <w:t xml:space="preserve"> 38.</w:t>
      </w:r>
      <w:r>
        <w:rPr>
          <w:lang w:val="en-GB"/>
        </w:rPr>
        <w:t>820</w:t>
      </w:r>
      <w:r w:rsidRPr="00B27937">
        <w:rPr>
          <w:lang w:val="en-GB"/>
        </w:rPr>
        <w:t xml:space="preserve">-1 </w:t>
      </w:r>
      <w:r w:rsidRPr="00B27937">
        <w:rPr>
          <w:szCs w:val="20"/>
          <w:lang w:val="en-GB"/>
        </w:rPr>
        <w:t>v1</w:t>
      </w:r>
      <w:r>
        <w:rPr>
          <w:szCs w:val="20"/>
          <w:lang w:val="en-GB"/>
        </w:rPr>
        <w:t>6</w:t>
      </w:r>
      <w:r w:rsidRPr="00B27937">
        <w:rPr>
          <w:szCs w:val="20"/>
          <w:lang w:val="en-GB"/>
        </w:rPr>
        <w:t>.</w:t>
      </w:r>
      <w:r>
        <w:rPr>
          <w:szCs w:val="20"/>
          <w:lang w:val="en-GB"/>
        </w:rPr>
        <w:t>1</w:t>
      </w:r>
      <w:r w:rsidRPr="00B27937">
        <w:rPr>
          <w:szCs w:val="20"/>
          <w:lang w:val="en-GB"/>
        </w:rPr>
        <w:t>.0</w:t>
      </w:r>
      <w:r w:rsidRPr="00B27937">
        <w:rPr>
          <w:lang w:val="en-GB"/>
        </w:rPr>
        <w:t xml:space="preserve">: “NR; </w:t>
      </w:r>
      <w:r w:rsidRPr="00F50C2C">
        <w:rPr>
          <w:lang w:val="en-GB"/>
        </w:rPr>
        <w:t>7 - 24 GHz frequency range</w:t>
      </w:r>
      <w:r w:rsidRPr="00B27937">
        <w:rPr>
          <w:lang w:val="en-GB"/>
        </w:rPr>
        <w:t>”.</w:t>
      </w:r>
    </w:p>
    <w:p w14:paraId="4C9FCF00" w14:textId="545E7DAF" w:rsidR="009C3424" w:rsidRPr="00B27937" w:rsidRDefault="009C3424" w:rsidP="00C9098B">
      <w:pPr>
        <w:tabs>
          <w:tab w:val="center" w:pos="4153"/>
          <w:tab w:val="right" w:pos="8306"/>
        </w:tabs>
        <w:ind w:left="567" w:hanging="567"/>
        <w:rPr>
          <w:szCs w:val="20"/>
          <w:lang w:val="en-GB"/>
        </w:rPr>
      </w:pPr>
      <w:r>
        <w:rPr>
          <w:szCs w:val="20"/>
          <w:lang w:val="en-GB"/>
        </w:rPr>
        <w:t>[</w:t>
      </w:r>
      <w:r w:rsidR="00371F93">
        <w:rPr>
          <w:szCs w:val="20"/>
          <w:lang w:val="en-GB"/>
        </w:rPr>
        <w:t>3</w:t>
      </w:r>
      <w:r>
        <w:rPr>
          <w:szCs w:val="20"/>
          <w:lang w:val="en-GB"/>
        </w:rPr>
        <w:t>]</w:t>
      </w:r>
      <w:r>
        <w:rPr>
          <w:szCs w:val="20"/>
          <w:lang w:val="en-GB"/>
        </w:rPr>
        <w:tab/>
      </w:r>
      <w:r w:rsidR="00F50C2C" w:rsidRPr="00B27937">
        <w:rPr>
          <w:lang w:val="en-GB"/>
        </w:rPr>
        <w:t>3GPP T</w:t>
      </w:r>
      <w:r w:rsidR="00F50C2C">
        <w:rPr>
          <w:lang w:val="en-GB"/>
        </w:rPr>
        <w:t>R</w:t>
      </w:r>
      <w:r w:rsidR="00F50C2C" w:rsidRPr="00B27937">
        <w:rPr>
          <w:lang w:val="en-GB"/>
        </w:rPr>
        <w:t xml:space="preserve"> 3</w:t>
      </w:r>
      <w:r w:rsidR="00C9098B">
        <w:rPr>
          <w:lang w:val="en-GB"/>
        </w:rPr>
        <w:t>6</w:t>
      </w:r>
      <w:r w:rsidR="00F50C2C" w:rsidRPr="00B27937">
        <w:rPr>
          <w:lang w:val="en-GB"/>
        </w:rPr>
        <w:t>.</w:t>
      </w:r>
      <w:r w:rsidR="00C9098B">
        <w:rPr>
          <w:lang w:val="en-GB"/>
        </w:rPr>
        <w:t>942</w:t>
      </w:r>
      <w:r w:rsidR="00F50C2C" w:rsidRPr="00B27937">
        <w:rPr>
          <w:lang w:val="en-GB"/>
        </w:rPr>
        <w:t xml:space="preserve"> </w:t>
      </w:r>
      <w:r w:rsidR="00F50C2C" w:rsidRPr="00B27937">
        <w:rPr>
          <w:szCs w:val="20"/>
          <w:lang w:val="en-GB"/>
        </w:rPr>
        <w:t>v1</w:t>
      </w:r>
      <w:r w:rsidR="00C9098B">
        <w:rPr>
          <w:szCs w:val="20"/>
          <w:lang w:val="en-GB"/>
        </w:rPr>
        <w:t>8</w:t>
      </w:r>
      <w:r w:rsidR="00F50C2C" w:rsidRPr="00B27937">
        <w:rPr>
          <w:szCs w:val="20"/>
          <w:lang w:val="en-GB"/>
        </w:rPr>
        <w:t>.</w:t>
      </w:r>
      <w:r w:rsidR="00C9098B">
        <w:rPr>
          <w:szCs w:val="20"/>
          <w:lang w:val="en-GB"/>
        </w:rPr>
        <w:t>0</w:t>
      </w:r>
      <w:r w:rsidR="00F50C2C" w:rsidRPr="00B27937">
        <w:rPr>
          <w:szCs w:val="20"/>
          <w:lang w:val="en-GB"/>
        </w:rPr>
        <w:t>.0</w:t>
      </w:r>
      <w:r w:rsidR="00F50C2C" w:rsidRPr="00B27937">
        <w:rPr>
          <w:lang w:val="en-GB"/>
        </w:rPr>
        <w:t>: “</w:t>
      </w:r>
      <w:r w:rsidR="00C9098B" w:rsidRPr="00C9098B">
        <w:rPr>
          <w:lang w:val="en-GB"/>
        </w:rPr>
        <w:t>Evolved Universal Terrestrial Radio Access (E-UTRA);</w:t>
      </w:r>
      <w:r w:rsidR="00C9098B">
        <w:rPr>
          <w:lang w:val="en-GB"/>
        </w:rPr>
        <w:t xml:space="preserve"> </w:t>
      </w:r>
      <w:r w:rsidR="00C9098B" w:rsidRPr="00C9098B">
        <w:rPr>
          <w:lang w:val="en-GB"/>
        </w:rPr>
        <w:t>Radio Frequency (RF) system scenarios</w:t>
      </w:r>
      <w:r w:rsidR="00F50C2C" w:rsidRPr="00B27937">
        <w:rPr>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9E0A19">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6C47" w14:textId="77777777" w:rsidR="009E0A19" w:rsidRPr="004E3B67" w:rsidRDefault="009E0A19" w:rsidP="00DA44AD">
      <w:pPr>
        <w:rPr>
          <w:rFonts w:eastAsia="SimSun" w:cs="Arial"/>
          <w:color w:val="0000FF"/>
          <w:kern w:val="2"/>
          <w:lang w:eastAsia="zh-CN"/>
        </w:rPr>
      </w:pPr>
      <w:r>
        <w:separator/>
      </w:r>
    </w:p>
  </w:endnote>
  <w:endnote w:type="continuationSeparator" w:id="0">
    <w:p w14:paraId="1A6DBA76" w14:textId="77777777" w:rsidR="009E0A19" w:rsidRPr="004E3B67" w:rsidRDefault="009E0A1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A25A3" w14:textId="77777777" w:rsidR="009E0A19" w:rsidRPr="004E3B67" w:rsidRDefault="009E0A19" w:rsidP="00DA44AD">
      <w:pPr>
        <w:rPr>
          <w:rFonts w:eastAsia="SimSun" w:cs="Arial"/>
          <w:color w:val="0000FF"/>
          <w:kern w:val="2"/>
          <w:lang w:eastAsia="zh-CN"/>
        </w:rPr>
      </w:pPr>
      <w:r>
        <w:separator/>
      </w:r>
    </w:p>
  </w:footnote>
  <w:footnote w:type="continuationSeparator" w:id="0">
    <w:p w14:paraId="43F1FAA0" w14:textId="77777777" w:rsidR="009E0A19" w:rsidRPr="004E3B67" w:rsidRDefault="009E0A1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5"/>
  </w:num>
  <w:num w:numId="2" w16cid:durableId="1378358345">
    <w:abstractNumId w:val="23"/>
  </w:num>
  <w:num w:numId="3" w16cid:durableId="312832844">
    <w:abstractNumId w:val="22"/>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1"/>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4"/>
  </w:num>
  <w:num w:numId="17" w16cid:durableId="1190682149">
    <w:abstractNumId w:val="16"/>
  </w:num>
  <w:num w:numId="18" w16cid:durableId="1690646213">
    <w:abstractNumId w:val="20"/>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19"/>
  </w:num>
  <w:num w:numId="26" w16cid:durableId="2060395324">
    <w:abstractNumId w:val="14"/>
  </w:num>
  <w:num w:numId="27" w16cid:durableId="1333558635">
    <w:abstractNumId w:val="0"/>
  </w:num>
  <w:num w:numId="28" w16cid:durableId="182832479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062F6"/>
    <w:rsid w:val="00011961"/>
    <w:rsid w:val="00011C73"/>
    <w:rsid w:val="000121A8"/>
    <w:rsid w:val="000131F1"/>
    <w:rsid w:val="00014829"/>
    <w:rsid w:val="00015043"/>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411"/>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96D36"/>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0BA0"/>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45F"/>
    <w:rsid w:val="00196C84"/>
    <w:rsid w:val="001A03B2"/>
    <w:rsid w:val="001A0E45"/>
    <w:rsid w:val="001A2597"/>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D0753"/>
    <w:rsid w:val="001D1299"/>
    <w:rsid w:val="001D2ADD"/>
    <w:rsid w:val="001D31B6"/>
    <w:rsid w:val="001D31C9"/>
    <w:rsid w:val="001D50C6"/>
    <w:rsid w:val="001D5DA7"/>
    <w:rsid w:val="001D7A68"/>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9DC"/>
    <w:rsid w:val="00264FF8"/>
    <w:rsid w:val="002668EF"/>
    <w:rsid w:val="002671C3"/>
    <w:rsid w:val="00267655"/>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2F6DC2"/>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F93"/>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3A9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63FC"/>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3A03"/>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494B"/>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3E5F"/>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499"/>
    <w:rsid w:val="0062176F"/>
    <w:rsid w:val="0062177E"/>
    <w:rsid w:val="00622EEE"/>
    <w:rsid w:val="006233D7"/>
    <w:rsid w:val="00623751"/>
    <w:rsid w:val="0062438A"/>
    <w:rsid w:val="00624FC2"/>
    <w:rsid w:val="0062548E"/>
    <w:rsid w:val="00625BA1"/>
    <w:rsid w:val="00626432"/>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78"/>
    <w:rsid w:val="00661F0E"/>
    <w:rsid w:val="006625B6"/>
    <w:rsid w:val="00663DA7"/>
    <w:rsid w:val="00664045"/>
    <w:rsid w:val="006645B2"/>
    <w:rsid w:val="006703C1"/>
    <w:rsid w:val="00671EC7"/>
    <w:rsid w:val="00673A9D"/>
    <w:rsid w:val="006771DB"/>
    <w:rsid w:val="00677355"/>
    <w:rsid w:val="00680E4F"/>
    <w:rsid w:val="0068134B"/>
    <w:rsid w:val="00681ADF"/>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E9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342"/>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A81"/>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15B"/>
    <w:rsid w:val="007A7510"/>
    <w:rsid w:val="007A7C5F"/>
    <w:rsid w:val="007B0EFE"/>
    <w:rsid w:val="007B15B1"/>
    <w:rsid w:val="007B1BB9"/>
    <w:rsid w:val="007B24B7"/>
    <w:rsid w:val="007B54E7"/>
    <w:rsid w:val="007B648C"/>
    <w:rsid w:val="007B6589"/>
    <w:rsid w:val="007B7060"/>
    <w:rsid w:val="007C0EAC"/>
    <w:rsid w:val="007C3E0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6D34"/>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4E85"/>
    <w:rsid w:val="00875532"/>
    <w:rsid w:val="00875609"/>
    <w:rsid w:val="00875969"/>
    <w:rsid w:val="00876959"/>
    <w:rsid w:val="00876E47"/>
    <w:rsid w:val="00880245"/>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73F"/>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3FD"/>
    <w:rsid w:val="009C1E83"/>
    <w:rsid w:val="009C296F"/>
    <w:rsid w:val="009C2B5B"/>
    <w:rsid w:val="009C3424"/>
    <w:rsid w:val="009C51ED"/>
    <w:rsid w:val="009C54E0"/>
    <w:rsid w:val="009C5B7D"/>
    <w:rsid w:val="009C5C36"/>
    <w:rsid w:val="009C7F0F"/>
    <w:rsid w:val="009D08A3"/>
    <w:rsid w:val="009D483E"/>
    <w:rsid w:val="009D48A7"/>
    <w:rsid w:val="009D66EB"/>
    <w:rsid w:val="009D6AB2"/>
    <w:rsid w:val="009D6DA5"/>
    <w:rsid w:val="009D770C"/>
    <w:rsid w:val="009E0A19"/>
    <w:rsid w:val="009E0E0F"/>
    <w:rsid w:val="009E0EFF"/>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460"/>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24E"/>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AF5C43"/>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566C"/>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9C5"/>
    <w:rsid w:val="00BA0B33"/>
    <w:rsid w:val="00BA1109"/>
    <w:rsid w:val="00BA167B"/>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98B"/>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13D"/>
    <w:rsid w:val="00D07B9A"/>
    <w:rsid w:val="00D07E78"/>
    <w:rsid w:val="00D104B6"/>
    <w:rsid w:val="00D1184F"/>
    <w:rsid w:val="00D11AF2"/>
    <w:rsid w:val="00D11BBF"/>
    <w:rsid w:val="00D12005"/>
    <w:rsid w:val="00D136DF"/>
    <w:rsid w:val="00D1389A"/>
    <w:rsid w:val="00D158C5"/>
    <w:rsid w:val="00D16777"/>
    <w:rsid w:val="00D16CF0"/>
    <w:rsid w:val="00D17DA6"/>
    <w:rsid w:val="00D23C1B"/>
    <w:rsid w:val="00D255C1"/>
    <w:rsid w:val="00D25CC1"/>
    <w:rsid w:val="00D301EB"/>
    <w:rsid w:val="00D31306"/>
    <w:rsid w:val="00D316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1717"/>
    <w:rsid w:val="00E629AE"/>
    <w:rsid w:val="00E62A2E"/>
    <w:rsid w:val="00E636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7C7"/>
    <w:rsid w:val="00E95AB8"/>
    <w:rsid w:val="00EA02E8"/>
    <w:rsid w:val="00EA06F5"/>
    <w:rsid w:val="00EA08FC"/>
    <w:rsid w:val="00EA0A2A"/>
    <w:rsid w:val="00EA18AE"/>
    <w:rsid w:val="00EA279F"/>
    <w:rsid w:val="00EA2837"/>
    <w:rsid w:val="00EA5707"/>
    <w:rsid w:val="00EA7C80"/>
    <w:rsid w:val="00EA7FA7"/>
    <w:rsid w:val="00EB26EE"/>
    <w:rsid w:val="00EB2915"/>
    <w:rsid w:val="00EB29C9"/>
    <w:rsid w:val="00EB2A24"/>
    <w:rsid w:val="00EB5BA4"/>
    <w:rsid w:val="00EB5F37"/>
    <w:rsid w:val="00EB6CB7"/>
    <w:rsid w:val="00EC0AD2"/>
    <w:rsid w:val="00EC1423"/>
    <w:rsid w:val="00EC147C"/>
    <w:rsid w:val="00EC2995"/>
    <w:rsid w:val="00EC32AA"/>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C2C"/>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4788"/>
    <w:rsid w:val="00F95155"/>
    <w:rsid w:val="00F97567"/>
    <w:rsid w:val="00FA074B"/>
    <w:rsid w:val="00FA0956"/>
    <w:rsid w:val="00FA2072"/>
    <w:rsid w:val="00FA2CBF"/>
    <w:rsid w:val="00FA4172"/>
    <w:rsid w:val="00FA491A"/>
    <w:rsid w:val="00FA6650"/>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348B"/>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styleId="Hyperlink">
    <w:name w:val="Hyperlink"/>
    <w:uiPriority w:val="99"/>
    <w:unhideWhenUsed/>
    <w:qFormat/>
    <w:rsid w:val="00267655"/>
    <w:rPr>
      <w:color w:val="0000FF"/>
      <w:u w:val="single"/>
    </w:rPr>
  </w:style>
  <w:style w:type="character" w:customStyle="1" w:styleId="TableheadChar">
    <w:name w:val="Table_head Char"/>
    <w:link w:val="Tablehead"/>
    <w:qFormat/>
    <w:locked/>
    <w:rsid w:val="00267655"/>
    <w:rPr>
      <w:rFonts w:ascii="Times New Roman Bold" w:eastAsia="Times New Roman" w:hAnsi="Times New Roman Bold" w:cs="Times New Roman Bold"/>
      <w:b/>
      <w:lang w:eastAsia="en-US"/>
    </w:rPr>
  </w:style>
  <w:style w:type="paragraph" w:customStyle="1" w:styleId="Tablehead">
    <w:name w:val="Table_head"/>
    <w:basedOn w:val="Normal"/>
    <w:link w:val="TableheadChar"/>
    <w:qFormat/>
    <w:rsid w:val="00267655"/>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szCs w:val="20"/>
      <w:lang w:val="en-GB"/>
    </w:rPr>
  </w:style>
  <w:style w:type="character" w:customStyle="1" w:styleId="TableNoChar">
    <w:name w:val="Table_No Char"/>
    <w:link w:val="TableNo"/>
    <w:qFormat/>
    <w:locked/>
    <w:rsid w:val="009C3424"/>
    <w:rPr>
      <w:rFonts w:ascii="Times New Roman" w:eastAsia="Times New Roman" w:hAnsi="Times New Roman"/>
      <w:caps/>
      <w:lang w:eastAsia="en-US"/>
    </w:rPr>
  </w:style>
  <w:style w:type="character" w:customStyle="1" w:styleId="TabletitleChar">
    <w:name w:val="Table_title Char"/>
    <w:link w:val="Tabletitle"/>
    <w:qFormat/>
    <w:locked/>
    <w:rsid w:val="006E7E97"/>
    <w:rPr>
      <w:rFonts w:ascii="Times New Roman Bold" w:eastAsia="Times New Roman" w:hAnsi="Times New Roman Bold"/>
      <w:b/>
      <w:lang w:eastAsia="en-US"/>
    </w:rPr>
  </w:style>
  <w:style w:type="character" w:customStyle="1" w:styleId="TFChar">
    <w:name w:val="TF Char"/>
    <w:link w:val="TF"/>
    <w:qFormat/>
    <w:rsid w:val="005B3E5F"/>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2201734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61141361">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225521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476</Words>
  <Characters>2717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8</cp:revision>
  <dcterms:created xsi:type="dcterms:W3CDTF">2024-04-05T10:50:00Z</dcterms:created>
  <dcterms:modified xsi:type="dcterms:W3CDTF">2024-04-05T18:07:00Z</dcterms:modified>
</cp:coreProperties>
</file>