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31E9">
        <w:fldChar w:fldCharType="begin"/>
      </w:r>
      <w:r w:rsidR="001331E9">
        <w:instrText xml:space="preserve"> DOCPROPERTY  TSG/WGRef  \* MERGEFORMAT </w:instrText>
      </w:r>
      <w:r w:rsidR="001331E9">
        <w:fldChar w:fldCharType="separate"/>
      </w:r>
      <w:r w:rsidR="003609EF">
        <w:rPr>
          <w:b/>
          <w:noProof/>
          <w:sz w:val="24"/>
        </w:rPr>
        <w:t>RAN4</w:t>
      </w:r>
      <w:r w:rsidR="001331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331E9">
        <w:fldChar w:fldCharType="begin"/>
      </w:r>
      <w:r w:rsidR="001331E9">
        <w:instrText xml:space="preserve"> DOCPROPERTY  MtgSeq  \* MERGEFORMAT </w:instrText>
      </w:r>
      <w:r w:rsidR="001331E9">
        <w:fldChar w:fldCharType="separate"/>
      </w:r>
      <w:r w:rsidR="00EB09B7" w:rsidRPr="00EB09B7">
        <w:rPr>
          <w:b/>
          <w:noProof/>
          <w:sz w:val="24"/>
        </w:rPr>
        <w:t>110</w:t>
      </w:r>
      <w:r w:rsidR="001331E9">
        <w:rPr>
          <w:b/>
          <w:noProof/>
          <w:sz w:val="24"/>
        </w:rPr>
        <w:fldChar w:fldCharType="end"/>
      </w:r>
      <w:r w:rsidR="001331E9">
        <w:fldChar w:fldCharType="begin"/>
      </w:r>
      <w:r w:rsidR="001331E9">
        <w:instrText xml:space="preserve"> DOCPROPERTY  MtgTitle  \* MERGEFORMAT </w:instrText>
      </w:r>
      <w:r w:rsidR="001331E9">
        <w:fldChar w:fldCharType="separate"/>
      </w:r>
      <w:r w:rsidR="001331E9">
        <w:fldChar w:fldCharType="end"/>
      </w:r>
      <w:r>
        <w:rPr>
          <w:b/>
          <w:i/>
          <w:noProof/>
          <w:sz w:val="28"/>
        </w:rPr>
        <w:tab/>
      </w:r>
      <w:r w:rsidR="001331E9">
        <w:fldChar w:fldCharType="begin"/>
      </w:r>
      <w:r w:rsidR="001331E9">
        <w:instrText xml:space="preserve"> DOCPROPERTY  Tdoc#  \* MERGEFORMAT </w:instrText>
      </w:r>
      <w:r w:rsidR="001331E9">
        <w:fldChar w:fldCharType="separate"/>
      </w:r>
      <w:r w:rsidR="00E13F3D" w:rsidRPr="00E13F3D">
        <w:rPr>
          <w:b/>
          <w:i/>
          <w:noProof/>
          <w:sz w:val="28"/>
        </w:rPr>
        <w:t>R4-2400570</w:t>
      </w:r>
      <w:r w:rsidR="001331E9">
        <w:rPr>
          <w:b/>
          <w:i/>
          <w:noProof/>
          <w:sz w:val="28"/>
        </w:rPr>
        <w:fldChar w:fldCharType="end"/>
      </w:r>
    </w:p>
    <w:p w14:paraId="7CB45193" w14:textId="77777777" w:rsidR="001E41F3" w:rsidRDefault="001331E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331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331E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331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331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A350C4" w:rsidR="00F25D98" w:rsidRDefault="00CD58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331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(NR_RF_FR1) Introduction of missing DMRS configuration restriction for intra-ULCA in FR1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331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312A31" w:rsidR="001E41F3" w:rsidRDefault="00CD58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331E9">
              <w:fldChar w:fldCharType="begin"/>
            </w:r>
            <w:r w:rsidR="001331E9">
              <w:instrText xml:space="preserve"> DOCPROPERTY  SourceIfTsg  \* MERGEFORMAT </w:instrText>
            </w:r>
            <w:r w:rsidR="001331E9">
              <w:fldChar w:fldCharType="separate"/>
            </w:r>
            <w:r w:rsidR="001331E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331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NR_RF_FR1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331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331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331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4E4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4E45" w:rsidRDefault="004E4E45" w:rsidP="004E4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C8FD9" w14:textId="77777777" w:rsidR="004E4E45" w:rsidRDefault="004E4E45" w:rsidP="004E4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restriction on DMRS configuration for CA cases where multiple CCs are transmitted from the same transmit chain.</w:t>
            </w:r>
          </w:p>
          <w:p w14:paraId="4C77472E" w14:textId="77777777" w:rsidR="004E4E45" w:rsidRDefault="004E4E45" w:rsidP="004E4E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6F29744" w:rsidR="004E4E45" w:rsidRDefault="004E4E45" w:rsidP="004E4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restriction already exists from Rel-15 for FR2, but was not captured in the FR1 specification when intra-band CA was introduced for FR1 in Rel-16.</w:t>
            </w:r>
          </w:p>
        </w:tc>
      </w:tr>
      <w:tr w:rsidR="004E4E4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4E45" w:rsidRDefault="004E4E45" w:rsidP="004E4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4E45" w:rsidRDefault="004E4E45" w:rsidP="004E4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4E4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4E45" w:rsidRDefault="004E4E45" w:rsidP="004E4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A1C03A" w:rsidR="004E4E45" w:rsidRDefault="004E4E45" w:rsidP="004E4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Replicate restriction from FR2 for the case where multiple CCs are transmitted using the same transmit chain. </w:t>
            </w:r>
          </w:p>
        </w:tc>
      </w:tr>
      <w:tr w:rsidR="004E4E4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4E45" w:rsidRDefault="004E4E45" w:rsidP="004E4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4E45" w:rsidRDefault="004E4E45" w:rsidP="004E4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4E4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4E45" w:rsidRDefault="004E4E45" w:rsidP="004E4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585793" w:rsidR="004E4E45" w:rsidRDefault="004E4E45" w:rsidP="004E4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may fail emissions if network configures the same DMRS sequence across multiple CCs in an intra-band CA configuration.</w:t>
            </w:r>
          </w:p>
        </w:tc>
      </w:tr>
      <w:tr w:rsidR="004E4E45" w14:paraId="034AF533" w14:textId="77777777" w:rsidTr="00547111">
        <w:tc>
          <w:tcPr>
            <w:tcW w:w="2694" w:type="dxa"/>
            <w:gridSpan w:val="2"/>
          </w:tcPr>
          <w:p w14:paraId="39D9EB5B" w14:textId="77777777" w:rsidR="004E4E45" w:rsidRDefault="004E4E45" w:rsidP="004E4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4E45" w:rsidRDefault="004E4E45" w:rsidP="004E4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4E4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4E45" w:rsidRDefault="004E4E45" w:rsidP="004E4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0A7162" w:rsidR="004E4E45" w:rsidRDefault="001331E9" w:rsidP="004E4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4E4E4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4E45" w:rsidRDefault="004E4E45" w:rsidP="004E4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4E45" w:rsidRDefault="004E4E45" w:rsidP="004E4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4E4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4E45" w:rsidRDefault="004E4E45" w:rsidP="004E4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5EC84A56" w:rsidR="004E4E45" w:rsidRDefault="004E4E45" w:rsidP="004E4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475B6348" w:rsidR="004E4E45" w:rsidRDefault="004E4E45" w:rsidP="004E4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4E45" w:rsidRDefault="004E4E45" w:rsidP="004E4E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4E45" w:rsidRDefault="004E4E45" w:rsidP="004E4E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4E4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4E45" w:rsidRDefault="004E4E45" w:rsidP="004E4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4E45" w:rsidRDefault="004E4E45" w:rsidP="004E4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FC95E7" w:rsidR="004E4E45" w:rsidRDefault="004E4E45" w:rsidP="004E4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E256185" w:rsidR="004E4E45" w:rsidRDefault="004E4E45" w:rsidP="004E4E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B1B2CCA" w:rsidR="004E4E45" w:rsidRDefault="004E4E45" w:rsidP="004E4E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4E4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4E45" w:rsidRDefault="004E4E45" w:rsidP="004E4E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C923CCA" w:rsidR="004E4E45" w:rsidRDefault="004E4E45" w:rsidP="004E4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E4E45" w:rsidRDefault="004E4E45" w:rsidP="004E4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4A683084" w:rsidR="004E4E45" w:rsidRDefault="004E4E45" w:rsidP="004E4E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FB6C7C" w:rsidR="004E4E45" w:rsidRDefault="004E4E45" w:rsidP="004E4E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 </w:t>
            </w:r>
          </w:p>
        </w:tc>
      </w:tr>
      <w:tr w:rsidR="004E4E4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4E45" w:rsidRDefault="004E4E45" w:rsidP="004E4E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4E45" w:rsidRDefault="004E4E45" w:rsidP="004E4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7DC602" w:rsidR="004E4E45" w:rsidRDefault="004E4E45" w:rsidP="004E4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299AEC79" w:rsidR="004E4E45" w:rsidRDefault="004E4E45" w:rsidP="004E4E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76E9D33" w:rsidR="004E4E45" w:rsidRDefault="004E4E45" w:rsidP="004E4E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4E4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4E45" w:rsidRDefault="004E4E45" w:rsidP="004E4E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4E45" w:rsidRDefault="004E4E45" w:rsidP="004E4E45">
            <w:pPr>
              <w:pStyle w:val="CRCoverPage"/>
              <w:spacing w:after="0"/>
              <w:rPr>
                <w:noProof/>
              </w:rPr>
            </w:pPr>
          </w:p>
        </w:tc>
      </w:tr>
      <w:tr w:rsidR="004E4E4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4E45" w:rsidRDefault="004E4E45" w:rsidP="004E4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E4E45" w:rsidRDefault="004E4E45" w:rsidP="004E4E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4E4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4E45" w:rsidRPr="008863B9" w:rsidRDefault="004E4E45" w:rsidP="004E4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4E45" w:rsidRPr="008863B9" w:rsidRDefault="004E4E45" w:rsidP="004E4E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4E4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4E45" w:rsidRDefault="004E4E45" w:rsidP="004E4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4E45" w:rsidRDefault="004E4E45" w:rsidP="004E4E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767D88" w14:textId="77777777" w:rsidR="008118F7" w:rsidRPr="00835589" w:rsidRDefault="008118F7" w:rsidP="008118F7">
      <w:pPr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lastRenderedPageBreak/>
        <w:t>*******</w:t>
      </w:r>
      <w:r w:rsidRPr="00835589">
        <w:rPr>
          <w:color w:val="FF0000"/>
          <w:sz w:val="40"/>
          <w:szCs w:val="40"/>
        </w:rPr>
        <w:t>Begin Change</w:t>
      </w:r>
      <w:r>
        <w:rPr>
          <w:color w:val="FF0000"/>
          <w:sz w:val="40"/>
          <w:szCs w:val="40"/>
        </w:rPr>
        <w:t>**********</w:t>
      </w:r>
    </w:p>
    <w:p w14:paraId="48BAA0CC" w14:textId="77777777" w:rsidR="008118F7" w:rsidRPr="00E56C22" w:rsidRDefault="008118F7" w:rsidP="008118F7">
      <w:pPr>
        <w:keepNext/>
        <w:keepLines/>
        <w:spacing w:before="180"/>
        <w:ind w:left="1134" w:hanging="1134"/>
        <w:outlineLvl w:val="1"/>
        <w:rPr>
          <w:rFonts w:ascii="Arial" w:eastAsia="MS Mincho" w:hAnsi="Arial"/>
          <w:sz w:val="32"/>
        </w:rPr>
      </w:pPr>
      <w:bookmarkStart w:id="1" w:name="_Toc21344230"/>
      <w:bookmarkStart w:id="2" w:name="_Toc29801714"/>
      <w:bookmarkStart w:id="3" w:name="_Toc29802138"/>
      <w:bookmarkStart w:id="4" w:name="_Toc29802763"/>
      <w:bookmarkStart w:id="5" w:name="_Toc36107505"/>
      <w:bookmarkStart w:id="6" w:name="_Toc37251264"/>
      <w:bookmarkStart w:id="7" w:name="_Toc45888066"/>
      <w:bookmarkStart w:id="8" w:name="_Toc45888665"/>
      <w:bookmarkStart w:id="9" w:name="_Toc59649946"/>
      <w:bookmarkStart w:id="10" w:name="_Toc61357210"/>
      <w:bookmarkStart w:id="11" w:name="_Toc61358984"/>
      <w:bookmarkStart w:id="12" w:name="_Toc67915921"/>
      <w:bookmarkStart w:id="13" w:name="_Toc75533464"/>
      <w:bookmarkStart w:id="14" w:name="_Toc75819350"/>
      <w:bookmarkStart w:id="15" w:name="_Toc76508194"/>
      <w:bookmarkStart w:id="16" w:name="_Toc76717144"/>
      <w:bookmarkStart w:id="17" w:name="_Toc83293785"/>
      <w:bookmarkStart w:id="18" w:name="_Toc84334824"/>
      <w:r w:rsidRPr="00E56C22">
        <w:rPr>
          <w:rFonts w:ascii="Arial" w:eastAsia="MS Mincho" w:hAnsi="Arial"/>
          <w:sz w:val="32"/>
        </w:rPr>
        <w:t>6.1</w:t>
      </w:r>
      <w:r w:rsidRPr="00E56C22">
        <w:rPr>
          <w:rFonts w:ascii="Arial" w:eastAsia="MS Mincho" w:hAnsi="Arial"/>
          <w:sz w:val="32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AB79C82" w14:textId="77777777" w:rsidR="008118F7" w:rsidRPr="00E56C22" w:rsidRDefault="008118F7" w:rsidP="008118F7">
      <w:pPr>
        <w:rPr>
          <w:rFonts w:eastAsia="MS Mincho"/>
        </w:rPr>
      </w:pPr>
      <w:r w:rsidRPr="00E56C22">
        <w:rPr>
          <w:rFonts w:eastAsia="MS Mincho"/>
        </w:rPr>
        <w:t xml:space="preserve">Unless otherwise stated, the transmitter characteristics are specified at the antenna connector of the UE with a single or multiple transmit antenna(s). For UE with integral antenna only, a reference antenna with a gain of 0 </w:t>
      </w:r>
      <w:proofErr w:type="spellStart"/>
      <w:r w:rsidRPr="00E56C22">
        <w:rPr>
          <w:rFonts w:eastAsia="MS Mincho"/>
        </w:rPr>
        <w:t>dBi</w:t>
      </w:r>
      <w:proofErr w:type="spellEnd"/>
      <w:r w:rsidRPr="00E56C22">
        <w:rPr>
          <w:rFonts w:eastAsia="MS Mincho"/>
        </w:rPr>
        <w:t xml:space="preserve"> is assumed.</w:t>
      </w:r>
    </w:p>
    <w:p w14:paraId="30FBFE5F" w14:textId="77777777" w:rsidR="008118F7" w:rsidRDefault="008118F7" w:rsidP="008118F7">
      <w:pPr>
        <w:rPr>
          <w:ins w:id="19" w:author="Qualcomm" w:date="2024-02-13T13:46:00Z"/>
          <w:rFonts w:eastAsia="Malgun Gothic"/>
        </w:rPr>
      </w:pPr>
      <w:ins w:id="20" w:author="Qualcomm" w:date="2024-02-13T13:51:00Z">
        <w:r>
          <w:rPr>
            <w:rFonts w:eastAsia="Malgun Gothic"/>
          </w:rPr>
          <w:t>For UEs that do not indicate IE</w:t>
        </w:r>
        <w:r w:rsidRPr="00F730DF">
          <w:rPr>
            <w:rFonts w:eastAsia="Malgun Gothic"/>
          </w:rPr>
          <w:t xml:space="preserve"> </w:t>
        </w:r>
        <w:proofErr w:type="spellStart"/>
        <w:r w:rsidRPr="00F730DF">
          <w:rPr>
            <w:rFonts w:eastAsia="Malgun Gothic"/>
            <w:i/>
            <w:iCs/>
          </w:rPr>
          <w:t>dualPA</w:t>
        </w:r>
        <w:proofErr w:type="spellEnd"/>
        <w:r w:rsidRPr="00F730DF">
          <w:rPr>
            <w:rFonts w:eastAsia="Malgun Gothic"/>
            <w:i/>
            <w:iCs/>
          </w:rPr>
          <w:t>-Architecture</w:t>
        </w:r>
        <w:r>
          <w:rPr>
            <w:rFonts w:eastAsia="Malgun Gothic"/>
          </w:rPr>
          <w:t>, t</w:t>
        </w:r>
      </w:ins>
      <w:ins w:id="21" w:author="Qualcomm" w:date="2024-02-13T13:46:00Z">
        <w:r w:rsidRPr="00E56C22">
          <w:rPr>
            <w:rFonts w:eastAsia="Malgun Gothic"/>
          </w:rPr>
          <w:t>ransmitter requirements for CA operation apply</w:t>
        </w:r>
      </w:ins>
      <w:ins w:id="22" w:author="Qualcomm" w:date="2024-02-13T13:48:00Z">
        <w:r>
          <w:rPr>
            <w:rFonts w:eastAsia="Malgun Gothic"/>
          </w:rPr>
          <w:t xml:space="preserve"> </w:t>
        </w:r>
      </w:ins>
      <w:ins w:id="23" w:author="Qualcomm" w:date="2024-02-13T13:46:00Z">
        <w:r w:rsidRPr="00E56C22">
          <w:rPr>
            <w:rFonts w:eastAsia="Malgun Gothic"/>
          </w:rPr>
          <w:t>only when the DMRS initialization parameters (including the case</w:t>
        </w:r>
        <w:r>
          <w:rPr>
            <w:rFonts w:eastAsia="Malgun Gothic"/>
          </w:rPr>
          <w:t xml:space="preserve"> </w:t>
        </w:r>
        <w:r w:rsidRPr="00E56C22">
          <w:rPr>
            <w:rFonts w:eastAsia="Malgun Gothic"/>
          </w:rPr>
          <w:t>when the UE applies cell ID as DMRS scrambling ID) are different across all CCs. The UE may use higher MPR values</w:t>
        </w:r>
        <w:r>
          <w:rPr>
            <w:rFonts w:eastAsia="Malgun Gothic"/>
          </w:rPr>
          <w:t xml:space="preserve"> </w:t>
        </w:r>
        <w:r w:rsidRPr="00E56C22">
          <w:rPr>
            <w:rFonts w:eastAsia="Malgun Gothic"/>
          </w:rPr>
          <w:t>outside this limitation.</w:t>
        </w:r>
      </w:ins>
    </w:p>
    <w:p w14:paraId="4E5A3F81" w14:textId="77777777" w:rsidR="008118F7" w:rsidRPr="00E56C22" w:rsidRDefault="008118F7" w:rsidP="008118F7">
      <w:pPr>
        <w:rPr>
          <w:rFonts w:eastAsia="SimSun"/>
        </w:rPr>
      </w:pPr>
      <w:r w:rsidRPr="00E56C22">
        <w:rPr>
          <w:rFonts w:eastAsia="Malgun Gothic"/>
        </w:rPr>
        <w:t xml:space="preserve">Transmitter requirements for UL MIMO operation apply when the UE transmits on 2 ports on the same CDM group. The </w:t>
      </w:r>
      <w:r w:rsidRPr="00E56C22">
        <w:rPr>
          <w:rFonts w:eastAsia="SimSun"/>
        </w:rPr>
        <w:t>UE may use higher MPR values outside this limitation.</w:t>
      </w:r>
    </w:p>
    <w:p w14:paraId="77430C28" w14:textId="77777777" w:rsidR="008118F7" w:rsidRPr="00E56C22" w:rsidRDefault="008118F7" w:rsidP="008118F7">
      <w:pPr>
        <w:rPr>
          <w:rFonts w:eastAsia="MS Mincho"/>
        </w:rPr>
      </w:pPr>
      <w:r w:rsidRPr="00E56C22">
        <w:rPr>
          <w:rFonts w:eastAsia="MS Mincho"/>
        </w:rPr>
        <w:t>The applicability of transmitter requirements for Band n90 is in accordance with that for Band n41; a UE supporting Band n90 shall meet the minimum requirements for Band n41.</w:t>
      </w:r>
    </w:p>
    <w:p w14:paraId="5680BB4B" w14:textId="77777777" w:rsidR="008118F7" w:rsidRPr="00E56C22" w:rsidRDefault="008118F7" w:rsidP="008118F7">
      <w:pPr>
        <w:rPr>
          <w:rFonts w:eastAsia="MS Mincho"/>
        </w:rPr>
      </w:pPr>
    </w:p>
    <w:p w14:paraId="239E051D" w14:textId="77777777" w:rsidR="008118F7" w:rsidRPr="00835589" w:rsidRDefault="008118F7" w:rsidP="008118F7">
      <w:pPr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*********</w:t>
      </w:r>
      <w:r w:rsidRPr="00835589">
        <w:rPr>
          <w:color w:val="FF0000"/>
          <w:sz w:val="40"/>
          <w:szCs w:val="40"/>
        </w:rPr>
        <w:t>End Change</w:t>
      </w:r>
      <w:r>
        <w:rPr>
          <w:color w:val="FF0000"/>
          <w:sz w:val="40"/>
          <w:szCs w:val="40"/>
        </w:rPr>
        <w:t>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BACD8" w14:textId="77777777" w:rsidR="00DC6636" w:rsidRDefault="00DC6636">
      <w:r>
        <w:separator/>
      </w:r>
    </w:p>
  </w:endnote>
  <w:endnote w:type="continuationSeparator" w:id="0">
    <w:p w14:paraId="6FE616B7" w14:textId="77777777" w:rsidR="00DC6636" w:rsidRDefault="00DC6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25773" w14:textId="77777777" w:rsidR="00DC6636" w:rsidRDefault="00DC6636">
      <w:r>
        <w:separator/>
      </w:r>
    </w:p>
  </w:footnote>
  <w:footnote w:type="continuationSeparator" w:id="0">
    <w:p w14:paraId="3CEA12EF" w14:textId="77777777" w:rsidR="00DC6636" w:rsidRDefault="00DC6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31E9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4E45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18F7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588C"/>
    <w:rsid w:val="00D03F9A"/>
    <w:rsid w:val="00D06D51"/>
    <w:rsid w:val="00D24991"/>
    <w:rsid w:val="00D50255"/>
    <w:rsid w:val="00D66520"/>
    <w:rsid w:val="00DC6636"/>
    <w:rsid w:val="00DE34CF"/>
    <w:rsid w:val="00E13F3D"/>
    <w:rsid w:val="00E34898"/>
    <w:rsid w:val="00EB09B7"/>
    <w:rsid w:val="00EE7D7C"/>
    <w:rsid w:val="00EF6CA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11</cp:revision>
  <cp:lastPrinted>1900-01-01T08:00:00Z</cp:lastPrinted>
  <dcterms:created xsi:type="dcterms:W3CDTF">2020-02-03T08:32:00Z</dcterms:created>
  <dcterms:modified xsi:type="dcterms:W3CDTF">2024-02-19T17:17:00Z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R4-2400570</vt:lpwstr>
  </property>
  <property fmtid="{D5CDD505-2E9C-101B-9397-08002B2CF9AE}" pid="10" name="Spec#">
    <vt:lpwstr>38.101-1</vt:lpwstr>
  </property>
  <property fmtid="{D5CDD505-2E9C-101B-9397-08002B2CF9AE}" pid="11" name="Cr#">
    <vt:lpwstr>2017</vt:lpwstr>
  </property>
  <property fmtid="{D5CDD505-2E9C-101B-9397-08002B2CF9AE}" pid="12" name="Revision">
    <vt:lpwstr>-</vt:lpwstr>
  </property>
  <property fmtid="{D5CDD505-2E9C-101B-9397-08002B2CF9AE}" pid="13" name="Version">
    <vt:lpwstr>17.12.0</vt:lpwstr>
  </property>
  <property fmtid="{D5CDD505-2E9C-101B-9397-08002B2CF9AE}" pid="14" name="CrTitle">
    <vt:lpwstr>(NR_RF_FR1) Introduction of missing DMRS configuration restriction for intra-ULCA in FR1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NR_RF_FR1</vt:lpwstr>
  </property>
  <property fmtid="{D5CDD505-2E9C-101B-9397-08002B2CF9AE}" pid="18" name="Cat">
    <vt:lpwstr>A</vt:lpwstr>
  </property>
  <property fmtid="{D5CDD505-2E9C-101B-9397-08002B2CF9AE}" pid="19" name="ResDate">
    <vt:lpwstr>2024-02-16</vt:lpwstr>
  </property>
  <property fmtid="{D5CDD505-2E9C-101B-9397-08002B2CF9AE}" pid="20" name="Release">
    <vt:lpwstr>Rel-17</vt:lpwstr>
  </property>
</Properties>
</file>