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2E283" w14:textId="6F2ED28B" w:rsidR="005319C4" w:rsidRPr="008C39F7" w:rsidRDefault="005319C4" w:rsidP="005319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8bis</w:t>
      </w:r>
      <w:r w:rsidRPr="008C39F7">
        <w:rPr>
          <w:rFonts w:ascii="Arial" w:eastAsia="SimSun" w:hAnsi="Arial" w:cs="Times New Roman"/>
          <w:b/>
          <w:bCs/>
          <w:sz w:val="24"/>
          <w:szCs w:val="20"/>
        </w:rPr>
        <w:tab/>
      </w:r>
      <w:r w:rsidR="00197996" w:rsidRPr="00197996">
        <w:rPr>
          <w:rFonts w:ascii="Arial" w:eastAsia="SimSun" w:hAnsi="Arial" w:cs="Times New Roman"/>
          <w:b/>
          <w:bCs/>
          <w:sz w:val="24"/>
          <w:szCs w:val="20"/>
          <w:lang w:eastAsia="ja-JP"/>
        </w:rPr>
        <w:t>R4-2316254</w:t>
      </w:r>
    </w:p>
    <w:p w14:paraId="3878B2F4" w14:textId="77777777" w:rsidR="005319C4" w:rsidRPr="002B69F3" w:rsidRDefault="005319C4" w:rsidP="005319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2D16077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29446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732445D" w14:textId="37CC5C99" w:rsidR="00841BCD" w:rsidRPr="00D03BD3" w:rsidRDefault="00841BCD" w:rsidP="00841BCD">
      <w:pPr>
        <w:ind w:left="1985" w:hanging="1985"/>
        <w:rPr>
          <w:rFonts w:ascii="Arial" w:eastAsia="Calibri" w:hAnsi="Arial" w:cs="Arial"/>
          <w:b/>
          <w:bCs/>
          <w:sz w:val="24"/>
          <w:lang w:val="en-GB"/>
        </w:rPr>
      </w:pPr>
      <w:r w:rsidRPr="00D03BD3">
        <w:rPr>
          <w:rFonts w:ascii="Arial" w:eastAsia="Calibri" w:hAnsi="Arial" w:cs="Arial"/>
          <w:b/>
          <w:bCs/>
          <w:sz w:val="24"/>
          <w:lang w:val="en-GB"/>
        </w:rPr>
        <w:t>Title:</w:t>
      </w:r>
      <w:r w:rsidRPr="00D03BD3">
        <w:rPr>
          <w:rFonts w:ascii="Arial" w:eastAsia="Calibri" w:hAnsi="Arial" w:cs="Arial"/>
          <w:b/>
          <w:bCs/>
          <w:sz w:val="24"/>
          <w:lang w:val="en-GB"/>
        </w:rPr>
        <w:tab/>
      </w:r>
      <w:r w:rsidR="008E372A">
        <w:rPr>
          <w:rFonts w:ascii="Arial" w:eastAsia="Calibri" w:hAnsi="Arial" w:cs="Arial"/>
          <w:b/>
          <w:bCs/>
          <w:sz w:val="24"/>
          <w:lang w:val="en-GB"/>
        </w:rPr>
        <w:t xml:space="preserve">General </w:t>
      </w:r>
      <w:r w:rsidR="005319C4">
        <w:rPr>
          <w:rFonts w:ascii="Arial" w:eastAsia="Calibri" w:hAnsi="Arial" w:cs="Arial"/>
          <w:b/>
          <w:bCs/>
          <w:sz w:val="24"/>
          <w:lang w:val="en-GB"/>
        </w:rPr>
        <w:t>Timing aspects</w:t>
      </w:r>
      <w:r w:rsidR="00D03BD3" w:rsidRPr="00D03BD3">
        <w:rPr>
          <w:rFonts w:ascii="Arial" w:eastAsia="Calibri" w:hAnsi="Arial" w:cs="Arial"/>
          <w:b/>
          <w:bCs/>
          <w:sz w:val="24"/>
          <w:lang w:val="en-GB"/>
        </w:rPr>
        <w:t xml:space="preserve"> for operation at 10 GHz</w:t>
      </w:r>
      <w:r w:rsidR="00D03BD3">
        <w:rPr>
          <w:rFonts w:ascii="Arial" w:eastAsia="Calibri" w:hAnsi="Arial" w:cs="Arial"/>
          <w:b/>
          <w:bCs/>
          <w:sz w:val="24"/>
          <w:lang w:val="en-GB"/>
        </w:rPr>
        <w:t xml:space="preserve"> in NTN</w:t>
      </w:r>
    </w:p>
    <w:p w14:paraId="0E7583EC" w14:textId="0B6417E0" w:rsidR="00841BCD" w:rsidRPr="00D03BD3" w:rsidRDefault="00841BCD" w:rsidP="00841BCD">
      <w:pPr>
        <w:tabs>
          <w:tab w:val="left" w:pos="1985"/>
        </w:tabs>
        <w:spacing w:after="120" w:line="240" w:lineRule="auto"/>
        <w:rPr>
          <w:rFonts w:ascii="Arial" w:eastAsia="MS Mincho" w:hAnsi="Arial" w:cs="Arial"/>
          <w:b/>
          <w:bCs/>
          <w:sz w:val="24"/>
          <w:szCs w:val="20"/>
          <w:lang w:val="pt-BR"/>
        </w:rPr>
      </w:pPr>
      <w:r w:rsidRPr="00D03BD3">
        <w:rPr>
          <w:rFonts w:ascii="Arial" w:eastAsia="MS Mincho" w:hAnsi="Arial" w:cs="Arial"/>
          <w:b/>
          <w:bCs/>
          <w:sz w:val="24"/>
          <w:szCs w:val="20"/>
          <w:lang w:val="pt-BR"/>
        </w:rPr>
        <w:t>Agenda item:</w:t>
      </w:r>
      <w:r w:rsidRPr="00D03BD3">
        <w:rPr>
          <w:rFonts w:ascii="Arial" w:eastAsia="MS Mincho" w:hAnsi="Arial" w:cs="Arial"/>
          <w:b/>
          <w:bCs/>
          <w:sz w:val="24"/>
          <w:szCs w:val="20"/>
          <w:lang w:val="pt-BR"/>
        </w:rPr>
        <w:tab/>
      </w:r>
      <w:r w:rsidR="00441669">
        <w:rPr>
          <w:rFonts w:ascii="Arial" w:eastAsia="MS Mincho" w:hAnsi="Arial" w:cs="Arial"/>
          <w:b/>
          <w:bCs/>
          <w:sz w:val="24"/>
          <w:szCs w:val="20"/>
          <w:lang w:val="pt-BR"/>
        </w:rPr>
        <w:t>5</w:t>
      </w:r>
      <w:r w:rsidR="00E87EA0">
        <w:rPr>
          <w:rFonts w:ascii="Arial" w:eastAsia="MS Mincho" w:hAnsi="Arial" w:cs="Arial"/>
          <w:b/>
          <w:bCs/>
          <w:sz w:val="24"/>
          <w:szCs w:val="20"/>
          <w:lang w:val="pt-BR"/>
        </w:rPr>
        <w:t>.26.</w:t>
      </w:r>
      <w:r w:rsidR="00441669">
        <w:rPr>
          <w:rFonts w:ascii="Arial" w:eastAsia="MS Mincho" w:hAnsi="Arial" w:cs="Arial"/>
          <w:b/>
          <w:bCs/>
          <w:sz w:val="24"/>
          <w:szCs w:val="20"/>
          <w:lang w:val="pt-BR"/>
        </w:rPr>
        <w:t>6</w:t>
      </w:r>
      <w:r w:rsidR="00E87EA0">
        <w:rPr>
          <w:rFonts w:ascii="Arial" w:eastAsia="MS Mincho" w:hAnsi="Arial" w:cs="Arial"/>
          <w:b/>
          <w:bCs/>
          <w:sz w:val="24"/>
          <w:szCs w:val="20"/>
          <w:lang w:val="pt-BR"/>
        </w:rPr>
        <w:t>.1</w:t>
      </w:r>
    </w:p>
    <w:p w14:paraId="4D52A9EF" w14:textId="77777777" w:rsidR="00D66188" w:rsidRPr="00ED1787" w:rsidRDefault="00841BCD" w:rsidP="00841BCD">
      <w:pPr>
        <w:tabs>
          <w:tab w:val="left" w:pos="1985"/>
        </w:tabs>
        <w:rPr>
          <w:rFonts w:ascii="Arial" w:eastAsia="Calibri" w:hAnsi="Arial" w:cs="Arial"/>
          <w:b/>
          <w:bCs/>
          <w:sz w:val="24"/>
          <w:lang w:val="pt-BR"/>
        </w:rPr>
      </w:pPr>
      <w:r w:rsidRPr="00ED1787">
        <w:rPr>
          <w:rFonts w:ascii="Arial" w:eastAsia="Calibri" w:hAnsi="Arial" w:cs="Arial"/>
          <w:b/>
          <w:bCs/>
          <w:sz w:val="24"/>
          <w:lang w:val="pt-BR"/>
        </w:rPr>
        <w:t>Document for:</w:t>
      </w:r>
      <w:r w:rsidRPr="00ED1787">
        <w:rPr>
          <w:rFonts w:ascii="Arial" w:eastAsia="Calibri" w:hAnsi="Arial" w:cs="Arial"/>
          <w:b/>
          <w:bCs/>
          <w:sz w:val="24"/>
          <w:lang w:val="pt-BR"/>
        </w:rPr>
        <w:tab/>
      </w:r>
      <w:r w:rsidR="00AE6D09" w:rsidRPr="00ED1787">
        <w:rPr>
          <w:rFonts w:ascii="Arial" w:eastAsia="Calibri" w:hAnsi="Arial" w:cs="Arial"/>
          <w:b/>
          <w:bCs/>
          <w:sz w:val="24"/>
          <w:lang w:val="pt-BR"/>
        </w:rPr>
        <w:t>Discussion</w:t>
      </w:r>
    </w:p>
    <w:p w14:paraId="774E0E50" w14:textId="77777777" w:rsidR="00E323E9" w:rsidRPr="00ED1787" w:rsidRDefault="00E323E9" w:rsidP="00841BCD">
      <w:pPr>
        <w:tabs>
          <w:tab w:val="left" w:pos="1985"/>
        </w:tabs>
        <w:rPr>
          <w:rFonts w:ascii="Arial" w:eastAsia="Calibri" w:hAnsi="Arial" w:cs="Arial"/>
          <w:b/>
          <w:bCs/>
          <w:sz w:val="24"/>
          <w:lang w:val="pt-BR"/>
        </w:rPr>
      </w:pPr>
    </w:p>
    <w:p w14:paraId="088800C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18A45F0" w14:textId="77777777" w:rsidR="001C0296" w:rsidRPr="00C75CEB" w:rsidRDefault="001C0296" w:rsidP="001C029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1C0296" w:rsidRPr="00FF6B64" w14:paraId="2FD4D29C" w14:textId="77777777">
        <w:tc>
          <w:tcPr>
            <w:tcW w:w="9617" w:type="dxa"/>
          </w:tcPr>
          <w:p w14:paraId="60AA0504" w14:textId="77777777" w:rsidR="001C0296" w:rsidRPr="00134B7D" w:rsidRDefault="001C0296">
            <w:pPr>
              <w:rPr>
                <w:bCs/>
              </w:rPr>
            </w:pPr>
            <w:r w:rsidRPr="00134B7D">
              <w:rPr>
                <w:bCs/>
              </w:rPr>
              <w:t>4.1.2</w:t>
            </w:r>
            <w:r w:rsidRPr="00134B7D">
              <w:rPr>
                <w:bCs/>
              </w:rPr>
              <w:tab/>
              <w:t>NR-NTN deployment in above 10 GHz bands</w:t>
            </w:r>
          </w:p>
          <w:p w14:paraId="758F5BF7" w14:textId="77777777" w:rsidR="001C0296" w:rsidRPr="00134B7D" w:rsidRDefault="001C0296">
            <w:pPr>
              <w:rPr>
                <w:bCs/>
              </w:rPr>
            </w:pPr>
          </w:p>
          <w:p w14:paraId="17C81A0E" w14:textId="77777777" w:rsidR="001C0296" w:rsidRPr="00134B7D" w:rsidRDefault="001C0296">
            <w:pPr>
              <w:rPr>
                <w:bCs/>
              </w:rPr>
            </w:pPr>
            <w:r w:rsidRPr="00134B7D">
              <w:rPr>
                <w:bCs/>
              </w:rPr>
              <w:t>The following assumptions are taken a baseline for this work:</w:t>
            </w:r>
          </w:p>
          <w:p w14:paraId="729C405B"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GSO and NGSO (e.g. LEO, MEO, HEO) based satellite access to be considered</w:t>
            </w:r>
          </w:p>
          <w:p w14:paraId="6F5DE8E1"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00BBE977"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43F83918"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24B336C5"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0A48FBD6"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2CF1F32C"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0A9BD3" w14:textId="77777777" w:rsidR="001C0296" w:rsidRPr="00134B7D" w:rsidRDefault="001C0296">
            <w:pPr>
              <w:rPr>
                <w:bCs/>
              </w:rPr>
            </w:pPr>
          </w:p>
          <w:p w14:paraId="0708DA61" w14:textId="77777777" w:rsidR="001C0296" w:rsidRPr="00134B7D" w:rsidRDefault="001C0296">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9AE5DDA" w14:textId="77777777" w:rsidR="001C0296" w:rsidRPr="00134B7D" w:rsidRDefault="001C0296">
            <w:pPr>
              <w:rPr>
                <w:bCs/>
              </w:rPr>
            </w:pPr>
          </w:p>
          <w:p w14:paraId="31537140"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692C843B"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6BD9BF6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B9172F8"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35F45AC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A4A5C9A"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11CF6C85"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5D82E56F"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01A8B93B" w14:textId="77777777" w:rsidR="001C0296" w:rsidRPr="00134B7D" w:rsidRDefault="001C0296" w:rsidP="001C0296">
            <w:pPr>
              <w:numPr>
                <w:ilvl w:val="1"/>
                <w:numId w:val="28"/>
              </w:numPr>
              <w:overflowPunct w:val="0"/>
              <w:autoSpaceDE w:val="0"/>
              <w:autoSpaceDN w:val="0"/>
              <w:adjustRightInd w:val="0"/>
              <w:textAlignment w:val="baseline"/>
            </w:pPr>
            <w:r>
              <w:t>time relationship related enhancement (e.g., K_offset)</w:t>
            </w:r>
          </w:p>
          <w:p w14:paraId="40D6C11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subcarrier spacing for different UL/DL signals/channels</w:t>
            </w:r>
          </w:p>
          <w:p w14:paraId="09BB1D4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6A5DE987" w14:textId="77777777" w:rsidR="001C0296" w:rsidRPr="00F43845" w:rsidRDefault="001C0296">
            <w:pPr>
              <w:rPr>
                <w:i/>
                <w:iCs/>
              </w:rPr>
            </w:pPr>
          </w:p>
        </w:tc>
      </w:tr>
    </w:tbl>
    <w:p w14:paraId="24EBE5FB" w14:textId="77777777" w:rsidR="00A520D9" w:rsidRDefault="00A520D9" w:rsidP="005C23A4"/>
    <w:p w14:paraId="3F85F141" w14:textId="514CA660" w:rsidR="001C0296" w:rsidRPr="008C39F7" w:rsidRDefault="001C0296" w:rsidP="005C23A4">
      <w:r>
        <w:t>In previous meetings, it became clear that the timing pre-compensation might be an issue for the operation above 10 GHz, as the duration of the cyclic prefix becomes smaller</w:t>
      </w:r>
      <w:r w:rsidR="00C07B05">
        <w:t xml:space="preserve"> </w:t>
      </w:r>
      <w:r w:rsidR="00C07B05">
        <w:fldChar w:fldCharType="begin"/>
      </w:r>
      <w:r w:rsidR="00C07B05">
        <w:instrText xml:space="preserve"> REF _Ref134708583 \r \h </w:instrText>
      </w:r>
      <w:r w:rsidR="00C07B05">
        <w:fldChar w:fldCharType="separate"/>
      </w:r>
      <w:r w:rsidR="002E5AC7">
        <w:t>[3]</w:t>
      </w:r>
      <w:r w:rsidR="00C07B05">
        <w:fldChar w:fldCharType="end"/>
      </w:r>
      <w:r w:rsidR="002E5AC7">
        <w:fldChar w:fldCharType="begin"/>
      </w:r>
      <w:r w:rsidR="002E5AC7">
        <w:instrText xml:space="preserve"> REF _Ref146534405 \r \h </w:instrText>
      </w:r>
      <w:r w:rsidR="002E5AC7">
        <w:fldChar w:fldCharType="separate"/>
      </w:r>
      <w:r w:rsidR="002E5AC7">
        <w:t>[5]</w:t>
      </w:r>
      <w:r w:rsidR="002E5AC7">
        <w:fldChar w:fldCharType="end"/>
      </w:r>
      <w:r>
        <w:t xml:space="preserve">. </w:t>
      </w:r>
    </w:p>
    <w:p w14:paraId="08E28A22" w14:textId="77777777" w:rsidR="0060543D" w:rsidRPr="008C39F7" w:rsidRDefault="0060543D" w:rsidP="005C23A4"/>
    <w:p w14:paraId="75D9EA74" w14:textId="77777777" w:rsidR="003B659E" w:rsidRDefault="003B659E" w:rsidP="00AE56B1">
      <w:pPr>
        <w:pStyle w:val="RAN4H1"/>
      </w:pPr>
      <w:bookmarkStart w:id="6" w:name="_Toc116995842"/>
      <w:r w:rsidRPr="008C39F7">
        <w:t>Discussion</w:t>
      </w:r>
      <w:bookmarkEnd w:id="6"/>
    </w:p>
    <w:p w14:paraId="1478A87E" w14:textId="5A806DE4" w:rsidR="00AD0082" w:rsidRPr="00AD0082" w:rsidRDefault="00AD0082" w:rsidP="00AD0082">
      <w:pPr>
        <w:pStyle w:val="RAN4H2"/>
      </w:pPr>
      <w:r>
        <w:t>Discussion on transmit timing requirements</w:t>
      </w:r>
    </w:p>
    <w:p w14:paraId="407B24A4" w14:textId="4E10A897" w:rsidR="00280B89" w:rsidRDefault="00C07B05" w:rsidP="009C6E9D">
      <w:pPr>
        <w:jc w:val="both"/>
      </w:pPr>
      <w:r>
        <w:t>The issue of the timing relaxation due to GNSS inaccuracies has been previously discussed in RAN4 meetings (</w:t>
      </w:r>
      <w:r>
        <w:fldChar w:fldCharType="begin"/>
      </w:r>
      <w:r>
        <w:instrText xml:space="preserve"> REF _Ref134708583 \r \h </w:instrText>
      </w:r>
      <w:r w:rsidR="009C6E9D">
        <w:instrText xml:space="preserve"> \* MERGEFORMAT </w:instrText>
      </w:r>
      <w:r>
        <w:fldChar w:fldCharType="separate"/>
      </w:r>
      <w:r>
        <w:t>[3]</w:t>
      </w:r>
      <w:r>
        <w:fldChar w:fldCharType="end"/>
      </w:r>
      <w:r>
        <w:fldChar w:fldCharType="begin"/>
      </w:r>
      <w:r>
        <w:instrText xml:space="preserve"> REF _Ref141279468 \r \h </w:instrText>
      </w:r>
      <w:r w:rsidR="009C6E9D">
        <w:instrText xml:space="preserve"> \* MERGEFORMAT </w:instrText>
      </w:r>
      <w:r>
        <w:fldChar w:fldCharType="separate"/>
      </w:r>
      <w:r>
        <w:t>[4]</w:t>
      </w:r>
      <w:r>
        <w:fldChar w:fldCharType="end"/>
      </w:r>
      <w:r w:rsidR="00280B89">
        <w:fldChar w:fldCharType="begin"/>
      </w:r>
      <w:r w:rsidR="00280B89">
        <w:instrText xml:space="preserve"> REF _Ref146534405 \r \h </w:instrText>
      </w:r>
      <w:r w:rsidR="00280B89">
        <w:fldChar w:fldCharType="separate"/>
      </w:r>
      <w:r w:rsidR="00280B89">
        <w:t>[5]</w:t>
      </w:r>
      <w:r w:rsidR="00280B89">
        <w:fldChar w:fldCharType="end"/>
      </w:r>
      <w:r>
        <w:t>) and our point of view has been thoroughly exposed in previous contributions</w:t>
      </w:r>
      <w:r w:rsidR="00025C10">
        <w:t xml:space="preserve"> </w:t>
      </w:r>
      <w:r w:rsidR="00025C10">
        <w:fldChar w:fldCharType="begin"/>
      </w:r>
      <w:r w:rsidR="00025C10">
        <w:instrText xml:space="preserve"> REF _Ref141279468 \r \h </w:instrText>
      </w:r>
      <w:r w:rsidR="009C6E9D">
        <w:instrText xml:space="preserve"> \* MERGEFORMAT </w:instrText>
      </w:r>
      <w:r w:rsidR="00DE2133">
        <w:fldChar w:fldCharType="separate"/>
      </w:r>
      <w:r w:rsidR="00025C10">
        <w:fldChar w:fldCharType="end"/>
      </w:r>
      <w:r w:rsidR="00025C10">
        <w:fldChar w:fldCharType="begin"/>
      </w:r>
      <w:r w:rsidR="00025C10">
        <w:instrText xml:space="preserve"> REF _Ref141279810 \r \h </w:instrText>
      </w:r>
      <w:r w:rsidR="009C6E9D">
        <w:instrText xml:space="preserve"> \* MERGEFORMAT </w:instrText>
      </w:r>
      <w:r w:rsidR="00025C10">
        <w:fldChar w:fldCharType="separate"/>
      </w:r>
      <w:r w:rsidR="002E5AC7">
        <w:t>[6]</w:t>
      </w:r>
      <w:r w:rsidR="00025C10">
        <w:fldChar w:fldCharType="end"/>
      </w:r>
      <w:r w:rsidR="00025C10">
        <w:fldChar w:fldCharType="begin"/>
      </w:r>
      <w:r w:rsidR="00025C10">
        <w:instrText xml:space="preserve"> REF _Ref141279811 \r \h </w:instrText>
      </w:r>
      <w:r w:rsidR="009C6E9D">
        <w:instrText xml:space="preserve"> \* MERGEFORMAT </w:instrText>
      </w:r>
      <w:r w:rsidR="00025C10">
        <w:fldChar w:fldCharType="separate"/>
      </w:r>
      <w:r w:rsidR="002E5AC7">
        <w:t>[7]</w:t>
      </w:r>
      <w:r w:rsidR="00025C10">
        <w:fldChar w:fldCharType="end"/>
      </w:r>
      <w:r w:rsidR="00025C10">
        <w:t xml:space="preserve">. </w:t>
      </w:r>
    </w:p>
    <w:p w14:paraId="6488F265" w14:textId="14E8F118" w:rsidR="00204021" w:rsidRDefault="00280B89" w:rsidP="009C6E9D">
      <w:pPr>
        <w:jc w:val="both"/>
      </w:pPr>
      <w:r>
        <w:t xml:space="preserve">Recently, RAN #101 has decided </w:t>
      </w:r>
      <w:r w:rsidR="00204021">
        <w:t xml:space="preserve">on the scope of the requirements for the operation above 10 GHz. </w:t>
      </w:r>
      <w:r w:rsidR="00B129FD">
        <w:t>And the following decision was made</w:t>
      </w:r>
      <w:r w:rsidR="002E5AC7">
        <w:fldChar w:fldCharType="begin"/>
      </w:r>
      <w:r w:rsidR="002E5AC7">
        <w:instrText xml:space="preserve"> REF _Ref146543281 \r \h </w:instrText>
      </w:r>
      <w:r w:rsidR="002E5AC7">
        <w:fldChar w:fldCharType="separate"/>
      </w:r>
      <w:r w:rsidR="002E5AC7">
        <w:t>[8]</w:t>
      </w:r>
      <w:r w:rsidR="002E5AC7">
        <w:fldChar w:fldCharType="end"/>
      </w:r>
      <w:r w:rsidR="00B129FD">
        <w:t>:</w:t>
      </w:r>
    </w:p>
    <w:p w14:paraId="0AA6ADF3" w14:textId="0E978E00" w:rsidR="00B129FD" w:rsidRDefault="00B129FD" w:rsidP="00B129FD">
      <w:pPr>
        <w:pStyle w:val="ListParagraph"/>
        <w:numPr>
          <w:ilvl w:val="0"/>
          <w:numId w:val="33"/>
        </w:numPr>
        <w:jc w:val="both"/>
      </w:pPr>
      <w:r>
        <w:t>Requirements to be provided by two types of UE: mechanically-steered beams and electronically-steered beams</w:t>
      </w:r>
    </w:p>
    <w:p w14:paraId="1A56B3B0" w14:textId="774C60AD" w:rsidR="00B129FD" w:rsidRDefault="00B129FD" w:rsidP="00B129FD">
      <w:pPr>
        <w:pStyle w:val="ListParagraph"/>
        <w:numPr>
          <w:ilvl w:val="0"/>
          <w:numId w:val="33"/>
        </w:numPr>
        <w:jc w:val="both"/>
      </w:pPr>
      <w:r>
        <w:t>Scenarios to be considered:</w:t>
      </w:r>
    </w:p>
    <w:p w14:paraId="6AABBAC0" w14:textId="5C4CA62F" w:rsidR="00B129FD" w:rsidRDefault="00B129FD" w:rsidP="00B129FD">
      <w:pPr>
        <w:pStyle w:val="ListParagraph"/>
        <w:numPr>
          <w:ilvl w:val="1"/>
          <w:numId w:val="33"/>
        </w:numPr>
        <w:jc w:val="both"/>
      </w:pPr>
      <w:r>
        <w:t>Stationary and Mobile UE for GSO</w:t>
      </w:r>
    </w:p>
    <w:p w14:paraId="4EB60467" w14:textId="730E8C29" w:rsidR="00B129FD" w:rsidRDefault="00B129FD" w:rsidP="00B129FD">
      <w:pPr>
        <w:pStyle w:val="ListParagraph"/>
        <w:numPr>
          <w:ilvl w:val="1"/>
          <w:numId w:val="33"/>
        </w:numPr>
        <w:jc w:val="both"/>
      </w:pPr>
      <w:r>
        <w:t xml:space="preserve">Stationary UE for LEO (NGSO). </w:t>
      </w:r>
    </w:p>
    <w:p w14:paraId="4FAFB4D0" w14:textId="116BB2AE" w:rsidR="00B129FD" w:rsidRDefault="00B129FD" w:rsidP="009C6E9D">
      <w:pPr>
        <w:jc w:val="both"/>
      </w:pPr>
      <w:r>
        <w:t>There are important aspects to be discussed, such as whether the type of UE affects the transmit timing requirements, and whether the mobility status of the UE (stationary or mobile) shall also be considered to affect the UE transmit timing.  In our point of view the UL transmit timing requirements has to be agnostic to both conditions mentioned above. As we discuss in the next subsections.</w:t>
      </w:r>
    </w:p>
    <w:p w14:paraId="02F2B966" w14:textId="5D6F434D" w:rsidR="00B129FD" w:rsidRDefault="00B129FD" w:rsidP="00B129FD">
      <w:pPr>
        <w:pStyle w:val="RAN4H3"/>
      </w:pPr>
      <w:r>
        <w:t xml:space="preserve">Timing Requirements agnostic to UE beam-steering mode. </w:t>
      </w:r>
    </w:p>
    <w:p w14:paraId="0674F5CD" w14:textId="77777777" w:rsidR="002264D7" w:rsidRDefault="002264D7" w:rsidP="00B129FD">
      <w:pPr>
        <w:jc w:val="both"/>
      </w:pPr>
      <w:r>
        <w:t>Whether the UE utilizes a mechanical steering or an electronic steering of its beams, this does not affect:</w:t>
      </w:r>
    </w:p>
    <w:p w14:paraId="23B09F61" w14:textId="24D03FB9" w:rsidR="002264D7" w:rsidRDefault="002264D7" w:rsidP="002264D7">
      <w:pPr>
        <w:pStyle w:val="ListParagraph"/>
        <w:numPr>
          <w:ilvl w:val="0"/>
          <w:numId w:val="34"/>
        </w:numPr>
        <w:jc w:val="both"/>
      </w:pPr>
      <w:r>
        <w:t xml:space="preserve">The capability for reading serving cell ephemeris in SIBs. </w:t>
      </w:r>
    </w:p>
    <w:p w14:paraId="23FECEEA" w14:textId="38A53E05" w:rsidR="002264D7" w:rsidRDefault="002264D7" w:rsidP="002264D7">
      <w:pPr>
        <w:pStyle w:val="ListParagraph"/>
        <w:numPr>
          <w:ilvl w:val="0"/>
          <w:numId w:val="34"/>
        </w:numPr>
        <w:jc w:val="both"/>
      </w:pPr>
      <w:r>
        <w:t>The GNSS capability</w:t>
      </w:r>
    </w:p>
    <w:p w14:paraId="2D11300F" w14:textId="224A97AD" w:rsidR="002264D7" w:rsidRDefault="002264D7" w:rsidP="002264D7">
      <w:pPr>
        <w:pStyle w:val="ListParagraph"/>
        <w:numPr>
          <w:ilvl w:val="0"/>
          <w:numId w:val="34"/>
        </w:numPr>
        <w:jc w:val="both"/>
      </w:pPr>
      <w:r>
        <w:t>The DL reference signal.</w:t>
      </w:r>
    </w:p>
    <w:p w14:paraId="5E8A872E" w14:textId="02CC45DE" w:rsidR="002264D7" w:rsidRDefault="002264D7" w:rsidP="002264D7">
      <w:pPr>
        <w:jc w:val="both"/>
      </w:pPr>
      <w:r>
        <w:t>Therefore, it is hard to justify that the transmit timing is affected by the type of beam steering adopted by the UE. Hence:</w:t>
      </w:r>
    </w:p>
    <w:p w14:paraId="6E5F6CBB" w14:textId="05486F8D" w:rsidR="002264D7" w:rsidRDefault="002264D7" w:rsidP="002264D7">
      <w:pPr>
        <w:pStyle w:val="RAN4proposal"/>
      </w:pPr>
      <w:bookmarkStart w:id="7" w:name="_Toc146732878"/>
      <w:r>
        <w:t>Transmit timing requirements are agnostic to UE type. Requirements are the same for Type 1 (fully electronically steered beam) and Type 2 (fully mechanically steered beam) and shall be discussed separately from the type-specific requirements.</w:t>
      </w:r>
      <w:bookmarkEnd w:id="7"/>
      <w:r>
        <w:t xml:space="preserve"> </w:t>
      </w:r>
    </w:p>
    <w:p w14:paraId="3B9F69EB" w14:textId="77777777" w:rsidR="002264D7" w:rsidRDefault="002264D7" w:rsidP="002264D7">
      <w:pPr>
        <w:pStyle w:val="RAN4H3"/>
      </w:pPr>
      <w:r w:rsidRPr="002264D7">
        <w:t xml:space="preserve">Timing Requirements agnostic to UE </w:t>
      </w:r>
      <w:r>
        <w:t>mobility</w:t>
      </w:r>
    </w:p>
    <w:p w14:paraId="6388929E" w14:textId="428E3B5C" w:rsidR="002264D7" w:rsidRDefault="002264D7" w:rsidP="002264D7">
      <w:pPr>
        <w:jc w:val="both"/>
      </w:pPr>
      <w:r w:rsidRPr="002264D7">
        <w:t xml:space="preserve"> </w:t>
      </w:r>
      <w:r>
        <w:t>In recent past, some companies explored the idea that fixed UEs should be capable to observe more strict requirements then mobile UEs, as they can gather more accurate GNSS precision over time. However, this is not a good outcome when the whole ecosystem is taken into consideration as it does not address the most fundamental problem</w:t>
      </w:r>
      <w:r w:rsidR="00D96F39">
        <w:t xml:space="preserve">: UEs with bad timing pre-compensation would still be source of harmful interference in UL. This would require gNB adjustments in the scheduler to deal with this kind of interference. </w:t>
      </w:r>
    </w:p>
    <w:p w14:paraId="0A69B012" w14:textId="2DC7C892" w:rsidR="00D96F39" w:rsidRDefault="00D96F39" w:rsidP="002264D7">
      <w:pPr>
        <w:jc w:val="both"/>
      </w:pPr>
      <w:r>
        <w:t>It is not possible for the network to differentiate mobile and static UEs. Nor it can be guaranteed that a VSAT intended for static deployment cannot be mounted on a mobile platform. And most importantly, we cannot foresee whether the market will be dominated by one type of UE or the other</w:t>
      </w:r>
      <w:r w:rsidR="005705A0">
        <w:t>; this is outside of 3GPP control</w:t>
      </w:r>
      <w:r>
        <w:t xml:space="preserve">. All of this, makes the deployment </w:t>
      </w:r>
      <w:r>
        <w:lastRenderedPageBreak/>
        <w:t xml:space="preserve">and development of gNB much more complex than needed. </w:t>
      </w:r>
      <w:r w:rsidR="005705A0">
        <w:t>Therefore, the issue at hand is not solved and possibly not even alleviated by this approach.</w:t>
      </w:r>
    </w:p>
    <w:p w14:paraId="5C2D11E2" w14:textId="0C327341" w:rsidR="005705A0" w:rsidRDefault="005705A0" w:rsidP="005705A0">
      <w:pPr>
        <w:pStyle w:val="RAN4proposal"/>
        <w:jc w:val="both"/>
      </w:pPr>
      <w:bookmarkStart w:id="8" w:name="_Toc146732879"/>
      <w:r>
        <w:t>Do not adopt different UL transmit timing requirements based on whether the UE is static or mobile</w:t>
      </w:r>
      <w:bookmarkEnd w:id="8"/>
    </w:p>
    <w:p w14:paraId="2D34C317" w14:textId="77777777" w:rsidR="005705A0" w:rsidRPr="002264D7" w:rsidRDefault="005705A0" w:rsidP="002264D7">
      <w:pPr>
        <w:jc w:val="both"/>
      </w:pPr>
    </w:p>
    <w:p w14:paraId="7CBDB155" w14:textId="171D6473" w:rsidR="005705A0" w:rsidRDefault="005F6DDC" w:rsidP="005705A0">
      <w:pPr>
        <w:pStyle w:val="RAN4H3"/>
      </w:pPr>
      <w:r>
        <w:t>Alleviating</w:t>
      </w:r>
      <w:r w:rsidR="005705A0">
        <w:t xml:space="preserve"> the problem of UL transmission timing accuracy</w:t>
      </w:r>
    </w:p>
    <w:p w14:paraId="3ED5E2FF" w14:textId="22E6554D" w:rsidR="005705A0" w:rsidRDefault="005705A0" w:rsidP="005705A0">
      <w:pPr>
        <w:jc w:val="both"/>
      </w:pPr>
      <w:r>
        <w:t xml:space="preserve">In legacy deployments (i.e. terrestrial networks), the UE timing advance to be applicable at PRACH was equal to zero. This procedure was adopted such that the Network should be capable to adopt PRACH configurations compatible with the cell size, estimate the UE total timing advance and signal this information back to the UE. This meant that the initial PRACH transmission by any given UE would be “offset” to the </w:t>
      </w:r>
      <w:r w:rsidR="00394E9E">
        <w:t xml:space="preserve">reference UL timing in the gNB by up to twice the propagation delay </w:t>
      </w:r>
      <w:r w:rsidR="007D1B67">
        <w:t xml:space="preserve">relative to the cell size. </w:t>
      </w:r>
    </w:p>
    <w:p w14:paraId="030FF09B" w14:textId="14202F5A" w:rsidR="007D1B67" w:rsidRDefault="007D1B67" w:rsidP="005705A0">
      <w:pPr>
        <w:jc w:val="both"/>
      </w:pPr>
      <w:r>
        <w:t xml:space="preserve">In NTN, the UE is demanded, already at PRACH to perform pre-compensation to its position and to satellite ephemeris. </w:t>
      </w:r>
      <w:r w:rsidR="00025D3F">
        <w:t xml:space="preserve">In this case the TA applied at PRACH is different from zero, and the expectations are that the </w:t>
      </w:r>
      <w:r w:rsidR="00CF7E20">
        <w:t>Random Access preamble transmission arrives at the gNB offset by at most</w:t>
      </w:r>
      <w:r w:rsidR="007606F1">
        <w:t xml:space="preserve"> </w:t>
      </w:r>
      <w:r w:rsidR="007108A0">
        <w:t>±</w:t>
      </w:r>
      <w:r w:rsidR="00D3597A">
        <w:t xml:space="preserve">Te. </w:t>
      </w:r>
    </w:p>
    <w:p w14:paraId="780D9C63" w14:textId="4107E70E" w:rsidR="00D3597A" w:rsidRDefault="00D3597A" w:rsidP="00D3597A">
      <w:pPr>
        <w:pStyle w:val="RAN4observation0"/>
      </w:pPr>
      <w:bookmarkStart w:id="9" w:name="_Toc146732880"/>
      <w:r>
        <w:t xml:space="preserve">In terrestrial NW, the RACH transmission may arrive at the gNB offset to the gNB UL time by up to twice the propagation delay relative to the cell radius. In NTN, the expectation is that the </w:t>
      </w:r>
      <w:r w:rsidR="00BF5CE9">
        <w:t>RACH transmission arrives at the gNB offset to the gNB UL time by at most ±Te.</w:t>
      </w:r>
      <w:bookmarkEnd w:id="9"/>
    </w:p>
    <w:p w14:paraId="4061F04A" w14:textId="19A4379B" w:rsidR="00BF5CE9" w:rsidRDefault="00BF5CE9" w:rsidP="00BF5CE9">
      <w:r>
        <w:t xml:space="preserve">It is clear that the cyclic prefix of the RACH preamble and the choice of the RACH format </w:t>
      </w:r>
      <w:r w:rsidR="00460BED">
        <w:t xml:space="preserve">is not used to its full extent to facilitate the RACH procedure to go through, as the transmit timing requirements are much more stringent in NTN (zero-offset expected from the get-go). </w:t>
      </w:r>
    </w:p>
    <w:p w14:paraId="3712349C" w14:textId="57C9E162" w:rsidR="00460BED" w:rsidRDefault="00460BED" w:rsidP="00460BED">
      <w:pPr>
        <w:pStyle w:val="RAN4observation0"/>
      </w:pPr>
      <w:bookmarkStart w:id="10" w:name="_Toc146732881"/>
      <w:r>
        <w:t>The RACH procedure is not fully used as intended in NTN to assist the UE to estimate its timing advance.</w:t>
      </w:r>
      <w:bookmarkEnd w:id="10"/>
      <w:r>
        <w:t xml:space="preserve"> </w:t>
      </w:r>
    </w:p>
    <w:p w14:paraId="780050C4" w14:textId="77777777" w:rsidR="00460BED" w:rsidRDefault="00460BED" w:rsidP="00460BED">
      <w:pPr>
        <w:jc w:val="both"/>
      </w:pPr>
      <w:r>
        <w:t xml:space="preserve">Another option explored in the previous RAN4 meeting, also highlighted on the box above relates to adopting different requirements for the transmit timing accuracy for different UL channels. </w:t>
      </w:r>
    </w:p>
    <w:p w14:paraId="3F276CA2" w14:textId="77777777" w:rsidR="00460BED" w:rsidRDefault="00460BED" w:rsidP="00460BED">
      <w:pPr>
        <w:jc w:val="both"/>
      </w:pPr>
      <w:r>
        <w:t xml:space="preserve">The idea is that for the very first PRACH message, the network can select RACH formats with larger cyclic prefix, calculate and issue a timing advance command in RACH msg3, where the timing advance command is expected to compensate for the errors in the UE pre-compensation, and from that point on, enforce tighter requirements on the PUSCH channel.  </w:t>
      </w:r>
    </w:p>
    <w:p w14:paraId="667F5F63" w14:textId="77777777" w:rsidR="00460BED" w:rsidRDefault="00460BED" w:rsidP="00460BED">
      <w:pPr>
        <w:jc w:val="both"/>
      </w:pPr>
      <w:r>
        <w:t xml:space="preserve">As we previously discussed, in order to accommodate for the delay budget and the inaccuracy of the common TA information, it is important that the delay budget is not fully consumed by UE inaccuracies. For technical implementation reasons, it is important that the total delay budget consumed by the transmit timing inaccuracy do not supersede 50% of the cyclic prefix. </w:t>
      </w:r>
    </w:p>
    <w:p w14:paraId="3F7B3F51" w14:textId="77777777" w:rsidR="00460BED" w:rsidRDefault="00460BED" w:rsidP="00460BED">
      <w:pPr>
        <w:jc w:val="both"/>
      </w:pPr>
      <w:r>
        <w:t xml:space="preserve">The </w:t>
      </w:r>
      <w:r>
        <w:fldChar w:fldCharType="begin"/>
      </w:r>
      <w:r>
        <w:instrText xml:space="preserve"> REF _Ref129959122 \h  \* MERGEFORMAT </w:instrText>
      </w:r>
      <w:r>
        <w:fldChar w:fldCharType="separate"/>
      </w:r>
      <w:r>
        <w:t xml:space="preserve">Table </w:t>
      </w:r>
      <w:r>
        <w:rPr>
          <w:noProof/>
        </w:rPr>
        <w:t>1</w:t>
      </w:r>
      <w:r>
        <w:fldChar w:fldCharType="end"/>
      </w:r>
      <w:r>
        <w:t xml:space="preserve"> below presents the duration of the cyclic prefix for the different PUSCH and RACH formats. In green the formats that would tolerate up to 12 Ts of transmit timing innacuracies ( which is 9 Ts larger than the 3 Ts in specifications for the terrestrial applications). </w:t>
      </w:r>
    </w:p>
    <w:p w14:paraId="7638E4E8" w14:textId="77777777" w:rsidR="00460BED" w:rsidRDefault="00460BED" w:rsidP="00460BED">
      <w:pPr>
        <w:pStyle w:val="Caption"/>
        <w:keepNext/>
      </w:pPr>
      <w:r>
        <w:t>Table 1 Table with Cyclic Prefix Size for different UL channel formats</w:t>
      </w:r>
    </w:p>
    <w:tbl>
      <w:tblPr>
        <w:tblW w:w="8980" w:type="dxa"/>
        <w:tblLook w:val="04A0" w:firstRow="1" w:lastRow="0" w:firstColumn="1" w:lastColumn="0" w:noHBand="0" w:noVBand="1"/>
      </w:tblPr>
      <w:tblGrid>
        <w:gridCol w:w="2420"/>
        <w:gridCol w:w="1118"/>
        <w:gridCol w:w="2162"/>
        <w:gridCol w:w="1118"/>
        <w:gridCol w:w="2162"/>
      </w:tblGrid>
      <w:tr w:rsidR="00460BED" w:rsidRPr="00B65A7B" w14:paraId="2C75CAF7" w14:textId="77777777" w:rsidTr="00121AF7">
        <w:trPr>
          <w:trHeight w:val="300"/>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2F75B5"/>
            <w:noWrap/>
            <w:vAlign w:val="center"/>
            <w:hideMark/>
          </w:tcPr>
          <w:p w14:paraId="7FB29A5A" w14:textId="77777777" w:rsidR="00460BED" w:rsidRPr="00B65A7B" w:rsidRDefault="00460BED" w:rsidP="00121AF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Channel</w:t>
            </w:r>
          </w:p>
        </w:tc>
        <w:tc>
          <w:tcPr>
            <w:tcW w:w="3280" w:type="dxa"/>
            <w:gridSpan w:val="2"/>
            <w:tcBorders>
              <w:top w:val="single" w:sz="4" w:space="0" w:color="auto"/>
              <w:left w:val="nil"/>
              <w:bottom w:val="single" w:sz="4" w:space="0" w:color="auto"/>
              <w:right w:val="single" w:sz="4" w:space="0" w:color="auto"/>
            </w:tcBorders>
            <w:shd w:val="clear" w:color="000000" w:fill="2F75B5"/>
            <w:noWrap/>
            <w:vAlign w:val="center"/>
            <w:hideMark/>
          </w:tcPr>
          <w:p w14:paraId="01D87B7D" w14:textId="77777777" w:rsidR="00460BED" w:rsidRPr="00B65A7B" w:rsidRDefault="00460BED" w:rsidP="00121AF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SCS = 60 kHz</w:t>
            </w:r>
          </w:p>
        </w:tc>
        <w:tc>
          <w:tcPr>
            <w:tcW w:w="3280" w:type="dxa"/>
            <w:gridSpan w:val="2"/>
            <w:tcBorders>
              <w:top w:val="single" w:sz="4" w:space="0" w:color="auto"/>
              <w:left w:val="nil"/>
              <w:bottom w:val="single" w:sz="4" w:space="0" w:color="auto"/>
              <w:right w:val="single" w:sz="4" w:space="0" w:color="auto"/>
            </w:tcBorders>
            <w:shd w:val="clear" w:color="000000" w:fill="2F75B5"/>
            <w:noWrap/>
            <w:vAlign w:val="center"/>
            <w:hideMark/>
          </w:tcPr>
          <w:p w14:paraId="69062993" w14:textId="77777777" w:rsidR="00460BED" w:rsidRPr="00B65A7B" w:rsidRDefault="00460BED" w:rsidP="00121AF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SCS = 120 kHz</w:t>
            </w:r>
          </w:p>
        </w:tc>
      </w:tr>
      <w:tr w:rsidR="00460BED" w:rsidRPr="00B65A7B" w14:paraId="13E61E18" w14:textId="77777777" w:rsidTr="00121AF7">
        <w:trPr>
          <w:trHeight w:val="300"/>
        </w:trPr>
        <w:tc>
          <w:tcPr>
            <w:tcW w:w="2420" w:type="dxa"/>
            <w:vMerge/>
            <w:tcBorders>
              <w:top w:val="single" w:sz="4" w:space="0" w:color="auto"/>
              <w:left w:val="single" w:sz="4" w:space="0" w:color="auto"/>
              <w:bottom w:val="single" w:sz="4" w:space="0" w:color="000000"/>
              <w:right w:val="single" w:sz="4" w:space="0" w:color="auto"/>
            </w:tcBorders>
            <w:vAlign w:val="center"/>
            <w:hideMark/>
          </w:tcPr>
          <w:p w14:paraId="3DF8390D" w14:textId="77777777" w:rsidR="00460BED" w:rsidRPr="00B65A7B" w:rsidRDefault="00460BED" w:rsidP="00121AF7">
            <w:pPr>
              <w:spacing w:after="0" w:line="240" w:lineRule="auto"/>
              <w:rPr>
                <w:rFonts w:ascii="Calibri" w:eastAsia="Times New Roman" w:hAnsi="Calibri" w:cs="Calibri"/>
                <w:color w:val="FFFFFF"/>
                <w:sz w:val="22"/>
                <w:lang w:val="en-GB" w:eastAsia="en-GB"/>
              </w:rPr>
            </w:pPr>
          </w:p>
        </w:tc>
        <w:tc>
          <w:tcPr>
            <w:tcW w:w="1118" w:type="dxa"/>
            <w:tcBorders>
              <w:top w:val="nil"/>
              <w:left w:val="nil"/>
              <w:bottom w:val="single" w:sz="4" w:space="0" w:color="auto"/>
              <w:right w:val="single" w:sz="4" w:space="0" w:color="auto"/>
            </w:tcBorders>
            <w:shd w:val="clear" w:color="000000" w:fill="2F75B5"/>
            <w:noWrap/>
            <w:vAlign w:val="center"/>
            <w:hideMark/>
          </w:tcPr>
          <w:p w14:paraId="76B180F6" w14:textId="77777777" w:rsidR="00460BED" w:rsidRPr="00B65A7B" w:rsidRDefault="00460BED" w:rsidP="00121AF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Ncp [Ts]</w:t>
            </w:r>
          </w:p>
        </w:tc>
        <w:tc>
          <w:tcPr>
            <w:tcW w:w="2162" w:type="dxa"/>
            <w:tcBorders>
              <w:top w:val="nil"/>
              <w:left w:val="nil"/>
              <w:bottom w:val="single" w:sz="4" w:space="0" w:color="auto"/>
              <w:right w:val="single" w:sz="4" w:space="0" w:color="auto"/>
            </w:tcBorders>
            <w:shd w:val="clear" w:color="000000" w:fill="2F75B5"/>
            <w:noWrap/>
            <w:vAlign w:val="center"/>
            <w:hideMark/>
          </w:tcPr>
          <w:p w14:paraId="12AD4406" w14:textId="77777777" w:rsidR="00460BED" w:rsidRPr="00B65A7B" w:rsidRDefault="00460BED" w:rsidP="00121AF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CP duration [us]</w:t>
            </w:r>
          </w:p>
        </w:tc>
        <w:tc>
          <w:tcPr>
            <w:tcW w:w="1118" w:type="dxa"/>
            <w:tcBorders>
              <w:top w:val="nil"/>
              <w:left w:val="nil"/>
              <w:bottom w:val="single" w:sz="4" w:space="0" w:color="auto"/>
              <w:right w:val="single" w:sz="4" w:space="0" w:color="auto"/>
            </w:tcBorders>
            <w:shd w:val="clear" w:color="000000" w:fill="2F75B5"/>
            <w:noWrap/>
            <w:vAlign w:val="center"/>
            <w:hideMark/>
          </w:tcPr>
          <w:p w14:paraId="1C1747F7" w14:textId="77777777" w:rsidR="00460BED" w:rsidRPr="00B65A7B" w:rsidRDefault="00460BED" w:rsidP="00121AF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Ncp [Ts]</w:t>
            </w:r>
          </w:p>
        </w:tc>
        <w:tc>
          <w:tcPr>
            <w:tcW w:w="2162" w:type="dxa"/>
            <w:tcBorders>
              <w:top w:val="nil"/>
              <w:left w:val="nil"/>
              <w:bottom w:val="single" w:sz="4" w:space="0" w:color="auto"/>
              <w:right w:val="single" w:sz="4" w:space="0" w:color="auto"/>
            </w:tcBorders>
            <w:shd w:val="clear" w:color="000000" w:fill="2F75B5"/>
            <w:noWrap/>
            <w:vAlign w:val="center"/>
            <w:hideMark/>
          </w:tcPr>
          <w:p w14:paraId="44308188" w14:textId="77777777" w:rsidR="00460BED" w:rsidRPr="00B65A7B" w:rsidRDefault="00460BED" w:rsidP="00121AF7">
            <w:pPr>
              <w:spacing w:after="0" w:line="240" w:lineRule="auto"/>
              <w:jc w:val="center"/>
              <w:rPr>
                <w:rFonts w:ascii="Calibri" w:eastAsia="Times New Roman" w:hAnsi="Calibri" w:cs="Calibri"/>
                <w:color w:val="FFFFFF"/>
                <w:sz w:val="22"/>
                <w:lang w:val="en-GB" w:eastAsia="en-GB"/>
              </w:rPr>
            </w:pPr>
            <w:r w:rsidRPr="00B65A7B">
              <w:rPr>
                <w:rFonts w:ascii="Calibri" w:eastAsia="Times New Roman" w:hAnsi="Calibri" w:cs="Calibri"/>
                <w:color w:val="FFFFFF"/>
                <w:sz w:val="22"/>
                <w:lang w:val="en-GB" w:eastAsia="en-GB"/>
              </w:rPr>
              <w:t>CP duration [us]</w:t>
            </w:r>
          </w:p>
        </w:tc>
      </w:tr>
      <w:tr w:rsidR="00460BED" w:rsidRPr="00B65A7B" w14:paraId="615E3263" w14:textId="77777777" w:rsidTr="00121AF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7E1D3078" w14:textId="77777777" w:rsidR="00460BED" w:rsidRPr="00B65A7B" w:rsidRDefault="00460BED" w:rsidP="00121AF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PUSCH/PUCCH</w:t>
            </w:r>
          </w:p>
        </w:tc>
        <w:tc>
          <w:tcPr>
            <w:tcW w:w="1118" w:type="dxa"/>
            <w:tcBorders>
              <w:top w:val="nil"/>
              <w:left w:val="nil"/>
              <w:bottom w:val="single" w:sz="4" w:space="0" w:color="auto"/>
              <w:right w:val="single" w:sz="4" w:space="0" w:color="auto"/>
            </w:tcBorders>
            <w:shd w:val="clear" w:color="000000" w:fill="FFC7CE"/>
            <w:noWrap/>
            <w:vAlign w:val="center"/>
            <w:hideMark/>
          </w:tcPr>
          <w:p w14:paraId="40D95CD0" w14:textId="77777777" w:rsidR="00460BED" w:rsidRPr="00B65A7B" w:rsidRDefault="00460BED" w:rsidP="00121AF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36</w:t>
            </w:r>
          </w:p>
        </w:tc>
        <w:tc>
          <w:tcPr>
            <w:tcW w:w="2162" w:type="dxa"/>
            <w:tcBorders>
              <w:top w:val="nil"/>
              <w:left w:val="nil"/>
              <w:bottom w:val="single" w:sz="4" w:space="0" w:color="auto"/>
              <w:right w:val="single" w:sz="4" w:space="0" w:color="auto"/>
            </w:tcBorders>
            <w:shd w:val="clear" w:color="000000" w:fill="FFC7CE"/>
            <w:noWrap/>
            <w:vAlign w:val="center"/>
            <w:hideMark/>
          </w:tcPr>
          <w:p w14:paraId="6DCA5CB8" w14:textId="77777777" w:rsidR="00460BED" w:rsidRPr="00B65A7B" w:rsidRDefault="00460BED" w:rsidP="00121AF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1,2</w:t>
            </w:r>
          </w:p>
        </w:tc>
        <w:tc>
          <w:tcPr>
            <w:tcW w:w="1118" w:type="dxa"/>
            <w:tcBorders>
              <w:top w:val="nil"/>
              <w:left w:val="nil"/>
              <w:bottom w:val="single" w:sz="4" w:space="0" w:color="auto"/>
              <w:right w:val="single" w:sz="4" w:space="0" w:color="auto"/>
            </w:tcBorders>
            <w:shd w:val="clear" w:color="000000" w:fill="FFC7CE"/>
            <w:noWrap/>
            <w:vAlign w:val="center"/>
            <w:hideMark/>
          </w:tcPr>
          <w:p w14:paraId="0753F1CA" w14:textId="77777777" w:rsidR="00460BED" w:rsidRPr="00B65A7B" w:rsidRDefault="00460BED" w:rsidP="00121AF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18</w:t>
            </w:r>
          </w:p>
        </w:tc>
        <w:tc>
          <w:tcPr>
            <w:tcW w:w="2162" w:type="dxa"/>
            <w:tcBorders>
              <w:top w:val="nil"/>
              <w:left w:val="nil"/>
              <w:bottom w:val="single" w:sz="4" w:space="0" w:color="auto"/>
              <w:right w:val="single" w:sz="4" w:space="0" w:color="auto"/>
            </w:tcBorders>
            <w:shd w:val="clear" w:color="000000" w:fill="FFC7CE"/>
            <w:noWrap/>
            <w:vAlign w:val="center"/>
            <w:hideMark/>
          </w:tcPr>
          <w:p w14:paraId="3A6F7813" w14:textId="77777777" w:rsidR="00460BED" w:rsidRPr="00B65A7B" w:rsidRDefault="00460BED" w:rsidP="00121AF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0,6</w:t>
            </w:r>
          </w:p>
        </w:tc>
      </w:tr>
      <w:tr w:rsidR="00460BED" w:rsidRPr="00B65A7B" w14:paraId="4620C29A" w14:textId="77777777" w:rsidTr="00121AF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75BFF6B9" w14:textId="77777777" w:rsidR="00460BED" w:rsidRPr="00B65A7B" w:rsidRDefault="00460BED" w:rsidP="00121AF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A1</w:t>
            </w:r>
          </w:p>
        </w:tc>
        <w:tc>
          <w:tcPr>
            <w:tcW w:w="1118" w:type="dxa"/>
            <w:tcBorders>
              <w:top w:val="nil"/>
              <w:left w:val="nil"/>
              <w:bottom w:val="single" w:sz="4" w:space="0" w:color="auto"/>
              <w:right w:val="single" w:sz="4" w:space="0" w:color="auto"/>
            </w:tcBorders>
            <w:shd w:val="clear" w:color="000000" w:fill="C6EFCE"/>
            <w:noWrap/>
            <w:vAlign w:val="center"/>
            <w:hideMark/>
          </w:tcPr>
          <w:p w14:paraId="60691396"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72</w:t>
            </w:r>
          </w:p>
        </w:tc>
        <w:tc>
          <w:tcPr>
            <w:tcW w:w="2162" w:type="dxa"/>
            <w:tcBorders>
              <w:top w:val="nil"/>
              <w:left w:val="nil"/>
              <w:bottom w:val="single" w:sz="4" w:space="0" w:color="auto"/>
              <w:right w:val="single" w:sz="4" w:space="0" w:color="auto"/>
            </w:tcBorders>
            <w:shd w:val="clear" w:color="000000" w:fill="C6EFCE"/>
            <w:noWrap/>
            <w:vAlign w:val="center"/>
            <w:hideMark/>
          </w:tcPr>
          <w:p w14:paraId="3A214F6A"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2,3</w:t>
            </w:r>
          </w:p>
        </w:tc>
        <w:tc>
          <w:tcPr>
            <w:tcW w:w="1118" w:type="dxa"/>
            <w:tcBorders>
              <w:top w:val="nil"/>
              <w:left w:val="nil"/>
              <w:bottom w:val="single" w:sz="4" w:space="0" w:color="auto"/>
              <w:right w:val="single" w:sz="4" w:space="0" w:color="auto"/>
            </w:tcBorders>
            <w:shd w:val="clear" w:color="000000" w:fill="FFC7CE"/>
            <w:noWrap/>
            <w:vAlign w:val="center"/>
            <w:hideMark/>
          </w:tcPr>
          <w:p w14:paraId="2AF05AE5" w14:textId="77777777" w:rsidR="00460BED" w:rsidRPr="00B65A7B" w:rsidRDefault="00460BED" w:rsidP="00121AF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36</w:t>
            </w:r>
          </w:p>
        </w:tc>
        <w:tc>
          <w:tcPr>
            <w:tcW w:w="2162" w:type="dxa"/>
            <w:tcBorders>
              <w:top w:val="nil"/>
              <w:left w:val="nil"/>
              <w:bottom w:val="single" w:sz="4" w:space="0" w:color="auto"/>
              <w:right w:val="single" w:sz="4" w:space="0" w:color="auto"/>
            </w:tcBorders>
            <w:shd w:val="clear" w:color="000000" w:fill="FFC7CE"/>
            <w:noWrap/>
            <w:vAlign w:val="center"/>
            <w:hideMark/>
          </w:tcPr>
          <w:p w14:paraId="61DBBE4F" w14:textId="77777777" w:rsidR="00460BED" w:rsidRPr="00B65A7B" w:rsidRDefault="00460BED" w:rsidP="00121AF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1,2</w:t>
            </w:r>
          </w:p>
        </w:tc>
      </w:tr>
      <w:tr w:rsidR="00460BED" w:rsidRPr="00B65A7B" w14:paraId="55AC74FF" w14:textId="77777777" w:rsidTr="00121AF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71D668FB" w14:textId="77777777" w:rsidR="00460BED" w:rsidRPr="00B65A7B" w:rsidRDefault="00460BED" w:rsidP="00121AF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A2</w:t>
            </w:r>
          </w:p>
        </w:tc>
        <w:tc>
          <w:tcPr>
            <w:tcW w:w="1118" w:type="dxa"/>
            <w:tcBorders>
              <w:top w:val="nil"/>
              <w:left w:val="nil"/>
              <w:bottom w:val="single" w:sz="4" w:space="0" w:color="auto"/>
              <w:right w:val="single" w:sz="4" w:space="0" w:color="auto"/>
            </w:tcBorders>
            <w:shd w:val="clear" w:color="000000" w:fill="C6EFCE"/>
            <w:noWrap/>
            <w:vAlign w:val="center"/>
            <w:hideMark/>
          </w:tcPr>
          <w:p w14:paraId="4986599F"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144</w:t>
            </w:r>
          </w:p>
        </w:tc>
        <w:tc>
          <w:tcPr>
            <w:tcW w:w="2162" w:type="dxa"/>
            <w:tcBorders>
              <w:top w:val="nil"/>
              <w:left w:val="nil"/>
              <w:bottom w:val="single" w:sz="4" w:space="0" w:color="auto"/>
              <w:right w:val="single" w:sz="4" w:space="0" w:color="auto"/>
            </w:tcBorders>
            <w:shd w:val="clear" w:color="000000" w:fill="C6EFCE"/>
            <w:noWrap/>
            <w:vAlign w:val="center"/>
            <w:hideMark/>
          </w:tcPr>
          <w:p w14:paraId="42290D17"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4,7</w:t>
            </w:r>
          </w:p>
        </w:tc>
        <w:tc>
          <w:tcPr>
            <w:tcW w:w="1118" w:type="dxa"/>
            <w:tcBorders>
              <w:top w:val="nil"/>
              <w:left w:val="nil"/>
              <w:bottom w:val="single" w:sz="4" w:space="0" w:color="auto"/>
              <w:right w:val="single" w:sz="4" w:space="0" w:color="auto"/>
            </w:tcBorders>
            <w:shd w:val="clear" w:color="000000" w:fill="C6EFCE"/>
            <w:noWrap/>
            <w:vAlign w:val="center"/>
            <w:hideMark/>
          </w:tcPr>
          <w:p w14:paraId="3BE80D83"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72</w:t>
            </w:r>
          </w:p>
        </w:tc>
        <w:tc>
          <w:tcPr>
            <w:tcW w:w="2162" w:type="dxa"/>
            <w:tcBorders>
              <w:top w:val="nil"/>
              <w:left w:val="nil"/>
              <w:bottom w:val="single" w:sz="4" w:space="0" w:color="auto"/>
              <w:right w:val="single" w:sz="4" w:space="0" w:color="auto"/>
            </w:tcBorders>
            <w:shd w:val="clear" w:color="000000" w:fill="C6EFCE"/>
            <w:noWrap/>
            <w:vAlign w:val="center"/>
            <w:hideMark/>
          </w:tcPr>
          <w:p w14:paraId="505B327B"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2,3</w:t>
            </w:r>
          </w:p>
        </w:tc>
      </w:tr>
      <w:tr w:rsidR="00460BED" w:rsidRPr="00B65A7B" w14:paraId="4C01DC81" w14:textId="77777777" w:rsidTr="00121AF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54112C15" w14:textId="77777777" w:rsidR="00460BED" w:rsidRPr="00B65A7B" w:rsidRDefault="00460BED" w:rsidP="00121AF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A3</w:t>
            </w:r>
          </w:p>
        </w:tc>
        <w:tc>
          <w:tcPr>
            <w:tcW w:w="1118" w:type="dxa"/>
            <w:tcBorders>
              <w:top w:val="nil"/>
              <w:left w:val="nil"/>
              <w:bottom w:val="single" w:sz="4" w:space="0" w:color="auto"/>
              <w:right w:val="single" w:sz="4" w:space="0" w:color="auto"/>
            </w:tcBorders>
            <w:shd w:val="clear" w:color="000000" w:fill="C6EFCE"/>
            <w:noWrap/>
            <w:vAlign w:val="center"/>
            <w:hideMark/>
          </w:tcPr>
          <w:p w14:paraId="31D50C7A"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216</w:t>
            </w:r>
          </w:p>
        </w:tc>
        <w:tc>
          <w:tcPr>
            <w:tcW w:w="2162" w:type="dxa"/>
            <w:tcBorders>
              <w:top w:val="nil"/>
              <w:left w:val="nil"/>
              <w:bottom w:val="single" w:sz="4" w:space="0" w:color="auto"/>
              <w:right w:val="single" w:sz="4" w:space="0" w:color="auto"/>
            </w:tcBorders>
            <w:shd w:val="clear" w:color="000000" w:fill="C6EFCE"/>
            <w:noWrap/>
            <w:vAlign w:val="center"/>
            <w:hideMark/>
          </w:tcPr>
          <w:p w14:paraId="554C7EE8"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7,0</w:t>
            </w:r>
          </w:p>
        </w:tc>
        <w:tc>
          <w:tcPr>
            <w:tcW w:w="1118" w:type="dxa"/>
            <w:tcBorders>
              <w:top w:val="nil"/>
              <w:left w:val="nil"/>
              <w:bottom w:val="single" w:sz="4" w:space="0" w:color="auto"/>
              <w:right w:val="single" w:sz="4" w:space="0" w:color="auto"/>
            </w:tcBorders>
            <w:shd w:val="clear" w:color="000000" w:fill="C6EFCE"/>
            <w:noWrap/>
            <w:vAlign w:val="center"/>
            <w:hideMark/>
          </w:tcPr>
          <w:p w14:paraId="72AD7B45"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108</w:t>
            </w:r>
          </w:p>
        </w:tc>
        <w:tc>
          <w:tcPr>
            <w:tcW w:w="2162" w:type="dxa"/>
            <w:tcBorders>
              <w:top w:val="nil"/>
              <w:left w:val="nil"/>
              <w:bottom w:val="single" w:sz="4" w:space="0" w:color="auto"/>
              <w:right w:val="single" w:sz="4" w:space="0" w:color="auto"/>
            </w:tcBorders>
            <w:shd w:val="clear" w:color="000000" w:fill="C6EFCE"/>
            <w:noWrap/>
            <w:vAlign w:val="center"/>
            <w:hideMark/>
          </w:tcPr>
          <w:p w14:paraId="045F02FA"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3,5</w:t>
            </w:r>
          </w:p>
        </w:tc>
      </w:tr>
      <w:tr w:rsidR="00460BED" w:rsidRPr="00B65A7B" w14:paraId="3E20BDB3" w14:textId="77777777" w:rsidTr="00121AF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7E7516BA" w14:textId="77777777" w:rsidR="00460BED" w:rsidRPr="00B65A7B" w:rsidRDefault="00460BED" w:rsidP="00121AF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B1</w:t>
            </w:r>
          </w:p>
        </w:tc>
        <w:tc>
          <w:tcPr>
            <w:tcW w:w="1118" w:type="dxa"/>
            <w:tcBorders>
              <w:top w:val="nil"/>
              <w:left w:val="nil"/>
              <w:bottom w:val="single" w:sz="4" w:space="0" w:color="auto"/>
              <w:right w:val="single" w:sz="4" w:space="0" w:color="auto"/>
            </w:tcBorders>
            <w:shd w:val="clear" w:color="000000" w:fill="C6EFCE"/>
            <w:noWrap/>
            <w:vAlign w:val="center"/>
            <w:hideMark/>
          </w:tcPr>
          <w:p w14:paraId="6CF5E3EA"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54</w:t>
            </w:r>
          </w:p>
        </w:tc>
        <w:tc>
          <w:tcPr>
            <w:tcW w:w="2162" w:type="dxa"/>
            <w:tcBorders>
              <w:top w:val="nil"/>
              <w:left w:val="nil"/>
              <w:bottom w:val="single" w:sz="4" w:space="0" w:color="auto"/>
              <w:right w:val="single" w:sz="4" w:space="0" w:color="auto"/>
            </w:tcBorders>
            <w:shd w:val="clear" w:color="000000" w:fill="C6EFCE"/>
            <w:noWrap/>
            <w:vAlign w:val="center"/>
            <w:hideMark/>
          </w:tcPr>
          <w:p w14:paraId="30357C13"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1,8</w:t>
            </w:r>
          </w:p>
        </w:tc>
        <w:tc>
          <w:tcPr>
            <w:tcW w:w="1118" w:type="dxa"/>
            <w:tcBorders>
              <w:top w:val="nil"/>
              <w:left w:val="nil"/>
              <w:bottom w:val="single" w:sz="4" w:space="0" w:color="auto"/>
              <w:right w:val="single" w:sz="4" w:space="0" w:color="auto"/>
            </w:tcBorders>
            <w:shd w:val="clear" w:color="000000" w:fill="C6EFCE"/>
            <w:noWrap/>
            <w:vAlign w:val="center"/>
            <w:hideMark/>
          </w:tcPr>
          <w:p w14:paraId="0EE5A651"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27</w:t>
            </w:r>
          </w:p>
        </w:tc>
        <w:tc>
          <w:tcPr>
            <w:tcW w:w="2162" w:type="dxa"/>
            <w:tcBorders>
              <w:top w:val="nil"/>
              <w:left w:val="nil"/>
              <w:bottom w:val="single" w:sz="4" w:space="0" w:color="auto"/>
              <w:right w:val="single" w:sz="4" w:space="0" w:color="auto"/>
            </w:tcBorders>
            <w:shd w:val="clear" w:color="000000" w:fill="C6EFCE"/>
            <w:noWrap/>
            <w:vAlign w:val="center"/>
            <w:hideMark/>
          </w:tcPr>
          <w:p w14:paraId="1B2A3ADC"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0,9</w:t>
            </w:r>
          </w:p>
        </w:tc>
      </w:tr>
      <w:tr w:rsidR="00460BED" w:rsidRPr="00B65A7B" w14:paraId="713967D2" w14:textId="77777777" w:rsidTr="00121AF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091A4337" w14:textId="77777777" w:rsidR="00460BED" w:rsidRPr="00B65A7B" w:rsidRDefault="00460BED" w:rsidP="00121AF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B2</w:t>
            </w:r>
          </w:p>
        </w:tc>
        <w:tc>
          <w:tcPr>
            <w:tcW w:w="1118" w:type="dxa"/>
            <w:tcBorders>
              <w:top w:val="nil"/>
              <w:left w:val="nil"/>
              <w:bottom w:val="single" w:sz="4" w:space="0" w:color="auto"/>
              <w:right w:val="single" w:sz="4" w:space="0" w:color="auto"/>
            </w:tcBorders>
            <w:shd w:val="clear" w:color="000000" w:fill="C6EFCE"/>
            <w:noWrap/>
            <w:vAlign w:val="center"/>
            <w:hideMark/>
          </w:tcPr>
          <w:p w14:paraId="4F913786"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90</w:t>
            </w:r>
          </w:p>
        </w:tc>
        <w:tc>
          <w:tcPr>
            <w:tcW w:w="2162" w:type="dxa"/>
            <w:tcBorders>
              <w:top w:val="nil"/>
              <w:left w:val="nil"/>
              <w:bottom w:val="single" w:sz="4" w:space="0" w:color="auto"/>
              <w:right w:val="single" w:sz="4" w:space="0" w:color="auto"/>
            </w:tcBorders>
            <w:shd w:val="clear" w:color="000000" w:fill="C6EFCE"/>
            <w:noWrap/>
            <w:vAlign w:val="center"/>
            <w:hideMark/>
          </w:tcPr>
          <w:p w14:paraId="110BDF68"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2,9</w:t>
            </w:r>
          </w:p>
        </w:tc>
        <w:tc>
          <w:tcPr>
            <w:tcW w:w="1118" w:type="dxa"/>
            <w:tcBorders>
              <w:top w:val="nil"/>
              <w:left w:val="nil"/>
              <w:bottom w:val="single" w:sz="4" w:space="0" w:color="auto"/>
              <w:right w:val="single" w:sz="4" w:space="0" w:color="auto"/>
            </w:tcBorders>
            <w:shd w:val="clear" w:color="000000" w:fill="FFC7CE"/>
            <w:noWrap/>
            <w:vAlign w:val="center"/>
            <w:hideMark/>
          </w:tcPr>
          <w:p w14:paraId="0F865673" w14:textId="77777777" w:rsidR="00460BED" w:rsidRPr="00B65A7B" w:rsidRDefault="00460BED" w:rsidP="00121AF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45</w:t>
            </w:r>
          </w:p>
        </w:tc>
        <w:tc>
          <w:tcPr>
            <w:tcW w:w="2162" w:type="dxa"/>
            <w:tcBorders>
              <w:top w:val="nil"/>
              <w:left w:val="nil"/>
              <w:bottom w:val="single" w:sz="4" w:space="0" w:color="auto"/>
              <w:right w:val="single" w:sz="4" w:space="0" w:color="auto"/>
            </w:tcBorders>
            <w:shd w:val="clear" w:color="000000" w:fill="FFC7CE"/>
            <w:noWrap/>
            <w:vAlign w:val="center"/>
            <w:hideMark/>
          </w:tcPr>
          <w:p w14:paraId="2FAF4010" w14:textId="77777777" w:rsidR="00460BED" w:rsidRPr="00B65A7B" w:rsidRDefault="00460BED" w:rsidP="00121AF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1,5</w:t>
            </w:r>
          </w:p>
        </w:tc>
      </w:tr>
      <w:tr w:rsidR="00460BED" w:rsidRPr="00B65A7B" w14:paraId="74247E6F" w14:textId="77777777" w:rsidTr="00121AF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4250E477" w14:textId="77777777" w:rsidR="00460BED" w:rsidRPr="00B65A7B" w:rsidRDefault="00460BED" w:rsidP="00121AF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B3</w:t>
            </w:r>
          </w:p>
        </w:tc>
        <w:tc>
          <w:tcPr>
            <w:tcW w:w="1118" w:type="dxa"/>
            <w:tcBorders>
              <w:top w:val="nil"/>
              <w:left w:val="nil"/>
              <w:bottom w:val="single" w:sz="4" w:space="0" w:color="auto"/>
              <w:right w:val="single" w:sz="4" w:space="0" w:color="auto"/>
            </w:tcBorders>
            <w:shd w:val="clear" w:color="000000" w:fill="C6EFCE"/>
            <w:noWrap/>
            <w:vAlign w:val="center"/>
            <w:hideMark/>
          </w:tcPr>
          <w:p w14:paraId="345988C4"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126</w:t>
            </w:r>
          </w:p>
        </w:tc>
        <w:tc>
          <w:tcPr>
            <w:tcW w:w="2162" w:type="dxa"/>
            <w:tcBorders>
              <w:top w:val="nil"/>
              <w:left w:val="nil"/>
              <w:bottom w:val="single" w:sz="4" w:space="0" w:color="auto"/>
              <w:right w:val="single" w:sz="4" w:space="0" w:color="auto"/>
            </w:tcBorders>
            <w:shd w:val="clear" w:color="000000" w:fill="C6EFCE"/>
            <w:noWrap/>
            <w:vAlign w:val="center"/>
            <w:hideMark/>
          </w:tcPr>
          <w:p w14:paraId="69E09161"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4,1</w:t>
            </w:r>
          </w:p>
        </w:tc>
        <w:tc>
          <w:tcPr>
            <w:tcW w:w="1118" w:type="dxa"/>
            <w:tcBorders>
              <w:top w:val="nil"/>
              <w:left w:val="nil"/>
              <w:bottom w:val="single" w:sz="4" w:space="0" w:color="auto"/>
              <w:right w:val="single" w:sz="4" w:space="0" w:color="auto"/>
            </w:tcBorders>
            <w:shd w:val="clear" w:color="000000" w:fill="FFC7CE"/>
            <w:noWrap/>
            <w:vAlign w:val="center"/>
            <w:hideMark/>
          </w:tcPr>
          <w:p w14:paraId="67362FB2" w14:textId="77777777" w:rsidR="00460BED" w:rsidRPr="00B65A7B" w:rsidRDefault="00460BED" w:rsidP="00121AF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63</w:t>
            </w:r>
          </w:p>
        </w:tc>
        <w:tc>
          <w:tcPr>
            <w:tcW w:w="2162" w:type="dxa"/>
            <w:tcBorders>
              <w:top w:val="nil"/>
              <w:left w:val="nil"/>
              <w:bottom w:val="single" w:sz="4" w:space="0" w:color="auto"/>
              <w:right w:val="single" w:sz="4" w:space="0" w:color="auto"/>
            </w:tcBorders>
            <w:shd w:val="clear" w:color="000000" w:fill="FFC7CE"/>
            <w:noWrap/>
            <w:vAlign w:val="center"/>
            <w:hideMark/>
          </w:tcPr>
          <w:p w14:paraId="24D0AA5D" w14:textId="77777777" w:rsidR="00460BED" w:rsidRPr="00B65A7B" w:rsidRDefault="00460BED" w:rsidP="00121AF7">
            <w:pPr>
              <w:spacing w:after="0" w:line="240" w:lineRule="auto"/>
              <w:jc w:val="center"/>
              <w:rPr>
                <w:rFonts w:ascii="Calibri" w:eastAsia="Times New Roman" w:hAnsi="Calibri" w:cs="Calibri"/>
                <w:color w:val="9C0006"/>
                <w:sz w:val="22"/>
                <w:lang w:val="en-GB" w:eastAsia="en-GB"/>
              </w:rPr>
            </w:pPr>
            <w:r w:rsidRPr="00B65A7B">
              <w:rPr>
                <w:rFonts w:ascii="Calibri" w:eastAsia="Times New Roman" w:hAnsi="Calibri" w:cs="Calibri"/>
                <w:color w:val="9C0006"/>
                <w:sz w:val="22"/>
                <w:lang w:val="en-GB" w:eastAsia="en-GB"/>
              </w:rPr>
              <w:t>2,1</w:t>
            </w:r>
          </w:p>
        </w:tc>
      </w:tr>
      <w:tr w:rsidR="00460BED" w:rsidRPr="00B65A7B" w14:paraId="0A83F214" w14:textId="77777777" w:rsidTr="00121AF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3713618F" w14:textId="77777777" w:rsidR="00460BED" w:rsidRPr="00B65A7B" w:rsidRDefault="00460BED" w:rsidP="00121AF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B4</w:t>
            </w:r>
          </w:p>
        </w:tc>
        <w:tc>
          <w:tcPr>
            <w:tcW w:w="1118" w:type="dxa"/>
            <w:tcBorders>
              <w:top w:val="nil"/>
              <w:left w:val="nil"/>
              <w:bottom w:val="single" w:sz="4" w:space="0" w:color="auto"/>
              <w:right w:val="single" w:sz="4" w:space="0" w:color="auto"/>
            </w:tcBorders>
            <w:shd w:val="clear" w:color="000000" w:fill="C6EFCE"/>
            <w:noWrap/>
            <w:vAlign w:val="center"/>
            <w:hideMark/>
          </w:tcPr>
          <w:p w14:paraId="7D9280E3"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234</w:t>
            </w:r>
          </w:p>
        </w:tc>
        <w:tc>
          <w:tcPr>
            <w:tcW w:w="2162" w:type="dxa"/>
            <w:tcBorders>
              <w:top w:val="nil"/>
              <w:left w:val="nil"/>
              <w:bottom w:val="single" w:sz="4" w:space="0" w:color="auto"/>
              <w:right w:val="single" w:sz="4" w:space="0" w:color="auto"/>
            </w:tcBorders>
            <w:shd w:val="clear" w:color="000000" w:fill="C6EFCE"/>
            <w:noWrap/>
            <w:vAlign w:val="center"/>
            <w:hideMark/>
          </w:tcPr>
          <w:p w14:paraId="786791C7"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7,6</w:t>
            </w:r>
          </w:p>
        </w:tc>
        <w:tc>
          <w:tcPr>
            <w:tcW w:w="1118" w:type="dxa"/>
            <w:tcBorders>
              <w:top w:val="nil"/>
              <w:left w:val="nil"/>
              <w:bottom w:val="single" w:sz="4" w:space="0" w:color="auto"/>
              <w:right w:val="single" w:sz="4" w:space="0" w:color="auto"/>
            </w:tcBorders>
            <w:shd w:val="clear" w:color="000000" w:fill="C6EFCE"/>
            <w:noWrap/>
            <w:vAlign w:val="center"/>
            <w:hideMark/>
          </w:tcPr>
          <w:p w14:paraId="38506F50"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117</w:t>
            </w:r>
          </w:p>
        </w:tc>
        <w:tc>
          <w:tcPr>
            <w:tcW w:w="2162" w:type="dxa"/>
            <w:tcBorders>
              <w:top w:val="nil"/>
              <w:left w:val="nil"/>
              <w:bottom w:val="single" w:sz="4" w:space="0" w:color="auto"/>
              <w:right w:val="single" w:sz="4" w:space="0" w:color="auto"/>
            </w:tcBorders>
            <w:shd w:val="clear" w:color="000000" w:fill="C6EFCE"/>
            <w:noWrap/>
            <w:vAlign w:val="center"/>
            <w:hideMark/>
          </w:tcPr>
          <w:p w14:paraId="00CB18D2"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3,8</w:t>
            </w:r>
          </w:p>
        </w:tc>
      </w:tr>
      <w:tr w:rsidR="00460BED" w:rsidRPr="00B65A7B" w14:paraId="64C6F1AD" w14:textId="77777777" w:rsidTr="00121AF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02EAAF2E" w14:textId="77777777" w:rsidR="00460BED" w:rsidRPr="00B65A7B" w:rsidRDefault="00460BED" w:rsidP="00121AF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lastRenderedPageBreak/>
              <w:t>RACH Format C0</w:t>
            </w:r>
          </w:p>
        </w:tc>
        <w:tc>
          <w:tcPr>
            <w:tcW w:w="1118" w:type="dxa"/>
            <w:tcBorders>
              <w:top w:val="nil"/>
              <w:left w:val="nil"/>
              <w:bottom w:val="single" w:sz="4" w:space="0" w:color="auto"/>
              <w:right w:val="single" w:sz="4" w:space="0" w:color="auto"/>
            </w:tcBorders>
            <w:shd w:val="clear" w:color="000000" w:fill="C6EFCE"/>
            <w:noWrap/>
            <w:vAlign w:val="center"/>
            <w:hideMark/>
          </w:tcPr>
          <w:p w14:paraId="004F2263"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310</w:t>
            </w:r>
          </w:p>
        </w:tc>
        <w:tc>
          <w:tcPr>
            <w:tcW w:w="2162" w:type="dxa"/>
            <w:tcBorders>
              <w:top w:val="nil"/>
              <w:left w:val="nil"/>
              <w:bottom w:val="single" w:sz="4" w:space="0" w:color="auto"/>
              <w:right w:val="single" w:sz="4" w:space="0" w:color="auto"/>
            </w:tcBorders>
            <w:shd w:val="clear" w:color="000000" w:fill="C6EFCE"/>
            <w:noWrap/>
            <w:vAlign w:val="center"/>
            <w:hideMark/>
          </w:tcPr>
          <w:p w14:paraId="76E6E14E"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10,1</w:t>
            </w:r>
          </w:p>
        </w:tc>
        <w:tc>
          <w:tcPr>
            <w:tcW w:w="1118" w:type="dxa"/>
            <w:tcBorders>
              <w:top w:val="nil"/>
              <w:left w:val="nil"/>
              <w:bottom w:val="single" w:sz="4" w:space="0" w:color="auto"/>
              <w:right w:val="single" w:sz="4" w:space="0" w:color="auto"/>
            </w:tcBorders>
            <w:shd w:val="clear" w:color="000000" w:fill="C6EFCE"/>
            <w:noWrap/>
            <w:vAlign w:val="center"/>
            <w:hideMark/>
          </w:tcPr>
          <w:p w14:paraId="125E6269"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155</w:t>
            </w:r>
          </w:p>
        </w:tc>
        <w:tc>
          <w:tcPr>
            <w:tcW w:w="2162" w:type="dxa"/>
            <w:tcBorders>
              <w:top w:val="nil"/>
              <w:left w:val="nil"/>
              <w:bottom w:val="single" w:sz="4" w:space="0" w:color="auto"/>
              <w:right w:val="single" w:sz="4" w:space="0" w:color="auto"/>
            </w:tcBorders>
            <w:shd w:val="clear" w:color="000000" w:fill="C6EFCE"/>
            <w:noWrap/>
            <w:vAlign w:val="center"/>
            <w:hideMark/>
          </w:tcPr>
          <w:p w14:paraId="49F2056D"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5,0</w:t>
            </w:r>
          </w:p>
        </w:tc>
      </w:tr>
      <w:tr w:rsidR="00460BED" w:rsidRPr="00B65A7B" w14:paraId="76D534C1" w14:textId="77777777" w:rsidTr="00121AF7">
        <w:trPr>
          <w:trHeight w:val="300"/>
        </w:trPr>
        <w:tc>
          <w:tcPr>
            <w:tcW w:w="2420" w:type="dxa"/>
            <w:tcBorders>
              <w:top w:val="nil"/>
              <w:left w:val="single" w:sz="4" w:space="0" w:color="auto"/>
              <w:bottom w:val="single" w:sz="4" w:space="0" w:color="auto"/>
              <w:right w:val="single" w:sz="4" w:space="0" w:color="auto"/>
            </w:tcBorders>
            <w:shd w:val="clear" w:color="000000" w:fill="D6DCE4"/>
            <w:noWrap/>
            <w:vAlign w:val="center"/>
            <w:hideMark/>
          </w:tcPr>
          <w:p w14:paraId="3F3253D6" w14:textId="77777777" w:rsidR="00460BED" w:rsidRPr="00B65A7B" w:rsidRDefault="00460BED" w:rsidP="00121AF7">
            <w:pPr>
              <w:spacing w:after="0" w:line="240" w:lineRule="auto"/>
              <w:jc w:val="center"/>
              <w:rPr>
                <w:rFonts w:ascii="Calibri" w:eastAsia="Times New Roman" w:hAnsi="Calibri" w:cs="Calibri"/>
                <w:color w:val="000000"/>
                <w:sz w:val="22"/>
                <w:lang w:val="en-GB" w:eastAsia="en-GB"/>
              </w:rPr>
            </w:pPr>
            <w:r w:rsidRPr="00B65A7B">
              <w:rPr>
                <w:rFonts w:ascii="Calibri" w:eastAsia="Times New Roman" w:hAnsi="Calibri" w:cs="Calibri"/>
                <w:color w:val="000000"/>
                <w:sz w:val="22"/>
                <w:lang w:val="en-GB" w:eastAsia="en-GB"/>
              </w:rPr>
              <w:t>RACH format C2</w:t>
            </w:r>
          </w:p>
        </w:tc>
        <w:tc>
          <w:tcPr>
            <w:tcW w:w="1118" w:type="dxa"/>
            <w:tcBorders>
              <w:top w:val="nil"/>
              <w:left w:val="nil"/>
              <w:bottom w:val="single" w:sz="4" w:space="0" w:color="auto"/>
              <w:right w:val="single" w:sz="4" w:space="0" w:color="auto"/>
            </w:tcBorders>
            <w:shd w:val="clear" w:color="000000" w:fill="C6EFCE"/>
            <w:noWrap/>
            <w:vAlign w:val="center"/>
            <w:hideMark/>
          </w:tcPr>
          <w:p w14:paraId="08C7185B"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512</w:t>
            </w:r>
          </w:p>
        </w:tc>
        <w:tc>
          <w:tcPr>
            <w:tcW w:w="2162" w:type="dxa"/>
            <w:tcBorders>
              <w:top w:val="nil"/>
              <w:left w:val="nil"/>
              <w:bottom w:val="single" w:sz="4" w:space="0" w:color="auto"/>
              <w:right w:val="single" w:sz="4" w:space="0" w:color="auto"/>
            </w:tcBorders>
            <w:shd w:val="clear" w:color="000000" w:fill="C6EFCE"/>
            <w:noWrap/>
            <w:vAlign w:val="center"/>
            <w:hideMark/>
          </w:tcPr>
          <w:p w14:paraId="58FE05D7"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16,7</w:t>
            </w:r>
          </w:p>
        </w:tc>
        <w:tc>
          <w:tcPr>
            <w:tcW w:w="1118" w:type="dxa"/>
            <w:tcBorders>
              <w:top w:val="nil"/>
              <w:left w:val="nil"/>
              <w:bottom w:val="single" w:sz="4" w:space="0" w:color="auto"/>
              <w:right w:val="single" w:sz="4" w:space="0" w:color="auto"/>
            </w:tcBorders>
            <w:shd w:val="clear" w:color="000000" w:fill="C6EFCE"/>
            <w:noWrap/>
            <w:vAlign w:val="center"/>
            <w:hideMark/>
          </w:tcPr>
          <w:p w14:paraId="2432FE72"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256</w:t>
            </w:r>
          </w:p>
        </w:tc>
        <w:tc>
          <w:tcPr>
            <w:tcW w:w="2162" w:type="dxa"/>
            <w:tcBorders>
              <w:top w:val="nil"/>
              <w:left w:val="nil"/>
              <w:bottom w:val="single" w:sz="4" w:space="0" w:color="auto"/>
              <w:right w:val="single" w:sz="4" w:space="0" w:color="auto"/>
            </w:tcBorders>
            <w:shd w:val="clear" w:color="000000" w:fill="C6EFCE"/>
            <w:noWrap/>
            <w:vAlign w:val="center"/>
            <w:hideMark/>
          </w:tcPr>
          <w:p w14:paraId="5358201F" w14:textId="77777777" w:rsidR="00460BED" w:rsidRPr="00B65A7B" w:rsidRDefault="00460BED" w:rsidP="00121AF7">
            <w:pPr>
              <w:spacing w:after="0" w:line="240" w:lineRule="auto"/>
              <w:jc w:val="center"/>
              <w:rPr>
                <w:rFonts w:ascii="Calibri" w:eastAsia="Times New Roman" w:hAnsi="Calibri" w:cs="Calibri"/>
                <w:color w:val="006100"/>
                <w:sz w:val="22"/>
                <w:lang w:val="en-GB" w:eastAsia="en-GB"/>
              </w:rPr>
            </w:pPr>
            <w:r w:rsidRPr="00B65A7B">
              <w:rPr>
                <w:rFonts w:ascii="Calibri" w:eastAsia="Times New Roman" w:hAnsi="Calibri" w:cs="Calibri"/>
                <w:color w:val="006100"/>
                <w:sz w:val="22"/>
                <w:lang w:val="en-GB" w:eastAsia="en-GB"/>
              </w:rPr>
              <w:t>8,3</w:t>
            </w:r>
          </w:p>
        </w:tc>
      </w:tr>
    </w:tbl>
    <w:p w14:paraId="6C55B4BD" w14:textId="77777777" w:rsidR="00460BED" w:rsidRDefault="00460BED" w:rsidP="00460BED"/>
    <w:p w14:paraId="2F03B4C4" w14:textId="77777777" w:rsidR="00460BED" w:rsidRDefault="00460BED" w:rsidP="00460BED">
      <w:pPr>
        <w:pStyle w:val="RAN4proposal"/>
      </w:pPr>
      <w:bookmarkStart w:id="11" w:name="_Toc146732882"/>
      <w:r>
        <w:t>If further relaxation is adopted for PRACH formats, limit the transmit timing inaccuracy, T</w:t>
      </w:r>
      <w:r w:rsidRPr="00094903">
        <w:rPr>
          <w:vertAlign w:val="subscript"/>
        </w:rPr>
        <w:t>e_NTN</w:t>
      </w:r>
      <w:r>
        <w:t xml:space="preserve"> , to 12 Ts in total.</w:t>
      </w:r>
      <w:bookmarkEnd w:id="11"/>
      <w:r>
        <w:t xml:space="preserve"> </w:t>
      </w:r>
    </w:p>
    <w:p w14:paraId="51315815" w14:textId="77777777" w:rsidR="005705A0" w:rsidRDefault="005705A0" w:rsidP="002264D7">
      <w:pPr>
        <w:jc w:val="both"/>
      </w:pPr>
    </w:p>
    <w:p w14:paraId="675FE1B2" w14:textId="62F0B700" w:rsidR="00012CE7" w:rsidRDefault="00012CE7" w:rsidP="00012CE7">
      <w:pPr>
        <w:pStyle w:val="RAN4H3"/>
      </w:pPr>
      <w:r>
        <w:t>UL Transmit timing accuracy for PUCCH and PUSCH</w:t>
      </w:r>
    </w:p>
    <w:p w14:paraId="014D99CA" w14:textId="77777777" w:rsidR="00CE2703" w:rsidRDefault="00CE2703" w:rsidP="00CE2703">
      <w:pPr>
        <w:pStyle w:val="RAN4Observation"/>
        <w:numPr>
          <w:ilvl w:val="0"/>
          <w:numId w:val="0"/>
        </w:numPr>
      </w:pPr>
      <w:r>
        <w:t>At the SAN side, the uncertainty of the UE transmission timing depends on several factors such as:</w:t>
      </w:r>
    </w:p>
    <w:p w14:paraId="19118372" w14:textId="77777777" w:rsidR="00CE2703" w:rsidRDefault="00CE2703" w:rsidP="00CE2703">
      <w:pPr>
        <w:pStyle w:val="ListParagraph"/>
        <w:numPr>
          <w:ilvl w:val="0"/>
          <w:numId w:val="29"/>
        </w:numPr>
        <w:rPr>
          <w:lang w:val="en-GB"/>
        </w:rPr>
      </w:pPr>
      <w:r>
        <w:rPr>
          <w:lang w:val="en-GB"/>
        </w:rPr>
        <w:t>Transmit timing error</w:t>
      </w:r>
    </w:p>
    <w:p w14:paraId="4FEC7492" w14:textId="77777777" w:rsidR="00CE2703" w:rsidRDefault="00CE2703" w:rsidP="00CE2703">
      <w:pPr>
        <w:pStyle w:val="ListParagraph"/>
        <w:numPr>
          <w:ilvl w:val="0"/>
          <w:numId w:val="29"/>
        </w:numPr>
        <w:rPr>
          <w:lang w:val="en-GB"/>
        </w:rPr>
      </w:pPr>
      <w:r>
        <w:rPr>
          <w:lang w:val="en-GB"/>
        </w:rPr>
        <w:t xml:space="preserve">The maximum transmit timing </w:t>
      </w:r>
      <w:r w:rsidRPr="00FC53A4">
        <w:rPr>
          <w:u w:val="single"/>
          <w:lang w:val="en-GB"/>
        </w:rPr>
        <w:t>adjustment</w:t>
      </w:r>
      <w:r>
        <w:rPr>
          <w:lang w:val="en-GB"/>
        </w:rPr>
        <w:t xml:space="preserve"> error</w:t>
      </w:r>
    </w:p>
    <w:p w14:paraId="3D40E74F" w14:textId="77777777" w:rsidR="00CE2703" w:rsidRDefault="00CE2703" w:rsidP="00CE2703">
      <w:pPr>
        <w:pStyle w:val="ListParagraph"/>
        <w:numPr>
          <w:ilvl w:val="0"/>
          <w:numId w:val="29"/>
        </w:numPr>
        <w:rPr>
          <w:lang w:val="en-GB"/>
        </w:rPr>
      </w:pPr>
      <w:r>
        <w:rPr>
          <w:lang w:val="en-GB"/>
        </w:rPr>
        <w:t xml:space="preserve">The quantization error within the timing advance command. </w:t>
      </w:r>
    </w:p>
    <w:p w14:paraId="7DF690D2" w14:textId="77777777" w:rsidR="00CE2703" w:rsidRDefault="00CE2703" w:rsidP="00CE2703">
      <w:pPr>
        <w:pStyle w:val="ListParagraph"/>
        <w:numPr>
          <w:ilvl w:val="0"/>
          <w:numId w:val="29"/>
        </w:numPr>
        <w:rPr>
          <w:lang w:val="en-GB"/>
        </w:rPr>
      </w:pPr>
      <w:r>
        <w:rPr>
          <w:lang w:val="en-GB"/>
        </w:rPr>
        <w:t>Time dispersion of the channel</w:t>
      </w:r>
    </w:p>
    <w:p w14:paraId="771EC14C" w14:textId="77777777" w:rsidR="00CE2703" w:rsidRPr="00483ECB" w:rsidRDefault="00CE2703" w:rsidP="00CE2703">
      <w:pPr>
        <w:pStyle w:val="ListParagraph"/>
        <w:numPr>
          <w:ilvl w:val="0"/>
          <w:numId w:val="29"/>
        </w:numPr>
        <w:rPr>
          <w:lang w:val="en-GB"/>
        </w:rPr>
      </w:pPr>
      <w:r>
        <w:rPr>
          <w:lang w:val="en-GB"/>
        </w:rPr>
        <w:t>Numerical errors on the calculation of the ephemeris and common delay parameters</w:t>
      </w:r>
    </w:p>
    <w:p w14:paraId="71EA67EF" w14:textId="77777777" w:rsidR="00CE2703" w:rsidRDefault="00CE2703" w:rsidP="00CE2703">
      <w:pPr>
        <w:rPr>
          <w:lang w:val="en-GB"/>
        </w:rPr>
      </w:pPr>
    </w:p>
    <w:p w14:paraId="48A2283F" w14:textId="441F065B" w:rsidR="00CE2703" w:rsidRPr="00FF374C" w:rsidRDefault="00CE2703" w:rsidP="00CE2703">
      <w:pPr>
        <w:rPr>
          <w:lang w:val="en-GB"/>
        </w:rPr>
      </w:pPr>
      <w:r>
        <w:rPr>
          <w:lang w:val="en-GB"/>
        </w:rPr>
        <w:t xml:space="preserve">The uncertainty of the UE transmission must be absorbed by the cyclic prefix. The CP duration,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rPr>
          <w:rFonts w:eastAsiaTheme="minorEastAsia"/>
        </w:rPr>
        <w:t xml:space="preserve">, </w:t>
      </w:r>
      <w:r>
        <w:rPr>
          <w:lang w:val="en-GB"/>
        </w:rPr>
        <w:t xml:space="preserve">for the normal CP operation, as defined in </w:t>
      </w:r>
      <w:r>
        <w:rPr>
          <w:highlight w:val="yellow"/>
          <w:lang w:val="en-GB"/>
        </w:rPr>
        <w:fldChar w:fldCharType="begin"/>
      </w:r>
      <w:r>
        <w:rPr>
          <w:lang w:val="en-GB"/>
        </w:rPr>
        <w:instrText xml:space="preserve"> REF _Ref130303734 \r \h </w:instrText>
      </w:r>
      <w:r>
        <w:rPr>
          <w:highlight w:val="yellow"/>
          <w:lang w:val="en-GB"/>
        </w:rPr>
      </w:r>
      <w:r>
        <w:rPr>
          <w:highlight w:val="yellow"/>
          <w:lang w:val="en-GB"/>
        </w:rPr>
        <w:fldChar w:fldCharType="separate"/>
      </w:r>
      <w:r w:rsidR="002E5AC7">
        <w:rPr>
          <w:lang w:val="en-GB"/>
        </w:rPr>
        <w:t>[10]</w:t>
      </w:r>
      <w:r>
        <w:rPr>
          <w:highlight w:val="yellow"/>
          <w:lang w:val="en-GB"/>
        </w:rPr>
        <w:fldChar w:fldCharType="end"/>
      </w:r>
      <w:r>
        <w:rPr>
          <w:lang w:val="en-GB"/>
        </w:rPr>
        <w:t xml:space="preserve"> depends on the SCS: </w:t>
      </w:r>
    </w:p>
    <w:p w14:paraId="0FEECC6F" w14:textId="77777777" w:rsidR="00CE2703" w:rsidRPr="005252A5" w:rsidRDefault="00DE2133" w:rsidP="00CE2703">
      <w:pPr>
        <w:pStyle w:val="RAN4Observation"/>
        <w:numPr>
          <w:ilvl w:val="0"/>
          <w:numId w:val="0"/>
        </w:numPr>
      </w:pPr>
      <m:oMathPara>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d>
            <m:dPr>
              <m:ctrlPr>
                <w:rPr>
                  <w:rFonts w:ascii="Cambria Math" w:hAnsi="Cambria Math"/>
                  <w:i/>
                </w:rPr>
              </m:ctrlPr>
            </m:dPr>
            <m:e>
              <m:r>
                <w:rPr>
                  <w:rFonts w:ascii="Cambria Math" w:hAnsi="Cambria Math"/>
                </w:rPr>
                <m:t>144</m:t>
              </m:r>
              <m:r>
                <w:rPr>
                  <w:rFonts w:ascii="Cambria Math" w:hAnsi="Cambria Math"/>
                </w:rPr>
                <m:t>κ</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t>
                  </m:r>
                  <m:r>
                    <w:rPr>
                      <w:rFonts w:ascii="Cambria Math" w:hAnsi="Cambria Math"/>
                    </w:rPr>
                    <m:t>μ</m:t>
                  </m:r>
                </m:sup>
              </m:sSup>
            </m:e>
          </m:d>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14:paraId="5725861B" w14:textId="77777777" w:rsidR="00CE2703" w:rsidRDefault="00CE2703" w:rsidP="00CE2703">
      <w:pPr>
        <w:rPr>
          <w:lang w:val="en-GB"/>
        </w:rPr>
      </w:pPr>
    </w:p>
    <w:p w14:paraId="55969419" w14:textId="77777777" w:rsidR="00CE2703" w:rsidRDefault="00CE2703" w:rsidP="00CE2703">
      <w:pPr>
        <w:rPr>
          <w:rFonts w:eastAsiaTheme="minorEastAsia"/>
          <w:lang w:val="en-GB"/>
        </w:rPr>
      </w:pPr>
      <w:r>
        <w:rPr>
          <w:lang w:val="en-GB"/>
        </w:rPr>
        <w:t xml:space="preserve">In Rel-17, for NTN deployments, the transmit timing error limit was relaxed to introduce up to 80 meters of inaccuracy. As the timing advance corresponds to the double of the propagation delay, the relaxation considered the time for the signal to travel 160 meters. So, considering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oMath>
      <w:r>
        <w:rPr>
          <w:rFonts w:eastAsiaTheme="minorEastAsia"/>
          <w:lang w:val="en-GB"/>
        </w:rPr>
        <w:t xml:space="preserve"> as the relaxation time</w:t>
      </w:r>
    </w:p>
    <w:p w14:paraId="0CBC5834" w14:textId="77777777" w:rsidR="00CE2703" w:rsidRDefault="00DE2133" w:rsidP="00CE2703">
      <w:pPr>
        <w:rPr>
          <w:lang w:val="en-GB"/>
        </w:rPr>
      </w:pPr>
      <m:oMathPara>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160</m:t>
              </m:r>
            </m:num>
            <m:den>
              <m:r>
                <w:rPr>
                  <w:rFonts w:ascii="Cambria Math" w:hAnsi="Cambria Math"/>
                  <w:lang w:val="en-GB"/>
                </w:rPr>
                <m:t>3*</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8</m:t>
                  </m:r>
                </m:sup>
              </m:sSup>
            </m:den>
          </m:f>
          <m:r>
            <w:rPr>
              <w:rFonts w:ascii="Cambria Math" w:hAnsi="Cambria Math"/>
              <w:lang w:val="en-GB"/>
            </w:rPr>
            <m:t xml:space="preserve">≈(16.4 </m:t>
          </m:r>
          <m:r>
            <w:rPr>
              <w:rFonts w:ascii="Cambria Math" w:hAnsi="Cambria Math"/>
              <w:lang w:val="en-GB"/>
            </w:rPr>
            <m:t>κ</m:t>
          </m:r>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m:t>
              </m:r>
            </m:sub>
          </m:sSub>
        </m:oMath>
      </m:oMathPara>
    </w:p>
    <w:p w14:paraId="3090838E" w14:textId="77777777" w:rsidR="00CE2703" w:rsidRDefault="00CE2703" w:rsidP="00CE2703">
      <w:pPr>
        <w:spacing w:before="240"/>
        <w:rPr>
          <w:rFonts w:eastAsiaTheme="minorEastAsia"/>
          <w:lang w:val="en-GB"/>
        </w:rPr>
      </w:pPr>
      <w:r>
        <w:rPr>
          <w:lang w:val="en-GB"/>
        </w:rPr>
        <w:t xml:space="preserve">For simplifying the analysis, we will consider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r>
          <w:rPr>
            <w:rFonts w:ascii="Cambria Math" w:hAnsi="Cambria Math"/>
            <w:lang w:val="en-GB"/>
          </w:rPr>
          <m:t>=16κ</m:t>
        </m:r>
      </m:oMath>
      <w:r>
        <w:rPr>
          <w:rFonts w:eastAsiaTheme="minorEastAsia"/>
          <w:lang w:val="en-GB"/>
        </w:rPr>
        <w:t>. Assuming the transmit timing error limit, T</w:t>
      </w:r>
      <w:r w:rsidRPr="00AD0128">
        <w:rPr>
          <w:rFonts w:eastAsiaTheme="minorEastAsia"/>
          <w:vertAlign w:val="subscript"/>
          <w:lang w:val="en-GB"/>
        </w:rPr>
        <w:t xml:space="preserve">e_NTN </w:t>
      </w:r>
      <w:r>
        <w:rPr>
          <w:rFonts w:eastAsiaTheme="minorEastAsia"/>
          <w:lang w:val="en-GB"/>
        </w:rPr>
        <w:t>= T</w:t>
      </w:r>
      <w:r w:rsidRPr="00AD0128">
        <w:rPr>
          <w:rFonts w:eastAsiaTheme="minorEastAsia"/>
          <w:vertAlign w:val="subscript"/>
          <w:lang w:val="en-GB"/>
        </w:rPr>
        <w:t>e</w:t>
      </w:r>
      <w:r>
        <w:rPr>
          <w:rFonts w:eastAsiaTheme="minorEastAsia"/>
          <w:lang w:val="en-GB"/>
        </w:rPr>
        <w:t xml:space="preserve"> + T</w:t>
      </w:r>
      <w:r w:rsidRPr="00AD0128">
        <w:rPr>
          <w:rFonts w:eastAsiaTheme="minorEastAsia"/>
          <w:vertAlign w:val="subscript"/>
          <w:lang w:val="en-GB"/>
        </w:rPr>
        <w:t>rela</w:t>
      </w:r>
      <w:r>
        <w:rPr>
          <w:rFonts w:eastAsiaTheme="minorEastAsia"/>
          <w:vertAlign w:val="subscript"/>
          <w:lang w:val="en-GB"/>
        </w:rPr>
        <w:t xml:space="preserve">x, </w:t>
      </w:r>
      <w:r>
        <w:rPr>
          <w:rFonts w:eastAsiaTheme="minorEastAsia"/>
          <w:lang w:val="en-GB"/>
        </w:rPr>
        <w:t>is the absolute timing error, the receiving system must be prepared to receive one UE with transmit timing error equal to +T</w:t>
      </w:r>
      <w:r w:rsidRPr="00826AE0">
        <w:rPr>
          <w:rFonts w:eastAsiaTheme="minorEastAsia"/>
          <w:vertAlign w:val="subscript"/>
          <w:lang w:val="en-GB"/>
        </w:rPr>
        <w:t>e_NTN</w:t>
      </w:r>
      <w:r>
        <w:rPr>
          <w:rFonts w:eastAsiaTheme="minorEastAsia"/>
          <w:lang w:val="en-GB"/>
        </w:rPr>
        <w:t xml:space="preserve"> and another UE with transmit timing error equal to –T</w:t>
      </w:r>
      <w:r w:rsidRPr="00826AE0">
        <w:rPr>
          <w:rFonts w:eastAsiaTheme="minorEastAsia"/>
          <w:vertAlign w:val="subscript"/>
          <w:lang w:val="en-GB"/>
        </w:rPr>
        <w:t>e_NTN</w:t>
      </w:r>
      <w:r w:rsidRPr="00826AE0">
        <w:rPr>
          <w:rFonts w:eastAsiaTheme="minorEastAsia"/>
          <w:lang w:val="en-GB"/>
        </w:rPr>
        <w:t>.</w:t>
      </w:r>
      <w:r>
        <w:rPr>
          <w:rFonts w:eastAsiaTheme="minorEastAsia"/>
          <w:vertAlign w:val="subscript"/>
          <w:lang w:val="en-GB"/>
        </w:rPr>
        <w:t xml:space="preserve"> </w:t>
      </w:r>
      <w:r>
        <w:rPr>
          <w:rFonts w:eastAsiaTheme="minorEastAsia"/>
          <w:lang w:val="en-GB"/>
        </w:rPr>
        <w:t>In other words, the delay budget reserved to absorb the impact of UE transmit timing inaccuracy is twice as large as T</w:t>
      </w:r>
      <w:r w:rsidRPr="00AD0128">
        <w:rPr>
          <w:rFonts w:eastAsiaTheme="minorEastAsia"/>
          <w:vertAlign w:val="subscript"/>
          <w:lang w:val="en-GB"/>
        </w:rPr>
        <w:t>e_NTN</w:t>
      </w:r>
      <w:r w:rsidRPr="00826AE0">
        <w:rPr>
          <w:rFonts w:eastAsiaTheme="minorEastAsia"/>
          <w:lang w:val="en-GB"/>
        </w:rPr>
        <w:t>.</w:t>
      </w:r>
      <w:r>
        <w:rPr>
          <w:rFonts w:eastAsiaTheme="minorEastAsia"/>
          <w:lang w:val="en-GB"/>
        </w:rPr>
        <w:t xml:space="preserve"> This alone would make it impossible for the implementation of the GNSS relaxation for these SCS, as showed in </w:t>
      </w:r>
      <w:r>
        <w:rPr>
          <w:rFonts w:eastAsiaTheme="minorEastAsia"/>
          <w:lang w:val="en-GB"/>
        </w:rPr>
        <w:fldChar w:fldCharType="begin"/>
      </w:r>
      <w:r>
        <w:rPr>
          <w:rFonts w:eastAsiaTheme="minorEastAsia"/>
          <w:lang w:val="en-GB"/>
        </w:rPr>
        <w:instrText xml:space="preserve"> REF _Ref129959122 \h </w:instrText>
      </w:r>
      <w:r>
        <w:rPr>
          <w:rFonts w:eastAsiaTheme="minorEastAsia"/>
          <w:lang w:val="en-GB"/>
        </w:rPr>
      </w:r>
      <w:r>
        <w:rPr>
          <w:rFonts w:eastAsiaTheme="minorEastAsia"/>
          <w:lang w:val="en-GB"/>
        </w:rPr>
        <w:fldChar w:fldCharType="separate"/>
      </w:r>
      <w:r>
        <w:t xml:space="preserve">Table </w:t>
      </w:r>
      <w:r>
        <w:rPr>
          <w:noProof/>
        </w:rPr>
        <w:t>1</w:t>
      </w:r>
      <w:r>
        <w:rPr>
          <w:rFonts w:eastAsiaTheme="minorEastAsia"/>
          <w:lang w:val="en-GB"/>
        </w:rPr>
        <w:fldChar w:fldCharType="end"/>
      </w:r>
      <w:r>
        <w:rPr>
          <w:rFonts w:eastAsiaTheme="minorEastAsia"/>
          <w:lang w:val="en-GB"/>
        </w:rPr>
        <w:t>.</w:t>
      </w:r>
    </w:p>
    <w:p w14:paraId="3313AF0F" w14:textId="77777777" w:rsidR="00CE2703" w:rsidRDefault="00CE2703" w:rsidP="00CE2703">
      <w:pPr>
        <w:pStyle w:val="Caption"/>
        <w:keepNext/>
      </w:pPr>
      <w:r>
        <w:t xml:space="preserve">Table </w:t>
      </w:r>
      <w:r w:rsidR="00DE2133">
        <w:fldChar w:fldCharType="begin"/>
      </w:r>
      <w:r w:rsidR="00DE2133">
        <w:instrText xml:space="preserve"> SEQ Table \* ARABIC </w:instrText>
      </w:r>
      <w:r w:rsidR="00DE2133">
        <w:fldChar w:fldCharType="separate"/>
      </w:r>
      <w:r>
        <w:rPr>
          <w:noProof/>
        </w:rPr>
        <w:t>1</w:t>
      </w:r>
      <w:r w:rsidR="00DE2133">
        <w:rPr>
          <w:noProof/>
        </w:rPr>
        <w:fldChar w:fldCharType="end"/>
      </w:r>
      <w:r>
        <w:t>. Impact on the delay budget of the relaxation of transmit timing error requirement</w:t>
      </w:r>
    </w:p>
    <w:tbl>
      <w:tblPr>
        <w:tblStyle w:val="Style1"/>
        <w:tblW w:w="0" w:type="auto"/>
        <w:tblLook w:val="04A0" w:firstRow="1" w:lastRow="0" w:firstColumn="1" w:lastColumn="0" w:noHBand="0" w:noVBand="1"/>
      </w:tblPr>
      <w:tblGrid>
        <w:gridCol w:w="1475"/>
        <w:gridCol w:w="1781"/>
        <w:gridCol w:w="992"/>
        <w:gridCol w:w="142"/>
        <w:gridCol w:w="1701"/>
        <w:gridCol w:w="1134"/>
        <w:gridCol w:w="2392"/>
      </w:tblGrid>
      <w:tr w:rsidR="00CE2703" w:rsidRPr="00483ECB" w14:paraId="255098F7" w14:textId="77777777" w:rsidTr="00121AF7">
        <w:trPr>
          <w:cnfStyle w:val="100000000000" w:firstRow="1" w:lastRow="0" w:firstColumn="0" w:lastColumn="0" w:oddVBand="0" w:evenVBand="0" w:oddHBand="0" w:evenHBand="0" w:firstRowFirstColumn="0" w:firstRowLastColumn="0" w:lastRowFirstColumn="0" w:lastRowLastColumn="0"/>
        </w:trPr>
        <w:tc>
          <w:tcPr>
            <w:tcW w:w="1475" w:type="dxa"/>
          </w:tcPr>
          <w:p w14:paraId="152FAF70" w14:textId="77777777" w:rsidR="00CE2703" w:rsidRDefault="00CE2703" w:rsidP="00121AF7">
            <w:pPr>
              <w:rPr>
                <w:lang w:val="en-GB"/>
              </w:rPr>
            </w:pPr>
            <w:r>
              <w:t>SCS of SSB signals (kHz)</w:t>
            </w:r>
          </w:p>
        </w:tc>
        <w:tc>
          <w:tcPr>
            <w:tcW w:w="1781" w:type="dxa"/>
          </w:tcPr>
          <w:p w14:paraId="616A1F1F" w14:textId="77777777" w:rsidR="00CE2703" w:rsidRDefault="00CE2703" w:rsidP="00121AF7">
            <w:pPr>
              <w:rPr>
                <w:lang w:val="en-GB"/>
              </w:rPr>
            </w:pPr>
            <w:r>
              <w:t>SCS of uplink signals (kHz)</w:t>
            </w:r>
          </w:p>
        </w:tc>
        <w:tc>
          <w:tcPr>
            <w:tcW w:w="1134" w:type="dxa"/>
            <w:gridSpan w:val="2"/>
          </w:tcPr>
          <w:p w14:paraId="3F38D462" w14:textId="77777777" w:rsidR="00CE2703" w:rsidRPr="007303B4" w:rsidRDefault="00DE2133" w:rsidP="00121AF7">
            <w:pPr>
              <w:rPr>
                <w:lang w:val="en-GB"/>
              </w:rPr>
            </w:pP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cp</m:t>
                  </m:r>
                </m:sub>
              </m:sSub>
            </m:oMath>
            <w:r w:rsidR="00CE2703">
              <w:rPr>
                <w:lang w:val="en-GB"/>
              </w:rPr>
              <w:t xml:space="preserve"> [T</w:t>
            </w:r>
            <w:r w:rsidR="00CE2703" w:rsidRPr="0014528A">
              <w:rPr>
                <w:vertAlign w:val="subscript"/>
                <w:lang w:val="en-GB"/>
              </w:rPr>
              <w:t>s</w:t>
            </w:r>
            <w:r w:rsidR="00CE2703">
              <w:rPr>
                <w:lang w:val="en-GB"/>
              </w:rPr>
              <w:t>]</w:t>
            </w:r>
          </w:p>
        </w:tc>
        <w:tc>
          <w:tcPr>
            <w:tcW w:w="1701" w:type="dxa"/>
          </w:tcPr>
          <w:p w14:paraId="02389191" w14:textId="77777777" w:rsidR="00CE2703" w:rsidRPr="007303B4" w:rsidRDefault="00CE2703" w:rsidP="00121AF7">
            <w:pPr>
              <w:rPr>
                <w:rFonts w:ascii="Arial" w:eastAsia="SimSun" w:hAnsi="Arial" w:cs="Times New Roman"/>
                <w:lang w:val="en-GB"/>
              </w:rPr>
            </w:pPr>
            <w:r>
              <w:rPr>
                <w:rFonts w:ascii="Arial" w:eastAsia="SimSun" w:hAnsi="Arial" w:cs="Times New Roman"/>
                <w:lang w:val="en-GB"/>
              </w:rPr>
              <w:t>T</w:t>
            </w:r>
            <w:r w:rsidRPr="007303B4">
              <w:rPr>
                <w:rFonts w:ascii="Arial" w:eastAsia="SimSun" w:hAnsi="Arial" w:cs="Times New Roman"/>
                <w:vertAlign w:val="subscript"/>
                <w:lang w:val="en-GB"/>
              </w:rPr>
              <w:t>e</w:t>
            </w:r>
            <w:r>
              <w:rPr>
                <w:rFonts w:ascii="Arial" w:eastAsia="SimSun" w:hAnsi="Arial" w:cs="Times New Roman"/>
                <w:lang w:val="en-GB"/>
              </w:rPr>
              <w:t xml:space="preserve"> (terrestrial) [T</w:t>
            </w:r>
            <w:r>
              <w:rPr>
                <w:rFonts w:ascii="Arial" w:eastAsia="SimSun" w:hAnsi="Arial" w:cs="Times New Roman"/>
                <w:vertAlign w:val="subscript"/>
                <w:lang w:val="en-GB"/>
              </w:rPr>
              <w:t>s</w:t>
            </w:r>
            <w:r>
              <w:rPr>
                <w:rFonts w:ascii="Arial" w:eastAsia="SimSun" w:hAnsi="Arial" w:cs="Times New Roman"/>
                <w:lang w:val="en-GB"/>
              </w:rPr>
              <w:t>]</w:t>
            </w:r>
          </w:p>
        </w:tc>
        <w:tc>
          <w:tcPr>
            <w:tcW w:w="1134" w:type="dxa"/>
          </w:tcPr>
          <w:p w14:paraId="4F35129C" w14:textId="77777777" w:rsidR="00CE2703" w:rsidRDefault="00CE2703" w:rsidP="00121AF7">
            <w:pPr>
              <w:rPr>
                <w:lang w:val="en-GB"/>
              </w:rPr>
            </w:pPr>
            <w:r>
              <w:rPr>
                <w:rFonts w:ascii="Arial" w:eastAsia="SimSun" w:hAnsi="Arial" w:cs="Times New Roman"/>
                <w:lang w:val="en-GB"/>
              </w:rPr>
              <w:t>T</w:t>
            </w:r>
            <w:r>
              <w:rPr>
                <w:rFonts w:ascii="Arial" w:eastAsia="SimSun" w:hAnsi="Arial" w:cs="Times New Roman"/>
                <w:vertAlign w:val="subscript"/>
                <w:lang w:val="en-GB"/>
              </w:rPr>
              <w:t>relax</w:t>
            </w:r>
            <w:r>
              <w:rPr>
                <w:rFonts w:ascii="Arial" w:eastAsia="SimSun" w:hAnsi="Arial" w:cs="Times New Roman"/>
                <w:lang w:val="en-GB"/>
              </w:rPr>
              <w:t>[T</w:t>
            </w:r>
            <w:r>
              <w:rPr>
                <w:rFonts w:ascii="Arial" w:eastAsia="SimSun" w:hAnsi="Arial" w:cs="Times New Roman"/>
                <w:vertAlign w:val="subscript"/>
                <w:lang w:val="en-GB"/>
              </w:rPr>
              <w:t>s</w:t>
            </w:r>
            <w:r>
              <w:rPr>
                <w:rFonts w:ascii="Arial" w:eastAsia="SimSun" w:hAnsi="Arial" w:cs="Times New Roman"/>
                <w:lang w:val="en-GB"/>
              </w:rPr>
              <w:t>]</w:t>
            </w:r>
          </w:p>
        </w:tc>
        <w:tc>
          <w:tcPr>
            <w:tcW w:w="2392" w:type="dxa"/>
          </w:tcPr>
          <w:p w14:paraId="4217C796" w14:textId="77777777" w:rsidR="00CE2703" w:rsidRPr="00483ECB" w:rsidRDefault="00CE2703" w:rsidP="00121AF7">
            <w:pPr>
              <w:rPr>
                <w:rFonts w:ascii="Arial" w:eastAsia="SimSun" w:hAnsi="Arial" w:cs="Times New Roman"/>
                <w:lang w:val="en-GB"/>
              </w:rPr>
            </w:pPr>
            <w:r>
              <w:rPr>
                <w:rFonts w:ascii="Arial" w:eastAsia="SimSun" w:hAnsi="Arial" w:cs="Times New Roman"/>
                <w:lang w:val="en-GB"/>
              </w:rPr>
              <w:t>T</w:t>
            </w:r>
            <w:r>
              <w:rPr>
                <w:rFonts w:ascii="Arial" w:eastAsia="SimSun" w:hAnsi="Arial" w:cs="Times New Roman"/>
                <w:vertAlign w:val="subscript"/>
                <w:lang w:val="en-GB"/>
              </w:rPr>
              <w:t>cp</w:t>
            </w:r>
            <w:r>
              <w:rPr>
                <w:rFonts w:ascii="Arial" w:eastAsia="SimSun" w:hAnsi="Arial" w:cs="Times New Roman"/>
                <w:lang w:val="en-GB"/>
              </w:rPr>
              <w:t xml:space="preserve"> –2( T</w:t>
            </w:r>
            <w:r>
              <w:rPr>
                <w:rFonts w:ascii="Arial" w:eastAsia="SimSun" w:hAnsi="Arial" w:cs="Times New Roman"/>
                <w:vertAlign w:val="subscript"/>
                <w:lang w:val="en-GB"/>
              </w:rPr>
              <w:t>e</w:t>
            </w:r>
            <w:r>
              <w:rPr>
                <w:rFonts w:ascii="Arial" w:eastAsia="SimSun" w:hAnsi="Arial" w:cs="Times New Roman"/>
                <w:lang w:val="en-GB"/>
              </w:rPr>
              <w:t xml:space="preserve"> – T</w:t>
            </w:r>
            <w:r>
              <w:rPr>
                <w:rFonts w:ascii="Arial" w:eastAsia="SimSun" w:hAnsi="Arial" w:cs="Times New Roman"/>
                <w:vertAlign w:val="subscript"/>
                <w:lang w:val="en-GB"/>
              </w:rPr>
              <w:t xml:space="preserve">relax </w:t>
            </w:r>
            <w:r>
              <w:rPr>
                <w:rFonts w:ascii="Arial" w:eastAsia="SimSun" w:hAnsi="Arial" w:cs="Times New Roman"/>
                <w:lang w:val="en-GB"/>
              </w:rPr>
              <w:t>)[T</w:t>
            </w:r>
            <w:r>
              <w:rPr>
                <w:rFonts w:ascii="Arial" w:eastAsia="SimSun" w:hAnsi="Arial" w:cs="Times New Roman"/>
                <w:vertAlign w:val="subscript"/>
                <w:lang w:val="en-GB"/>
              </w:rPr>
              <w:t>s</w:t>
            </w:r>
            <w:r>
              <w:rPr>
                <w:rFonts w:ascii="Arial" w:eastAsia="SimSun" w:hAnsi="Arial" w:cs="Times New Roman"/>
                <w:lang w:val="en-GB"/>
              </w:rPr>
              <w:t>]</w:t>
            </w:r>
          </w:p>
        </w:tc>
      </w:tr>
      <w:tr w:rsidR="00CE2703" w:rsidRPr="004A4019" w14:paraId="26040FEB" w14:textId="77777777" w:rsidTr="00121AF7">
        <w:tc>
          <w:tcPr>
            <w:tcW w:w="1475" w:type="dxa"/>
          </w:tcPr>
          <w:p w14:paraId="2008FC8C" w14:textId="77777777" w:rsidR="00CE2703" w:rsidRDefault="00CE2703" w:rsidP="00121AF7">
            <w:pPr>
              <w:jc w:val="center"/>
              <w:rPr>
                <w:lang w:val="en-GB"/>
              </w:rPr>
            </w:pPr>
            <w:r>
              <w:rPr>
                <w:lang w:val="en-GB"/>
              </w:rPr>
              <w:t>15</w:t>
            </w:r>
          </w:p>
        </w:tc>
        <w:tc>
          <w:tcPr>
            <w:tcW w:w="1781" w:type="dxa"/>
          </w:tcPr>
          <w:p w14:paraId="13CD3EE9" w14:textId="77777777" w:rsidR="00CE2703" w:rsidRDefault="00CE2703" w:rsidP="00121AF7">
            <w:pPr>
              <w:jc w:val="center"/>
              <w:rPr>
                <w:lang w:val="en-GB"/>
              </w:rPr>
            </w:pPr>
            <w:r>
              <w:rPr>
                <w:lang w:val="en-GB"/>
              </w:rPr>
              <w:t>60</w:t>
            </w:r>
          </w:p>
        </w:tc>
        <w:tc>
          <w:tcPr>
            <w:tcW w:w="992" w:type="dxa"/>
          </w:tcPr>
          <w:p w14:paraId="43F31F06" w14:textId="77777777" w:rsidR="00CE2703" w:rsidRDefault="00CE2703" w:rsidP="00121AF7">
            <w:pPr>
              <w:rPr>
                <w:lang w:val="en-GB"/>
              </w:rPr>
            </w:pPr>
            <w:r w:rsidRPr="009F11C1">
              <w:rPr>
                <w:lang w:val="en-GB"/>
              </w:rPr>
              <w:t>36</w:t>
            </w:r>
          </w:p>
        </w:tc>
        <w:tc>
          <w:tcPr>
            <w:tcW w:w="1843" w:type="dxa"/>
            <w:gridSpan w:val="2"/>
          </w:tcPr>
          <w:p w14:paraId="60FA13BA" w14:textId="77777777" w:rsidR="00CE2703" w:rsidRDefault="00CE2703" w:rsidP="00121AF7">
            <w:pPr>
              <w:rPr>
                <w:lang w:val="en-GB"/>
              </w:rPr>
            </w:pPr>
            <w:r>
              <w:rPr>
                <w:lang w:val="en-GB"/>
              </w:rPr>
              <w:t>10</w:t>
            </w:r>
          </w:p>
        </w:tc>
        <w:tc>
          <w:tcPr>
            <w:tcW w:w="1134" w:type="dxa"/>
          </w:tcPr>
          <w:p w14:paraId="74D3ABA5" w14:textId="77777777" w:rsidR="00CE2703" w:rsidRDefault="00CE2703" w:rsidP="00121AF7">
            <w:pPr>
              <w:rPr>
                <w:lang w:val="en-GB"/>
              </w:rPr>
            </w:pPr>
            <w:r w:rsidRPr="003E670F">
              <w:rPr>
                <w:lang w:val="en-GB"/>
              </w:rPr>
              <w:t>16</w:t>
            </w:r>
          </w:p>
        </w:tc>
        <w:tc>
          <w:tcPr>
            <w:tcW w:w="2392" w:type="dxa"/>
          </w:tcPr>
          <w:p w14:paraId="776CDA6A" w14:textId="77777777" w:rsidR="00CE2703" w:rsidRPr="004A4019" w:rsidRDefault="00CE2703" w:rsidP="00121AF7">
            <w:pPr>
              <w:rPr>
                <w:rFonts w:ascii="Arial" w:eastAsia="Calibri" w:hAnsi="Arial" w:cs="Arial"/>
                <w:color w:val="FF0000"/>
              </w:rPr>
            </w:pPr>
            <w:r w:rsidRPr="004A4019">
              <w:rPr>
                <w:rFonts w:ascii="Arial" w:eastAsia="Calibri" w:hAnsi="Arial" w:cs="Arial"/>
                <w:color w:val="FF0000"/>
              </w:rPr>
              <w:t>-16</w:t>
            </w:r>
          </w:p>
        </w:tc>
      </w:tr>
      <w:tr w:rsidR="00CE2703" w:rsidRPr="004A4019" w14:paraId="72D38F69" w14:textId="77777777" w:rsidTr="00121AF7">
        <w:tc>
          <w:tcPr>
            <w:tcW w:w="1475" w:type="dxa"/>
          </w:tcPr>
          <w:p w14:paraId="04E36425" w14:textId="77777777" w:rsidR="00CE2703" w:rsidRDefault="00CE2703" w:rsidP="00121AF7">
            <w:pPr>
              <w:jc w:val="center"/>
              <w:rPr>
                <w:lang w:val="en-GB"/>
              </w:rPr>
            </w:pPr>
            <w:r>
              <w:rPr>
                <w:lang w:val="en-GB"/>
              </w:rPr>
              <w:t>30</w:t>
            </w:r>
          </w:p>
        </w:tc>
        <w:tc>
          <w:tcPr>
            <w:tcW w:w="1781" w:type="dxa"/>
          </w:tcPr>
          <w:p w14:paraId="228594A5" w14:textId="77777777" w:rsidR="00CE2703" w:rsidRDefault="00CE2703" w:rsidP="00121AF7">
            <w:pPr>
              <w:jc w:val="center"/>
              <w:rPr>
                <w:lang w:val="en-GB"/>
              </w:rPr>
            </w:pPr>
            <w:r>
              <w:rPr>
                <w:lang w:val="en-GB"/>
              </w:rPr>
              <w:t>60</w:t>
            </w:r>
          </w:p>
        </w:tc>
        <w:tc>
          <w:tcPr>
            <w:tcW w:w="992" w:type="dxa"/>
          </w:tcPr>
          <w:p w14:paraId="79A43011" w14:textId="77777777" w:rsidR="00CE2703" w:rsidRDefault="00CE2703" w:rsidP="00121AF7">
            <w:pPr>
              <w:rPr>
                <w:lang w:val="en-GB"/>
              </w:rPr>
            </w:pPr>
            <w:r w:rsidRPr="009F11C1">
              <w:rPr>
                <w:lang w:val="en-GB"/>
              </w:rPr>
              <w:t>36</w:t>
            </w:r>
          </w:p>
        </w:tc>
        <w:tc>
          <w:tcPr>
            <w:tcW w:w="1843" w:type="dxa"/>
            <w:gridSpan w:val="2"/>
          </w:tcPr>
          <w:p w14:paraId="2AD4E9DF" w14:textId="77777777" w:rsidR="00CE2703" w:rsidRDefault="00CE2703" w:rsidP="00121AF7">
            <w:pPr>
              <w:rPr>
                <w:lang w:val="en-GB"/>
              </w:rPr>
            </w:pPr>
            <w:r>
              <w:rPr>
                <w:lang w:val="en-GB"/>
              </w:rPr>
              <w:t>7</w:t>
            </w:r>
          </w:p>
        </w:tc>
        <w:tc>
          <w:tcPr>
            <w:tcW w:w="1134" w:type="dxa"/>
          </w:tcPr>
          <w:p w14:paraId="451CE6DB" w14:textId="77777777" w:rsidR="00CE2703" w:rsidRDefault="00CE2703" w:rsidP="00121AF7">
            <w:pPr>
              <w:rPr>
                <w:lang w:val="en-GB"/>
              </w:rPr>
            </w:pPr>
            <w:r w:rsidRPr="003E670F">
              <w:rPr>
                <w:lang w:val="en-GB"/>
              </w:rPr>
              <w:t>16</w:t>
            </w:r>
          </w:p>
        </w:tc>
        <w:tc>
          <w:tcPr>
            <w:tcW w:w="2392" w:type="dxa"/>
          </w:tcPr>
          <w:p w14:paraId="00D1270B" w14:textId="77777777" w:rsidR="00CE2703" w:rsidRPr="004A4019" w:rsidRDefault="00CE2703" w:rsidP="00121AF7">
            <w:pPr>
              <w:rPr>
                <w:rFonts w:ascii="Arial" w:eastAsia="Calibri" w:hAnsi="Arial" w:cs="Arial"/>
                <w:color w:val="FF0000"/>
              </w:rPr>
            </w:pPr>
            <w:r w:rsidRPr="004A4019">
              <w:rPr>
                <w:rFonts w:ascii="Arial" w:eastAsia="Calibri" w:hAnsi="Arial" w:cs="Arial"/>
                <w:color w:val="FF0000"/>
              </w:rPr>
              <w:t>- 7</w:t>
            </w:r>
          </w:p>
        </w:tc>
      </w:tr>
      <w:tr w:rsidR="00CE2703" w:rsidRPr="004A4019" w14:paraId="052040B3" w14:textId="77777777" w:rsidTr="00121AF7">
        <w:tc>
          <w:tcPr>
            <w:tcW w:w="1475" w:type="dxa"/>
          </w:tcPr>
          <w:p w14:paraId="393194C0" w14:textId="77777777" w:rsidR="00CE2703" w:rsidRDefault="00CE2703" w:rsidP="00121AF7">
            <w:pPr>
              <w:jc w:val="center"/>
              <w:rPr>
                <w:lang w:val="en-GB"/>
              </w:rPr>
            </w:pPr>
            <w:r>
              <w:rPr>
                <w:lang w:val="en-GB"/>
              </w:rPr>
              <w:t>120</w:t>
            </w:r>
          </w:p>
        </w:tc>
        <w:tc>
          <w:tcPr>
            <w:tcW w:w="1781" w:type="dxa"/>
          </w:tcPr>
          <w:p w14:paraId="3E245474" w14:textId="77777777" w:rsidR="00CE2703" w:rsidRDefault="00CE2703" w:rsidP="00121AF7">
            <w:pPr>
              <w:jc w:val="center"/>
              <w:rPr>
                <w:lang w:val="en-GB"/>
              </w:rPr>
            </w:pPr>
            <w:r>
              <w:rPr>
                <w:lang w:val="en-GB"/>
              </w:rPr>
              <w:t>60</w:t>
            </w:r>
          </w:p>
        </w:tc>
        <w:tc>
          <w:tcPr>
            <w:tcW w:w="992" w:type="dxa"/>
          </w:tcPr>
          <w:p w14:paraId="12C8C3A7" w14:textId="77777777" w:rsidR="00CE2703" w:rsidRDefault="00CE2703" w:rsidP="00121AF7">
            <w:pPr>
              <w:rPr>
                <w:lang w:val="en-GB"/>
              </w:rPr>
            </w:pPr>
            <w:r w:rsidRPr="009F11C1">
              <w:rPr>
                <w:lang w:val="en-GB"/>
              </w:rPr>
              <w:t>36</w:t>
            </w:r>
          </w:p>
        </w:tc>
        <w:tc>
          <w:tcPr>
            <w:tcW w:w="1843" w:type="dxa"/>
            <w:gridSpan w:val="2"/>
          </w:tcPr>
          <w:p w14:paraId="3B06AB85" w14:textId="77777777" w:rsidR="00CE2703" w:rsidRDefault="00CE2703" w:rsidP="00121AF7">
            <w:pPr>
              <w:rPr>
                <w:lang w:val="en-GB"/>
              </w:rPr>
            </w:pPr>
            <w:r>
              <w:rPr>
                <w:lang w:val="en-GB"/>
              </w:rPr>
              <w:t>3.5</w:t>
            </w:r>
          </w:p>
        </w:tc>
        <w:tc>
          <w:tcPr>
            <w:tcW w:w="1134" w:type="dxa"/>
          </w:tcPr>
          <w:p w14:paraId="09EEDC98" w14:textId="77777777" w:rsidR="00CE2703" w:rsidRDefault="00CE2703" w:rsidP="00121AF7">
            <w:pPr>
              <w:rPr>
                <w:lang w:val="en-GB"/>
              </w:rPr>
            </w:pPr>
            <w:r w:rsidRPr="003E670F">
              <w:rPr>
                <w:lang w:val="en-GB"/>
              </w:rPr>
              <w:t>16</w:t>
            </w:r>
          </w:p>
        </w:tc>
        <w:tc>
          <w:tcPr>
            <w:tcW w:w="2392" w:type="dxa"/>
          </w:tcPr>
          <w:p w14:paraId="2B916D71" w14:textId="77777777" w:rsidR="00CE2703" w:rsidRPr="004A4019" w:rsidRDefault="00CE2703" w:rsidP="00121AF7">
            <w:pPr>
              <w:rPr>
                <w:rFonts w:ascii="Arial" w:eastAsia="MS Mincho" w:hAnsi="Arial" w:cs="Arial"/>
                <w:color w:val="FF0000"/>
              </w:rPr>
            </w:pPr>
            <w:r w:rsidRPr="004A4019">
              <w:rPr>
                <w:rFonts w:ascii="Arial" w:eastAsia="MS Mincho" w:hAnsi="Arial" w:cs="Arial"/>
                <w:color w:val="FF0000"/>
              </w:rPr>
              <w:t>-3</w:t>
            </w:r>
          </w:p>
        </w:tc>
      </w:tr>
      <w:tr w:rsidR="00CE2703" w:rsidRPr="004A4019" w14:paraId="58F9A460" w14:textId="77777777" w:rsidTr="00121AF7">
        <w:tc>
          <w:tcPr>
            <w:tcW w:w="1475" w:type="dxa"/>
          </w:tcPr>
          <w:p w14:paraId="415ED2CB" w14:textId="77777777" w:rsidR="00CE2703" w:rsidRDefault="00CE2703" w:rsidP="00121AF7">
            <w:pPr>
              <w:jc w:val="center"/>
              <w:rPr>
                <w:lang w:val="en-GB"/>
              </w:rPr>
            </w:pPr>
            <w:r>
              <w:rPr>
                <w:lang w:val="en-GB"/>
              </w:rPr>
              <w:t>240</w:t>
            </w:r>
          </w:p>
        </w:tc>
        <w:tc>
          <w:tcPr>
            <w:tcW w:w="1781" w:type="dxa"/>
          </w:tcPr>
          <w:p w14:paraId="6DC97F53" w14:textId="77777777" w:rsidR="00CE2703" w:rsidRDefault="00CE2703" w:rsidP="00121AF7">
            <w:pPr>
              <w:jc w:val="center"/>
              <w:rPr>
                <w:lang w:val="en-GB"/>
              </w:rPr>
            </w:pPr>
            <w:r>
              <w:rPr>
                <w:lang w:val="en-GB"/>
              </w:rPr>
              <w:t>60</w:t>
            </w:r>
          </w:p>
        </w:tc>
        <w:tc>
          <w:tcPr>
            <w:tcW w:w="992" w:type="dxa"/>
          </w:tcPr>
          <w:p w14:paraId="66267B3A" w14:textId="77777777" w:rsidR="00CE2703" w:rsidRDefault="00CE2703" w:rsidP="00121AF7">
            <w:pPr>
              <w:rPr>
                <w:lang w:val="en-GB"/>
              </w:rPr>
            </w:pPr>
            <w:r w:rsidRPr="009F11C1">
              <w:rPr>
                <w:lang w:val="en-GB"/>
              </w:rPr>
              <w:t>36</w:t>
            </w:r>
          </w:p>
        </w:tc>
        <w:tc>
          <w:tcPr>
            <w:tcW w:w="1843" w:type="dxa"/>
            <w:gridSpan w:val="2"/>
          </w:tcPr>
          <w:p w14:paraId="6D524572" w14:textId="77777777" w:rsidR="00CE2703" w:rsidRDefault="00CE2703" w:rsidP="00121AF7">
            <w:pPr>
              <w:rPr>
                <w:lang w:val="en-GB"/>
              </w:rPr>
            </w:pPr>
            <w:r>
              <w:rPr>
                <w:lang w:val="en-GB"/>
              </w:rPr>
              <w:t>3</w:t>
            </w:r>
          </w:p>
        </w:tc>
        <w:tc>
          <w:tcPr>
            <w:tcW w:w="1134" w:type="dxa"/>
          </w:tcPr>
          <w:p w14:paraId="083F1D67" w14:textId="77777777" w:rsidR="00CE2703" w:rsidRDefault="00CE2703" w:rsidP="00121AF7">
            <w:pPr>
              <w:rPr>
                <w:lang w:val="en-GB"/>
              </w:rPr>
            </w:pPr>
            <w:r w:rsidRPr="003E670F">
              <w:rPr>
                <w:lang w:val="en-GB"/>
              </w:rPr>
              <w:t>16</w:t>
            </w:r>
          </w:p>
        </w:tc>
        <w:tc>
          <w:tcPr>
            <w:tcW w:w="2392" w:type="dxa"/>
          </w:tcPr>
          <w:p w14:paraId="7857BCF9" w14:textId="77777777" w:rsidR="00CE2703" w:rsidRPr="004A4019" w:rsidRDefault="00CE2703" w:rsidP="00121AF7">
            <w:pPr>
              <w:rPr>
                <w:rFonts w:ascii="Arial" w:eastAsia="Calibri" w:hAnsi="Arial" w:cs="Arial"/>
                <w:color w:val="FF0000"/>
              </w:rPr>
            </w:pPr>
            <w:r w:rsidRPr="004A4019">
              <w:rPr>
                <w:rFonts w:ascii="Arial" w:eastAsia="Calibri" w:hAnsi="Arial" w:cs="Arial"/>
                <w:color w:val="FF0000"/>
              </w:rPr>
              <w:t>-2</w:t>
            </w:r>
          </w:p>
        </w:tc>
      </w:tr>
      <w:tr w:rsidR="00CE2703" w:rsidRPr="004A4019" w14:paraId="49FBF065" w14:textId="77777777" w:rsidTr="00121AF7">
        <w:tc>
          <w:tcPr>
            <w:tcW w:w="1475" w:type="dxa"/>
          </w:tcPr>
          <w:p w14:paraId="7C23E3E4" w14:textId="77777777" w:rsidR="00CE2703" w:rsidRDefault="00CE2703" w:rsidP="00121AF7">
            <w:pPr>
              <w:jc w:val="center"/>
              <w:rPr>
                <w:lang w:val="en-GB"/>
              </w:rPr>
            </w:pPr>
            <w:r>
              <w:rPr>
                <w:lang w:val="en-GB"/>
              </w:rPr>
              <w:t>120</w:t>
            </w:r>
          </w:p>
        </w:tc>
        <w:tc>
          <w:tcPr>
            <w:tcW w:w="1781" w:type="dxa"/>
          </w:tcPr>
          <w:p w14:paraId="07EAAD0C" w14:textId="77777777" w:rsidR="00CE2703" w:rsidRDefault="00CE2703" w:rsidP="00121AF7">
            <w:pPr>
              <w:jc w:val="center"/>
              <w:rPr>
                <w:lang w:val="en-GB"/>
              </w:rPr>
            </w:pPr>
            <w:r>
              <w:rPr>
                <w:lang w:val="en-GB"/>
              </w:rPr>
              <w:t>120</w:t>
            </w:r>
          </w:p>
        </w:tc>
        <w:tc>
          <w:tcPr>
            <w:tcW w:w="992" w:type="dxa"/>
          </w:tcPr>
          <w:p w14:paraId="50FD6BB7" w14:textId="77777777" w:rsidR="00CE2703" w:rsidRDefault="00CE2703" w:rsidP="00121AF7">
            <w:pPr>
              <w:rPr>
                <w:lang w:val="en-GB"/>
              </w:rPr>
            </w:pPr>
            <w:r>
              <w:rPr>
                <w:lang w:val="en-GB"/>
              </w:rPr>
              <w:t>18</w:t>
            </w:r>
          </w:p>
        </w:tc>
        <w:tc>
          <w:tcPr>
            <w:tcW w:w="1843" w:type="dxa"/>
            <w:gridSpan w:val="2"/>
          </w:tcPr>
          <w:p w14:paraId="251A3AD3" w14:textId="77777777" w:rsidR="00CE2703" w:rsidRDefault="00CE2703" w:rsidP="00121AF7">
            <w:pPr>
              <w:rPr>
                <w:lang w:val="en-GB"/>
              </w:rPr>
            </w:pPr>
            <w:r>
              <w:rPr>
                <w:lang w:val="en-GB"/>
              </w:rPr>
              <w:t>3.5</w:t>
            </w:r>
          </w:p>
        </w:tc>
        <w:tc>
          <w:tcPr>
            <w:tcW w:w="1134" w:type="dxa"/>
          </w:tcPr>
          <w:p w14:paraId="7A4F8757" w14:textId="77777777" w:rsidR="00CE2703" w:rsidRDefault="00CE2703" w:rsidP="00121AF7">
            <w:pPr>
              <w:rPr>
                <w:lang w:val="en-GB"/>
              </w:rPr>
            </w:pPr>
            <w:r w:rsidRPr="003E670F">
              <w:rPr>
                <w:lang w:val="en-GB"/>
              </w:rPr>
              <w:t>16</w:t>
            </w:r>
          </w:p>
        </w:tc>
        <w:tc>
          <w:tcPr>
            <w:tcW w:w="2392" w:type="dxa"/>
          </w:tcPr>
          <w:p w14:paraId="58081AE0" w14:textId="77777777" w:rsidR="00CE2703" w:rsidRPr="004A4019" w:rsidRDefault="00CE2703" w:rsidP="00121AF7">
            <w:pPr>
              <w:rPr>
                <w:rFonts w:ascii="Arial" w:eastAsia="SimSun" w:hAnsi="Arial" w:cs="Times New Roman"/>
                <w:color w:val="FF0000"/>
              </w:rPr>
            </w:pPr>
            <w:r w:rsidRPr="004A4019">
              <w:rPr>
                <w:rFonts w:ascii="Arial" w:eastAsia="SimSun" w:hAnsi="Arial" w:cs="Times New Roman"/>
                <w:color w:val="FF0000"/>
              </w:rPr>
              <w:t>-21</w:t>
            </w:r>
          </w:p>
        </w:tc>
      </w:tr>
    </w:tbl>
    <w:p w14:paraId="6142378B" w14:textId="77777777" w:rsidR="00CE2703" w:rsidRDefault="00CE2703" w:rsidP="00CE2703">
      <w:pPr>
        <w:spacing w:before="240"/>
        <w:rPr>
          <w:rFonts w:eastAsiaTheme="minorEastAsia"/>
          <w:lang w:val="en-GB"/>
        </w:rPr>
      </w:pPr>
      <w:r>
        <w:rPr>
          <w:rFonts w:eastAsiaTheme="minorEastAsia"/>
          <w:lang w:val="en-GB"/>
        </w:rPr>
        <w:t xml:space="preserve">This was reason to exclude 60 kHz from the Rel-17 operation on FR1 as it would consume most of the delay budget and preclude any practical application. </w:t>
      </w:r>
    </w:p>
    <w:p w14:paraId="4459BC11" w14:textId="77777777" w:rsidR="00CE2703" w:rsidRDefault="00CE2703" w:rsidP="00CE2703">
      <w:pPr>
        <w:pStyle w:val="RAN4observation0"/>
      </w:pPr>
      <w:bookmarkStart w:id="12" w:name="_Toc146732883"/>
      <w:r>
        <w:t>In Rel-17, the inclusion of relaxed timing requirements due to GNSS and satellite position inaccuracies led to the exclusion of the 60 kHz of the FR1 operation since it would consume most of the delay budget.</w:t>
      </w:r>
      <w:bookmarkEnd w:id="12"/>
      <w:r>
        <w:t xml:space="preserve"> </w:t>
      </w:r>
    </w:p>
    <w:p w14:paraId="4190B995" w14:textId="1990F936" w:rsidR="00CE2703" w:rsidRDefault="00CE2703" w:rsidP="00CE2703">
      <w:r>
        <w:rPr>
          <w:rFonts w:eastAsiaTheme="minorEastAsia"/>
        </w:rPr>
        <w:t xml:space="preserve">In addition to the transmit timing inaccuracy, the delay budget is also affected by the dispersion of the channel. </w:t>
      </w:r>
      <w:r>
        <w:t xml:space="preserve">3GPP has previously agreed on reference channel models for </w:t>
      </w:r>
      <w:r w:rsidRPr="00F351F2">
        <w:t>NTN, originated during the study item phase</w:t>
      </w:r>
      <w:r>
        <w:t xml:space="preserve"> </w:t>
      </w:r>
      <w:r>
        <w:fldChar w:fldCharType="begin"/>
      </w:r>
      <w:r>
        <w:instrText xml:space="preserve"> REF _Ref130303848 \r \h </w:instrText>
      </w:r>
      <w:r>
        <w:fldChar w:fldCharType="separate"/>
      </w:r>
      <w:r w:rsidR="002E5AC7">
        <w:t>[13]</w:t>
      </w:r>
      <w:r>
        <w:fldChar w:fldCharType="end"/>
      </w:r>
      <w:r>
        <w:t xml:space="preserve"> for NTN deployments and that are now used as the reference channels for demodulation </w:t>
      </w:r>
      <w:r>
        <w:fldChar w:fldCharType="begin"/>
      </w:r>
      <w:r>
        <w:instrText xml:space="preserve"> REF _Ref130303923 \r \h </w:instrText>
      </w:r>
      <w:r>
        <w:fldChar w:fldCharType="separate"/>
      </w:r>
      <w:r w:rsidR="002E5AC7">
        <w:t>[14]</w:t>
      </w:r>
      <w:r>
        <w:fldChar w:fldCharType="end"/>
      </w:r>
      <w:r>
        <w:t>. The channel model NTN-TDLA100 has a rms delay spread of 100 ns; with the detailed model describing a relevant delay path with a 285 ns delay (which corresponds to 8.8 T</w:t>
      </w:r>
      <w:r w:rsidRPr="0014528A">
        <w:rPr>
          <w:vertAlign w:val="subscript"/>
        </w:rPr>
        <w:t>s</w:t>
      </w:r>
      <w:r>
        <w:t xml:space="preserve">).    It is worth noting that the delay spread of the NTN reference model is higher </w:t>
      </w:r>
      <w:r>
        <w:lastRenderedPageBreak/>
        <w:t xml:space="preserve">than any of the delay spreads considered for 60 and 120 kHz before in TN </w:t>
      </w:r>
      <w:r>
        <w:fldChar w:fldCharType="begin"/>
      </w:r>
      <w:r>
        <w:instrText xml:space="preserve"> REF _Ref130304090 \r \h </w:instrText>
      </w:r>
      <w:r>
        <w:fldChar w:fldCharType="separate"/>
      </w:r>
      <w:r w:rsidR="002E5AC7">
        <w:t>[13]</w:t>
      </w:r>
      <w:r>
        <w:fldChar w:fldCharType="end"/>
      </w:r>
      <w:r>
        <w:fldChar w:fldCharType="begin"/>
      </w:r>
      <w:r>
        <w:instrText xml:space="preserve"> REF _Ref130304091 \r \h </w:instrText>
      </w:r>
      <w:r>
        <w:fldChar w:fldCharType="separate"/>
      </w:r>
      <w:r w:rsidR="002E5AC7">
        <w:t>[14]</w:t>
      </w:r>
      <w:r>
        <w:fldChar w:fldCharType="end"/>
      </w:r>
      <w:r>
        <w:t xml:space="preserve">, which makes the delay budget even more stringent in NTN. </w:t>
      </w:r>
    </w:p>
    <w:p w14:paraId="682C6810" w14:textId="77777777" w:rsidR="00CE2703" w:rsidRDefault="00CE2703" w:rsidP="00CE2703">
      <w:pPr>
        <w:pStyle w:val="CommentText"/>
      </w:pPr>
      <w:r>
        <w:t>Besides, another component that need consideration is the “systematic error in the common TA” that will be observed in practical deployments that ensues from reduced accuracy of the polynomial fit. Since we only have a 2</w:t>
      </w:r>
      <w:r w:rsidRPr="004A6DF0">
        <w:rPr>
          <w:vertAlign w:val="superscript"/>
        </w:rPr>
        <w:t>nd</w:t>
      </w:r>
      <w:r>
        <w:t xml:space="preserve"> order polynomial to describe the Common TA there will be a “systematic error” due to modeling of the feeder link (common TA), which will evolve over time. This aspect was discussed in RAN1 contribution that have shown that this error can become quite substantial in R1-2110900, where it is seen that even for 10 seconds of horizon of prediction, we may see a systematic error of ~1us.  </w:t>
      </w:r>
    </w:p>
    <w:p w14:paraId="0AA10CFA" w14:textId="77777777" w:rsidR="00CE2703" w:rsidRDefault="00CE2703" w:rsidP="00CE2703">
      <w:r>
        <w:t>To accommodate for the delay budget and the inaccuracy of the common TA information, it is important that the delay budget is not fully consumed by UE inaccuracies.</w:t>
      </w:r>
    </w:p>
    <w:p w14:paraId="5BC43D67" w14:textId="397478E2" w:rsidR="00CE2703" w:rsidRDefault="00CE2703" w:rsidP="00CE2703">
      <w:pPr>
        <w:pStyle w:val="RAN4proposal"/>
        <w:rPr>
          <w:lang w:val="en-GB"/>
        </w:rPr>
      </w:pPr>
      <w:bookmarkStart w:id="13" w:name="_Toc146732884"/>
      <w:r>
        <w:rPr>
          <w:lang w:val="en-GB"/>
        </w:rPr>
        <w:t>For the operation in the NTN Ka-bands, if the chosen SCS is 60 or 120 kHz, the transmit timing error limit must be up to 4 Ts for 120 kHz and 8 Ts for 60 kHz for PUSCH and PUCCH.</w:t>
      </w:r>
      <w:bookmarkEnd w:id="13"/>
      <w:r>
        <w:rPr>
          <w:lang w:val="en-GB"/>
        </w:rPr>
        <w:t xml:space="preserve"> </w:t>
      </w:r>
    </w:p>
    <w:p w14:paraId="193A29BC" w14:textId="77777777" w:rsidR="00012CE7" w:rsidRPr="00CE2703" w:rsidRDefault="00012CE7" w:rsidP="002264D7">
      <w:pPr>
        <w:jc w:val="both"/>
        <w:rPr>
          <w:lang w:val="en-GB"/>
        </w:rPr>
      </w:pPr>
    </w:p>
    <w:p w14:paraId="75512F52" w14:textId="77777777" w:rsidR="0060543D" w:rsidRDefault="0060543D" w:rsidP="00300956"/>
    <w:p w14:paraId="265F60A9" w14:textId="77777777" w:rsidR="0060543D" w:rsidRPr="008C39F7" w:rsidRDefault="0060543D" w:rsidP="0060543D"/>
    <w:p w14:paraId="340C02BF" w14:textId="77777777" w:rsidR="0060543D" w:rsidRPr="008C39F7" w:rsidRDefault="0060543D" w:rsidP="0060543D"/>
    <w:p w14:paraId="4BD21A93" w14:textId="77777777" w:rsidR="00CD7492" w:rsidRPr="008C39F7" w:rsidRDefault="00CD7492" w:rsidP="00A37002">
      <w:pPr>
        <w:pStyle w:val="RAN4H1"/>
      </w:pPr>
      <w:bookmarkStart w:id="14" w:name="_Toc116995848"/>
      <w:r w:rsidRPr="008C39F7">
        <w:t>Conclusion</w:t>
      </w:r>
      <w:bookmarkEnd w:id="14"/>
    </w:p>
    <w:p w14:paraId="5652544A" w14:textId="1CC8A4AF" w:rsidR="008B0961" w:rsidRDefault="00F35C29" w:rsidP="005C23A4">
      <w:r>
        <w:t xml:space="preserve">In this paper we discussed the operation in NTN for frequencies above 10 GHz. </w:t>
      </w:r>
      <w:r w:rsidR="00D97D04">
        <w:t>Based on our discussion, the following set of observations and proposals was made:</w:t>
      </w:r>
    </w:p>
    <w:p w14:paraId="6C93FD7B" w14:textId="77777777" w:rsidR="00D5270B" w:rsidRPr="008C39F7" w:rsidRDefault="00D5270B" w:rsidP="00936159">
      <w:pPr>
        <w:rPr>
          <w:highlight w:val="yellow"/>
        </w:rPr>
      </w:pPr>
    </w:p>
    <w:bookmarkStart w:id="15" w:name="_Toc116995849"/>
    <w:p w14:paraId="10E1C6A3" w14:textId="186EF255" w:rsidR="0055405F" w:rsidRDefault="0055405F">
      <w:pPr>
        <w:pStyle w:val="TOC1"/>
        <w:rPr>
          <w:rFonts w:asciiTheme="minorHAnsi" w:eastAsiaTheme="minorEastAsia" w:hAnsiTheme="minorHAnsi"/>
          <w:b w:val="0"/>
          <w:iCs w:val="0"/>
          <w:kern w:val="2"/>
          <w:sz w:val="22"/>
          <w:lang w:val="en-GB" w:eastAsia="en-GB"/>
          <w14:ligatures w14:val="standardContextual"/>
        </w:rPr>
      </w:pPr>
      <w:r>
        <w:rPr>
          <w:b w:val="0"/>
          <w:i/>
        </w:rPr>
        <w:fldChar w:fldCharType="begin"/>
      </w:r>
      <w:r>
        <w:rPr>
          <w:b w:val="0"/>
          <w:i/>
        </w:rPr>
        <w:instrText xml:space="preserve"> TOC \n \h \z \t "RAN4 proposal;1;RAN4 observation;1" </w:instrText>
      </w:r>
      <w:r>
        <w:rPr>
          <w:b w:val="0"/>
          <w:i/>
        </w:rPr>
        <w:fldChar w:fldCharType="separate"/>
      </w:r>
      <w:hyperlink w:anchor="_Toc146732878" w:history="1">
        <w:r w:rsidRPr="00C54D26">
          <w:rPr>
            <w:rStyle w:val="Hyperlink"/>
          </w:rPr>
          <w:t>Proposal 1: Transmit timing requirements are agnostic to UE type. Requirements are the same for Type 1 (fully electronically steered beam) and Type 2 (fully mechanically steered beam) and shall be discussed separately from the type-specific requirements.</w:t>
        </w:r>
      </w:hyperlink>
    </w:p>
    <w:p w14:paraId="408E192E" w14:textId="5FA727C3" w:rsidR="0055405F" w:rsidRDefault="00DE2133">
      <w:pPr>
        <w:pStyle w:val="TOC1"/>
        <w:rPr>
          <w:rFonts w:asciiTheme="minorHAnsi" w:eastAsiaTheme="minorEastAsia" w:hAnsiTheme="minorHAnsi"/>
          <w:b w:val="0"/>
          <w:iCs w:val="0"/>
          <w:kern w:val="2"/>
          <w:sz w:val="22"/>
          <w:lang w:val="en-GB" w:eastAsia="en-GB"/>
          <w14:ligatures w14:val="standardContextual"/>
        </w:rPr>
      </w:pPr>
      <w:hyperlink w:anchor="_Toc146732879" w:history="1">
        <w:r w:rsidR="0055405F" w:rsidRPr="00C54D26">
          <w:rPr>
            <w:rStyle w:val="Hyperlink"/>
          </w:rPr>
          <w:t>Proposal 2: Do not adopt different UL transmit timing requirements based on whether the UE is static or mobile</w:t>
        </w:r>
      </w:hyperlink>
    </w:p>
    <w:p w14:paraId="2668DBDE" w14:textId="5809557F" w:rsidR="0055405F" w:rsidRDefault="00DE2133">
      <w:pPr>
        <w:pStyle w:val="TOC1"/>
        <w:rPr>
          <w:rFonts w:asciiTheme="minorHAnsi" w:eastAsiaTheme="minorEastAsia" w:hAnsiTheme="minorHAnsi"/>
          <w:b w:val="0"/>
          <w:iCs w:val="0"/>
          <w:kern w:val="2"/>
          <w:sz w:val="22"/>
          <w:lang w:val="en-GB" w:eastAsia="en-GB"/>
          <w14:ligatures w14:val="standardContextual"/>
        </w:rPr>
      </w:pPr>
      <w:hyperlink w:anchor="_Toc146732880" w:history="1">
        <w:r w:rsidR="0055405F" w:rsidRPr="00C54D26">
          <w:rPr>
            <w:rStyle w:val="Hyperlink"/>
          </w:rPr>
          <w:t>Observation 1: In terrestrial NW, the RACH transmission may arrive at the gNB offset to the gNB UL time by up to twice the propagation delay relative to the cell radius. In NTN, the expectation is that the RACH transmission arrives at the gNB offset to the gNB UL time by at most ±Te.</w:t>
        </w:r>
      </w:hyperlink>
    </w:p>
    <w:p w14:paraId="1FC7AB8B" w14:textId="2021F868" w:rsidR="0055405F" w:rsidRDefault="00DE2133">
      <w:pPr>
        <w:pStyle w:val="TOC1"/>
        <w:rPr>
          <w:rFonts w:asciiTheme="minorHAnsi" w:eastAsiaTheme="minorEastAsia" w:hAnsiTheme="minorHAnsi"/>
          <w:b w:val="0"/>
          <w:iCs w:val="0"/>
          <w:kern w:val="2"/>
          <w:sz w:val="22"/>
          <w:lang w:val="en-GB" w:eastAsia="en-GB"/>
          <w14:ligatures w14:val="standardContextual"/>
        </w:rPr>
      </w:pPr>
      <w:hyperlink w:anchor="_Toc146732881" w:history="1">
        <w:r w:rsidR="0055405F" w:rsidRPr="00C54D26">
          <w:rPr>
            <w:rStyle w:val="Hyperlink"/>
          </w:rPr>
          <w:t>Observation 2: The RACH procedure is not fully used as intended in NTN to assist the UE to estimate its timing advance.</w:t>
        </w:r>
      </w:hyperlink>
    </w:p>
    <w:p w14:paraId="4A0CA972" w14:textId="0177CA4E" w:rsidR="0055405F" w:rsidRDefault="00DE2133">
      <w:pPr>
        <w:pStyle w:val="TOC1"/>
        <w:rPr>
          <w:rFonts w:asciiTheme="minorHAnsi" w:eastAsiaTheme="minorEastAsia" w:hAnsiTheme="minorHAnsi"/>
          <w:b w:val="0"/>
          <w:iCs w:val="0"/>
          <w:kern w:val="2"/>
          <w:sz w:val="22"/>
          <w:lang w:val="en-GB" w:eastAsia="en-GB"/>
          <w14:ligatures w14:val="standardContextual"/>
        </w:rPr>
      </w:pPr>
      <w:hyperlink w:anchor="_Toc146732882" w:history="1">
        <w:r w:rsidR="0055405F" w:rsidRPr="00C54D26">
          <w:rPr>
            <w:rStyle w:val="Hyperlink"/>
          </w:rPr>
          <w:t>Proposal 3: If further relaxation is adopted for PRACH formats, limit the transmit timing inaccuracy, T</w:t>
        </w:r>
        <w:r w:rsidR="0055405F" w:rsidRPr="00C54D26">
          <w:rPr>
            <w:rStyle w:val="Hyperlink"/>
            <w:vertAlign w:val="subscript"/>
          </w:rPr>
          <w:t>e_NTN</w:t>
        </w:r>
        <w:r w:rsidR="0055405F" w:rsidRPr="00C54D26">
          <w:rPr>
            <w:rStyle w:val="Hyperlink"/>
          </w:rPr>
          <w:t xml:space="preserve"> , to 12 Ts in total.</w:t>
        </w:r>
      </w:hyperlink>
    </w:p>
    <w:p w14:paraId="62CD4BDC" w14:textId="5BE17127" w:rsidR="0055405F" w:rsidRDefault="00DE2133">
      <w:pPr>
        <w:pStyle w:val="TOC1"/>
        <w:rPr>
          <w:rFonts w:asciiTheme="minorHAnsi" w:eastAsiaTheme="minorEastAsia" w:hAnsiTheme="minorHAnsi"/>
          <w:b w:val="0"/>
          <w:iCs w:val="0"/>
          <w:kern w:val="2"/>
          <w:sz w:val="22"/>
          <w:lang w:val="en-GB" w:eastAsia="en-GB"/>
          <w14:ligatures w14:val="standardContextual"/>
        </w:rPr>
      </w:pPr>
      <w:hyperlink w:anchor="_Toc146732883" w:history="1">
        <w:r w:rsidR="0055405F" w:rsidRPr="00C54D26">
          <w:rPr>
            <w:rStyle w:val="Hyperlink"/>
          </w:rPr>
          <w:t>Observation 3: In Rel-17, the inclusion of relaxed timing requirements due to GNSS and satellite position inaccuracies led to the exclusion of the 60 kHz of the FR1 operation since it would consume most of the delay budget.</w:t>
        </w:r>
      </w:hyperlink>
    </w:p>
    <w:p w14:paraId="78E421C4" w14:textId="1C61AE01" w:rsidR="0055405F" w:rsidRDefault="00DE2133">
      <w:pPr>
        <w:pStyle w:val="TOC1"/>
        <w:rPr>
          <w:rFonts w:asciiTheme="minorHAnsi" w:eastAsiaTheme="minorEastAsia" w:hAnsiTheme="minorHAnsi"/>
          <w:b w:val="0"/>
          <w:iCs w:val="0"/>
          <w:kern w:val="2"/>
          <w:sz w:val="22"/>
          <w:lang w:val="en-GB" w:eastAsia="en-GB"/>
          <w14:ligatures w14:val="standardContextual"/>
        </w:rPr>
      </w:pPr>
      <w:hyperlink w:anchor="_Toc146732884" w:history="1">
        <w:r w:rsidR="0055405F" w:rsidRPr="00C54D26">
          <w:rPr>
            <w:rStyle w:val="Hyperlink"/>
            <w:lang w:val="en-GB"/>
          </w:rPr>
          <w:t>Proposal 4: For the operation in the NTN Ka-bands, if the chosen SCS is 60 or 120 kHz, the transmit timing error limit must be up to 4 Ts for 120 kHz and 8 Ts for 60 kHz for PUSCH and PUCCH.</w:t>
        </w:r>
      </w:hyperlink>
    </w:p>
    <w:p w14:paraId="7BECF8AD" w14:textId="62F05D27" w:rsidR="00847264" w:rsidRPr="008C39F7" w:rsidRDefault="0055405F" w:rsidP="008C39F7">
      <w:r>
        <w:rPr>
          <w:b/>
          <w:i/>
          <w:noProof/>
        </w:rPr>
        <w:fldChar w:fldCharType="end"/>
      </w:r>
    </w:p>
    <w:p w14:paraId="4D0D074C" w14:textId="77777777" w:rsidR="003B659E" w:rsidRPr="008C39F7" w:rsidRDefault="003B659E" w:rsidP="0060543D">
      <w:pPr>
        <w:pStyle w:val="RAN4H1"/>
        <w:numPr>
          <w:ilvl w:val="0"/>
          <w:numId w:val="0"/>
        </w:numPr>
        <w:ind w:left="360" w:hanging="360"/>
      </w:pPr>
      <w:r w:rsidRPr="008C39F7">
        <w:t>References</w:t>
      </w:r>
      <w:bookmarkEnd w:id="15"/>
    </w:p>
    <w:p w14:paraId="1A066D8E"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16" w:name="_Ref114500673"/>
      <w:bookmarkStart w:id="17" w:name="_Ref54013899"/>
      <w:bookmarkEnd w:id="16"/>
      <w:r w:rsidRPr="00FD51CE">
        <w:t>RP-223534</w:t>
      </w:r>
      <w:r w:rsidRPr="00FF6B64">
        <w:t xml:space="preserve">, </w:t>
      </w:r>
      <w:bookmarkEnd w:id="17"/>
      <w:r w:rsidRPr="001D7FDE">
        <w:t>NR NTN (Non-Terrestrial Networks) enhancements</w:t>
      </w:r>
      <w:r>
        <w:t>, Thales</w:t>
      </w:r>
    </w:p>
    <w:p w14:paraId="7265A91C" w14:textId="36510943" w:rsidR="00C07B05" w:rsidRDefault="00C07B05" w:rsidP="001C0296">
      <w:pPr>
        <w:numPr>
          <w:ilvl w:val="0"/>
          <w:numId w:val="21"/>
        </w:numPr>
        <w:overflowPunct w:val="0"/>
        <w:autoSpaceDE w:val="0"/>
        <w:autoSpaceDN w:val="0"/>
        <w:adjustRightInd w:val="0"/>
        <w:spacing w:after="0" w:line="240" w:lineRule="auto"/>
        <w:jc w:val="both"/>
        <w:textAlignment w:val="baseline"/>
      </w:pPr>
      <w:bookmarkStart w:id="18" w:name="_Ref141279246"/>
      <w:r w:rsidRPr="00C07B05">
        <w:t>R4-2310168</w:t>
      </w:r>
      <w:r>
        <w:t xml:space="preserve">, </w:t>
      </w:r>
      <w:r w:rsidRPr="00C07B05">
        <w:rPr>
          <w:i/>
          <w:iCs/>
        </w:rPr>
        <w:t>WF on NR NTN enhancements RRM requirements</w:t>
      </w:r>
      <w:r>
        <w:t>, Qualcomm Incorporated, 3GPP WG RAN4 #107, Incheon</w:t>
      </w:r>
      <w:bookmarkEnd w:id="18"/>
      <w:r>
        <w:t xml:space="preserve"> </w:t>
      </w:r>
    </w:p>
    <w:p w14:paraId="03A58FDF"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19" w:name="_Ref134708583"/>
      <w:r w:rsidRPr="00D71116">
        <w:t>R4-2302998</w:t>
      </w:r>
      <w:r w:rsidRPr="00FF6B64">
        <w:t xml:space="preserve">, </w:t>
      </w:r>
      <w:r w:rsidRPr="00D71116">
        <w:rPr>
          <w:i/>
          <w:iCs/>
        </w:rPr>
        <w:t>WF for system parameters of above 10 GHz NTN band</w:t>
      </w:r>
      <w:r>
        <w:t>, Thales (Moderator)</w:t>
      </w:r>
      <w:bookmarkEnd w:id="19"/>
    </w:p>
    <w:p w14:paraId="6CD32755" w14:textId="730C1B9A" w:rsidR="00C07B05" w:rsidRDefault="001C0296" w:rsidP="001C0296">
      <w:pPr>
        <w:numPr>
          <w:ilvl w:val="0"/>
          <w:numId w:val="21"/>
        </w:numPr>
        <w:overflowPunct w:val="0"/>
        <w:autoSpaceDE w:val="0"/>
        <w:autoSpaceDN w:val="0"/>
        <w:adjustRightInd w:val="0"/>
        <w:spacing w:after="0" w:line="240" w:lineRule="auto"/>
        <w:jc w:val="both"/>
        <w:textAlignment w:val="baseline"/>
      </w:pPr>
      <w:bookmarkStart w:id="20" w:name="_Ref141279468"/>
      <w:r w:rsidRPr="008863ED">
        <w:t>R4-2306169</w:t>
      </w:r>
      <w:r>
        <w:t xml:space="preserve">, </w:t>
      </w:r>
      <w:r w:rsidR="00C07B05" w:rsidRPr="00C07B05">
        <w:rPr>
          <w:i/>
          <w:iCs/>
        </w:rPr>
        <w:t>WF on NR NTN enhancements RRM requirements</w:t>
      </w:r>
      <w:r w:rsidR="00C07B05">
        <w:t>, Qualcomm Incorporated, 3GPP WG RAN4#106-bis, electronic meeting</w:t>
      </w:r>
      <w:bookmarkEnd w:id="20"/>
    </w:p>
    <w:p w14:paraId="7BD50115" w14:textId="6EEABDB7" w:rsidR="005319C4" w:rsidRDefault="00280B89" w:rsidP="001C0296">
      <w:pPr>
        <w:numPr>
          <w:ilvl w:val="0"/>
          <w:numId w:val="21"/>
        </w:numPr>
        <w:overflowPunct w:val="0"/>
        <w:autoSpaceDE w:val="0"/>
        <w:autoSpaceDN w:val="0"/>
        <w:adjustRightInd w:val="0"/>
        <w:spacing w:after="0" w:line="240" w:lineRule="auto"/>
        <w:jc w:val="both"/>
        <w:textAlignment w:val="baseline"/>
      </w:pPr>
      <w:bookmarkStart w:id="21" w:name="_Ref146534405"/>
      <w:r w:rsidRPr="00280B89">
        <w:lastRenderedPageBreak/>
        <w:t>R4-2314447</w:t>
      </w:r>
      <w:r>
        <w:t xml:space="preserve">, </w:t>
      </w:r>
      <w:r w:rsidRPr="00280B89">
        <w:rPr>
          <w:i/>
          <w:iCs/>
        </w:rPr>
        <w:t>“WF on R18 NR NTN RRM requirements</w:t>
      </w:r>
      <w:r>
        <w:rPr>
          <w:i/>
          <w:iCs/>
        </w:rPr>
        <w:t>”</w:t>
      </w:r>
      <w:r>
        <w:t xml:space="preserve">, Qualcomm Incorporated, 3GPP WG RAN4 #107, </w:t>
      </w:r>
      <w:r w:rsidRPr="00280B89">
        <w:t>Toulouse, France, August 21 – 25, 2023</w:t>
      </w:r>
      <w:bookmarkEnd w:id="21"/>
    </w:p>
    <w:p w14:paraId="2A52F90B" w14:textId="77777777" w:rsidR="00025C10" w:rsidRDefault="00025C10" w:rsidP="001C0296">
      <w:pPr>
        <w:numPr>
          <w:ilvl w:val="0"/>
          <w:numId w:val="21"/>
        </w:numPr>
        <w:overflowPunct w:val="0"/>
        <w:autoSpaceDE w:val="0"/>
        <w:autoSpaceDN w:val="0"/>
        <w:adjustRightInd w:val="0"/>
        <w:spacing w:after="0" w:line="240" w:lineRule="auto"/>
        <w:jc w:val="both"/>
        <w:textAlignment w:val="baseline"/>
      </w:pPr>
      <w:bookmarkStart w:id="22" w:name="_Ref141279810"/>
      <w:r w:rsidRPr="00025C10">
        <w:t>R4-2308361</w:t>
      </w:r>
      <w:r w:rsidRPr="00025C10">
        <w:rPr>
          <w:i/>
          <w:iCs/>
        </w:rPr>
        <w:t>,</w:t>
      </w:r>
      <w:r w:rsidRPr="00025C10">
        <w:t xml:space="preserve"> “</w:t>
      </w:r>
      <w:r w:rsidRPr="00025C10">
        <w:rPr>
          <w:i/>
          <w:iCs/>
        </w:rPr>
        <w:t xml:space="preserve">Discussion on NTN operation on frequencies above 10 GHz”, </w:t>
      </w:r>
      <w:r w:rsidRPr="00025C10">
        <w:t>Nokia, Nokia Shanghai Bell,</w:t>
      </w:r>
      <w:r w:rsidRPr="00025C10">
        <w:rPr>
          <w:i/>
          <w:iCs/>
        </w:rPr>
        <w:t xml:space="preserve"> </w:t>
      </w:r>
      <w:r w:rsidRPr="00025C10">
        <w:t>RAN4 #107, Incheon</w:t>
      </w:r>
      <w:bookmarkEnd w:id="22"/>
      <w:r w:rsidRPr="00025C10">
        <w:t xml:space="preserve"> </w:t>
      </w:r>
    </w:p>
    <w:p w14:paraId="018D02BB" w14:textId="556FB559" w:rsidR="001C0296" w:rsidRDefault="00025C10" w:rsidP="001C0296">
      <w:pPr>
        <w:numPr>
          <w:ilvl w:val="0"/>
          <w:numId w:val="21"/>
        </w:numPr>
        <w:overflowPunct w:val="0"/>
        <w:autoSpaceDE w:val="0"/>
        <w:autoSpaceDN w:val="0"/>
        <w:adjustRightInd w:val="0"/>
        <w:spacing w:after="0" w:line="240" w:lineRule="auto"/>
        <w:jc w:val="both"/>
        <w:textAlignment w:val="baseline"/>
      </w:pPr>
      <w:bookmarkStart w:id="23" w:name="_Ref141279811"/>
      <w:r w:rsidRPr="00025C10">
        <w:t>R4-2304501</w:t>
      </w:r>
      <w:r>
        <w:t xml:space="preserve">, </w:t>
      </w:r>
      <w:r w:rsidR="001C0296" w:rsidRPr="00025C10">
        <w:rPr>
          <w:i/>
          <w:iCs/>
        </w:rPr>
        <w:t>Discussion on applicability of SCS for NTN above 10 GHz</w:t>
      </w:r>
      <w:r w:rsidR="001C0296" w:rsidRPr="00025C10">
        <w:t>, Nokia, Nokia Shanghai Bell, RAN4 #106-bis, electronic meeting</w:t>
      </w:r>
      <w:bookmarkEnd w:id="23"/>
    </w:p>
    <w:p w14:paraId="315B00B1" w14:textId="4F5756AD" w:rsidR="002E5AC7" w:rsidRDefault="002E5AC7" w:rsidP="002E5AC7">
      <w:pPr>
        <w:numPr>
          <w:ilvl w:val="0"/>
          <w:numId w:val="21"/>
        </w:numPr>
        <w:overflowPunct w:val="0"/>
        <w:autoSpaceDE w:val="0"/>
        <w:autoSpaceDN w:val="0"/>
        <w:adjustRightInd w:val="0"/>
        <w:spacing w:after="0" w:line="240" w:lineRule="auto"/>
        <w:jc w:val="both"/>
        <w:textAlignment w:val="baseline"/>
      </w:pPr>
      <w:bookmarkStart w:id="24" w:name="_Ref146543281"/>
      <w:r w:rsidRPr="002E5AC7">
        <w:t>RP-232694</w:t>
      </w:r>
      <w:r>
        <w:t xml:space="preserve">, </w:t>
      </w:r>
      <w:r w:rsidRPr="002E5AC7">
        <w:rPr>
          <w:i/>
          <w:iCs/>
        </w:rPr>
        <w:t>“WF on potential RRM objectives for NR-NTN deployment in above 10 GHz</w:t>
      </w:r>
      <w:r w:rsidRPr="002E5AC7">
        <w:rPr>
          <w:i/>
          <w:iCs/>
        </w:rPr>
        <w:br/>
        <w:t xml:space="preserve"> (NR-NTN-enh WID)”</w:t>
      </w:r>
      <w:r>
        <w:rPr>
          <w:i/>
          <w:iCs/>
        </w:rPr>
        <w:t xml:space="preserve">, </w:t>
      </w:r>
      <w:r>
        <w:t>Thales, RAN #101, Bangalore, 11-15 September, 2023.</w:t>
      </w:r>
      <w:bookmarkEnd w:id="24"/>
      <w:r>
        <w:t xml:space="preserve"> </w:t>
      </w:r>
    </w:p>
    <w:p w14:paraId="19AE7390" w14:textId="77777777" w:rsidR="001C0296" w:rsidRPr="00A167FE" w:rsidRDefault="001C0296" w:rsidP="001C0296">
      <w:pPr>
        <w:pStyle w:val="ListParagraph"/>
        <w:numPr>
          <w:ilvl w:val="0"/>
          <w:numId w:val="21"/>
        </w:numPr>
        <w:overflowPunct w:val="0"/>
        <w:autoSpaceDE w:val="0"/>
        <w:autoSpaceDN w:val="0"/>
        <w:adjustRightInd w:val="0"/>
        <w:spacing w:after="0" w:line="240" w:lineRule="auto"/>
        <w:ind w:right="-22"/>
        <w:jc w:val="both"/>
        <w:textAlignment w:val="baseline"/>
      </w:pPr>
      <w:bookmarkStart w:id="25" w:name="_Ref118130196"/>
      <w:r>
        <w:rPr>
          <w:rFonts w:cs="Arial"/>
          <w:sz w:val="18"/>
          <w:szCs w:val="18"/>
        </w:rPr>
        <w:t xml:space="preserve">TS 38.133, </w:t>
      </w:r>
      <w:r>
        <w:rPr>
          <w:rFonts w:cs="Arial"/>
          <w:i/>
          <w:iCs/>
          <w:sz w:val="18"/>
          <w:szCs w:val="18"/>
        </w:rPr>
        <w:t>NR; Requirements for support of radio resource management</w:t>
      </w:r>
      <w:r>
        <w:rPr>
          <w:rFonts w:cs="Arial"/>
          <w:sz w:val="18"/>
          <w:szCs w:val="18"/>
        </w:rPr>
        <w:t>, V17.7.0, 3GPP</w:t>
      </w:r>
      <w:bookmarkEnd w:id="25"/>
    </w:p>
    <w:p w14:paraId="5494148F"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26" w:name="_Ref130303734"/>
      <w:r>
        <w:t xml:space="preserve">TS 38.211, </w:t>
      </w:r>
      <w:r w:rsidRPr="00AD4F5C">
        <w:rPr>
          <w:rFonts w:ascii="Arial" w:hAnsi="Arial" w:cs="Arial"/>
          <w:i/>
          <w:iCs/>
          <w:color w:val="000000"/>
          <w:sz w:val="18"/>
          <w:szCs w:val="18"/>
        </w:rPr>
        <w:t>NR; Physical channels and modulation</w:t>
      </w:r>
      <w:r>
        <w:rPr>
          <w:rFonts w:ascii="Arial" w:hAnsi="Arial" w:cs="Arial"/>
          <w:color w:val="000000"/>
          <w:sz w:val="18"/>
          <w:szCs w:val="18"/>
        </w:rPr>
        <w:t>, V17.4.0, 3GPP</w:t>
      </w:r>
      <w:bookmarkEnd w:id="26"/>
    </w:p>
    <w:p w14:paraId="4FE58E99"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27" w:name="_Ref130303848"/>
      <w:r>
        <w:t xml:space="preserve">TR 38.821, </w:t>
      </w:r>
      <w:r w:rsidRPr="00757ABB">
        <w:rPr>
          <w:rFonts w:ascii="Arial" w:hAnsi="Arial" w:cs="Arial"/>
          <w:i/>
          <w:iCs/>
          <w:color w:val="000000"/>
          <w:sz w:val="18"/>
          <w:szCs w:val="18"/>
        </w:rPr>
        <w:t>Solutions for NR to support Non-Terrestrial Networks (NTN)</w:t>
      </w:r>
      <w:r>
        <w:rPr>
          <w:rFonts w:ascii="Arial" w:hAnsi="Arial" w:cs="Arial"/>
          <w:color w:val="000000"/>
          <w:sz w:val="18"/>
          <w:szCs w:val="18"/>
        </w:rPr>
        <w:t>, V16.1.0, 3GPP</w:t>
      </w:r>
      <w:bookmarkEnd w:id="27"/>
    </w:p>
    <w:p w14:paraId="349C613E" w14:textId="77777777" w:rsidR="001C0296" w:rsidRDefault="001C0296" w:rsidP="001C0296">
      <w:pPr>
        <w:pStyle w:val="ListParagraph"/>
        <w:numPr>
          <w:ilvl w:val="0"/>
          <w:numId w:val="21"/>
        </w:numPr>
        <w:spacing w:after="0" w:line="256" w:lineRule="auto"/>
        <w:ind w:right="-22"/>
      </w:pPr>
      <w:bookmarkStart w:id="28" w:name="_Ref130303923"/>
      <w:r>
        <w:t xml:space="preserve">TS 38.181, </w:t>
      </w:r>
      <w:r w:rsidRPr="00C94B14">
        <w:rPr>
          <w:rFonts w:ascii="Arial" w:hAnsi="Arial" w:cs="Arial"/>
          <w:i/>
          <w:iCs/>
          <w:color w:val="000000"/>
          <w:sz w:val="18"/>
          <w:szCs w:val="18"/>
        </w:rPr>
        <w:t>NR; Satellite Access Node conformance testing</w:t>
      </w:r>
      <w:r>
        <w:rPr>
          <w:rFonts w:ascii="Arial" w:hAnsi="Arial" w:cs="Arial"/>
          <w:i/>
          <w:iCs/>
          <w:color w:val="000000"/>
          <w:sz w:val="18"/>
          <w:szCs w:val="18"/>
        </w:rPr>
        <w:t>, V17.3.0</w:t>
      </w:r>
      <w:r>
        <w:rPr>
          <w:rFonts w:ascii="Arial" w:hAnsi="Arial" w:cs="Arial"/>
          <w:color w:val="000000"/>
          <w:sz w:val="18"/>
          <w:szCs w:val="18"/>
        </w:rPr>
        <w:t>, 3GPP</w:t>
      </w:r>
      <w:bookmarkEnd w:id="28"/>
    </w:p>
    <w:p w14:paraId="6E4B634F" w14:textId="77777777" w:rsidR="001C0296" w:rsidRDefault="001C0296" w:rsidP="001C0296">
      <w:pPr>
        <w:pStyle w:val="ListParagraph"/>
        <w:numPr>
          <w:ilvl w:val="0"/>
          <w:numId w:val="21"/>
        </w:numPr>
        <w:spacing w:after="0" w:line="256" w:lineRule="auto"/>
        <w:ind w:right="-22"/>
      </w:pPr>
      <w:bookmarkStart w:id="29" w:name="_Ref130304090"/>
      <w:r>
        <w:t xml:space="preserve">TS 38.141-1, </w:t>
      </w:r>
      <w:r w:rsidRPr="00492F7C">
        <w:rPr>
          <w:rFonts w:ascii="Arial" w:hAnsi="Arial" w:cs="Arial"/>
          <w:i/>
          <w:iCs/>
          <w:color w:val="000000"/>
          <w:sz w:val="18"/>
          <w:szCs w:val="18"/>
        </w:rPr>
        <w:t>NR; Base Station (BS) conformance testing Part 1: Conducted conformance testing</w:t>
      </w:r>
      <w:r>
        <w:rPr>
          <w:rFonts w:ascii="Arial" w:hAnsi="Arial" w:cs="Arial"/>
          <w:i/>
          <w:iCs/>
          <w:color w:val="000000"/>
          <w:sz w:val="18"/>
          <w:szCs w:val="18"/>
        </w:rPr>
        <w:t>, V17.3.0</w:t>
      </w:r>
      <w:r>
        <w:rPr>
          <w:rFonts w:ascii="Arial" w:hAnsi="Arial" w:cs="Arial"/>
          <w:color w:val="000000"/>
          <w:sz w:val="18"/>
          <w:szCs w:val="18"/>
        </w:rPr>
        <w:t>, 3GPP</w:t>
      </w:r>
      <w:bookmarkEnd w:id="29"/>
    </w:p>
    <w:p w14:paraId="5D2DBB18" w14:textId="77777777" w:rsidR="001C0296" w:rsidRPr="006F72FE" w:rsidRDefault="001C0296" w:rsidP="001C0296">
      <w:pPr>
        <w:pStyle w:val="ListParagraph"/>
        <w:numPr>
          <w:ilvl w:val="0"/>
          <w:numId w:val="21"/>
        </w:numPr>
        <w:spacing w:after="0" w:line="256" w:lineRule="auto"/>
        <w:ind w:right="-22"/>
      </w:pPr>
      <w:bookmarkStart w:id="30" w:name="_Ref130304091"/>
      <w:r>
        <w:t xml:space="preserve">TS 38.141-2, </w:t>
      </w:r>
      <w:r w:rsidRPr="00492F7C">
        <w:rPr>
          <w:rFonts w:ascii="Arial" w:hAnsi="Arial" w:cs="Arial"/>
          <w:i/>
          <w:iCs/>
          <w:color w:val="000000"/>
          <w:sz w:val="18"/>
          <w:szCs w:val="18"/>
        </w:rPr>
        <w:t xml:space="preserve">NR; Base Station (BS) conformance testing Part </w:t>
      </w:r>
      <w:r>
        <w:rPr>
          <w:rFonts w:ascii="Arial" w:hAnsi="Arial" w:cs="Arial"/>
          <w:i/>
          <w:iCs/>
          <w:color w:val="000000"/>
          <w:sz w:val="18"/>
          <w:szCs w:val="18"/>
        </w:rPr>
        <w:t>2</w:t>
      </w:r>
      <w:r w:rsidRPr="00492F7C">
        <w:rPr>
          <w:rFonts w:ascii="Arial" w:hAnsi="Arial" w:cs="Arial"/>
          <w:i/>
          <w:iCs/>
          <w:color w:val="000000"/>
          <w:sz w:val="18"/>
          <w:szCs w:val="18"/>
        </w:rPr>
        <w:t xml:space="preserve">: </w:t>
      </w:r>
      <w:r>
        <w:rPr>
          <w:rFonts w:ascii="Arial" w:hAnsi="Arial" w:cs="Arial"/>
          <w:i/>
          <w:iCs/>
          <w:color w:val="000000"/>
          <w:sz w:val="18"/>
          <w:szCs w:val="18"/>
        </w:rPr>
        <w:t>Radiated</w:t>
      </w:r>
      <w:r w:rsidRPr="00492F7C">
        <w:rPr>
          <w:rFonts w:ascii="Arial" w:hAnsi="Arial" w:cs="Arial"/>
          <w:i/>
          <w:iCs/>
          <w:color w:val="000000"/>
          <w:sz w:val="18"/>
          <w:szCs w:val="18"/>
        </w:rPr>
        <w:t xml:space="preserve"> conformance testing</w:t>
      </w:r>
      <w:r>
        <w:rPr>
          <w:rFonts w:ascii="Arial" w:hAnsi="Arial" w:cs="Arial"/>
          <w:i/>
          <w:iCs/>
          <w:color w:val="000000"/>
          <w:sz w:val="18"/>
          <w:szCs w:val="18"/>
        </w:rPr>
        <w:t>, V17.3.0</w:t>
      </w:r>
      <w:r>
        <w:rPr>
          <w:rFonts w:ascii="Arial" w:hAnsi="Arial" w:cs="Arial"/>
          <w:color w:val="000000"/>
          <w:sz w:val="18"/>
          <w:szCs w:val="18"/>
        </w:rPr>
        <w:t>, 3GPP</w:t>
      </w:r>
      <w:bookmarkEnd w:id="30"/>
    </w:p>
    <w:p w14:paraId="63BE65AB" w14:textId="72D96BB8" w:rsidR="000040DC" w:rsidRDefault="000040DC" w:rsidP="001934BB">
      <w:pPr>
        <w:ind w:right="-22"/>
      </w:pPr>
    </w:p>
    <w:p w14:paraId="5C3E8A85" w14:textId="77777777" w:rsidR="001934BB" w:rsidRDefault="001934BB" w:rsidP="001934BB">
      <w:pPr>
        <w:ind w:right="-22"/>
      </w:pPr>
    </w:p>
    <w:p w14:paraId="64B01ACB" w14:textId="77777777" w:rsidR="001934BB" w:rsidRDefault="001934BB" w:rsidP="001934BB">
      <w:pPr>
        <w:ind w:right="-22"/>
      </w:pPr>
    </w:p>
    <w:sectPr w:rsidR="001934B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4BEA6" w14:textId="77777777" w:rsidR="003E7AF8" w:rsidRDefault="003E7AF8" w:rsidP="00001C9B">
      <w:pPr>
        <w:spacing w:after="0" w:line="240" w:lineRule="auto"/>
      </w:pPr>
      <w:r>
        <w:separator/>
      </w:r>
    </w:p>
  </w:endnote>
  <w:endnote w:type="continuationSeparator" w:id="0">
    <w:p w14:paraId="520AA7EB" w14:textId="77777777" w:rsidR="003E7AF8" w:rsidRDefault="003E7AF8" w:rsidP="00001C9B">
      <w:pPr>
        <w:spacing w:after="0" w:line="240" w:lineRule="auto"/>
      </w:pPr>
      <w:r>
        <w:continuationSeparator/>
      </w:r>
    </w:p>
  </w:endnote>
  <w:endnote w:type="continuationNotice" w:id="1">
    <w:p w14:paraId="01DB3136" w14:textId="77777777" w:rsidR="003E7AF8" w:rsidRDefault="003E7A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750D1" w14:textId="77777777" w:rsidR="003E7AF8" w:rsidRDefault="003E7AF8" w:rsidP="00001C9B">
      <w:pPr>
        <w:spacing w:after="0" w:line="240" w:lineRule="auto"/>
      </w:pPr>
      <w:r>
        <w:separator/>
      </w:r>
    </w:p>
  </w:footnote>
  <w:footnote w:type="continuationSeparator" w:id="0">
    <w:p w14:paraId="45323D79" w14:textId="77777777" w:rsidR="003E7AF8" w:rsidRDefault="003E7AF8" w:rsidP="00001C9B">
      <w:pPr>
        <w:spacing w:after="0" w:line="240" w:lineRule="auto"/>
      </w:pPr>
      <w:r>
        <w:continuationSeparator/>
      </w:r>
    </w:p>
  </w:footnote>
  <w:footnote w:type="continuationNotice" w:id="1">
    <w:p w14:paraId="7F8ADC5C" w14:textId="77777777" w:rsidR="003E7AF8" w:rsidRDefault="003E7A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E2859"/>
    <w:multiLevelType w:val="hybridMultilevel"/>
    <w:tmpl w:val="156C2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8230A7"/>
    <w:multiLevelType w:val="hybridMultilevel"/>
    <w:tmpl w:val="6CA20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167AA3"/>
    <w:multiLevelType w:val="hybridMultilevel"/>
    <w:tmpl w:val="3F78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51081EA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3"/>
  </w:num>
  <w:num w:numId="4" w16cid:durableId="517735681">
    <w:abstractNumId w:val="5"/>
  </w:num>
  <w:num w:numId="5" w16cid:durableId="1142041724">
    <w:abstractNumId w:val="18"/>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0"/>
  </w:num>
  <w:num w:numId="16" w16cid:durableId="516113510">
    <w:abstractNumId w:val="4"/>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61154510">
    <w:abstractNumId w:val="3"/>
  </w:num>
  <w:num w:numId="28" w16cid:durableId="2124037807">
    <w:abstractNumId w:val="21"/>
  </w:num>
  <w:num w:numId="29" w16cid:durableId="2052608810">
    <w:abstractNumId w:val="19"/>
  </w:num>
  <w:num w:numId="30" w16cid:durableId="304354281">
    <w:abstractNumId w:val="17"/>
  </w:num>
  <w:num w:numId="31" w16cid:durableId="136840271">
    <w:abstractNumId w:val="7"/>
  </w:num>
  <w:num w:numId="32" w16cid:durableId="1583295858">
    <w:abstractNumId w:val="8"/>
  </w:num>
  <w:num w:numId="33" w16cid:durableId="45836843">
    <w:abstractNumId w:val="10"/>
  </w:num>
  <w:num w:numId="34" w16cid:durableId="10020473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F8141A"/>
    <w:rsid w:val="00001C9B"/>
    <w:rsid w:val="000040DC"/>
    <w:rsid w:val="00011784"/>
    <w:rsid w:val="00012CE7"/>
    <w:rsid w:val="000151EF"/>
    <w:rsid w:val="000239F5"/>
    <w:rsid w:val="00025C10"/>
    <w:rsid w:val="00025D3F"/>
    <w:rsid w:val="00036ACD"/>
    <w:rsid w:val="00041B56"/>
    <w:rsid w:val="00080D2C"/>
    <w:rsid w:val="0008612A"/>
    <w:rsid w:val="00090E18"/>
    <w:rsid w:val="00094903"/>
    <w:rsid w:val="000A10BC"/>
    <w:rsid w:val="000A57C1"/>
    <w:rsid w:val="000B0056"/>
    <w:rsid w:val="000C3C7B"/>
    <w:rsid w:val="000C511F"/>
    <w:rsid w:val="000D0F93"/>
    <w:rsid w:val="000E4F54"/>
    <w:rsid w:val="00106416"/>
    <w:rsid w:val="00110481"/>
    <w:rsid w:val="001127C9"/>
    <w:rsid w:val="00114498"/>
    <w:rsid w:val="00115B88"/>
    <w:rsid w:val="0012611D"/>
    <w:rsid w:val="00132F6A"/>
    <w:rsid w:val="00133913"/>
    <w:rsid w:val="00140221"/>
    <w:rsid w:val="00141817"/>
    <w:rsid w:val="001642FC"/>
    <w:rsid w:val="0016496B"/>
    <w:rsid w:val="001743E2"/>
    <w:rsid w:val="001745F8"/>
    <w:rsid w:val="001838CF"/>
    <w:rsid w:val="0018428F"/>
    <w:rsid w:val="001868EE"/>
    <w:rsid w:val="001934BB"/>
    <w:rsid w:val="00197996"/>
    <w:rsid w:val="001A3BA4"/>
    <w:rsid w:val="001A6D1F"/>
    <w:rsid w:val="001C0296"/>
    <w:rsid w:val="001D2282"/>
    <w:rsid w:val="001D4AD9"/>
    <w:rsid w:val="001E30F6"/>
    <w:rsid w:val="00204021"/>
    <w:rsid w:val="00217EE5"/>
    <w:rsid w:val="002264D7"/>
    <w:rsid w:val="00227031"/>
    <w:rsid w:val="00235F5C"/>
    <w:rsid w:val="00244745"/>
    <w:rsid w:val="00257FA3"/>
    <w:rsid w:val="00277B56"/>
    <w:rsid w:val="00280B89"/>
    <w:rsid w:val="002864C5"/>
    <w:rsid w:val="002A19F5"/>
    <w:rsid w:val="002B4922"/>
    <w:rsid w:val="002C0EEC"/>
    <w:rsid w:val="002C22C3"/>
    <w:rsid w:val="002C2D19"/>
    <w:rsid w:val="002D10FA"/>
    <w:rsid w:val="002D2024"/>
    <w:rsid w:val="002D4C55"/>
    <w:rsid w:val="002E5AC7"/>
    <w:rsid w:val="002E6DED"/>
    <w:rsid w:val="00300956"/>
    <w:rsid w:val="0030455F"/>
    <w:rsid w:val="00305820"/>
    <w:rsid w:val="00317187"/>
    <w:rsid w:val="00320144"/>
    <w:rsid w:val="003230DC"/>
    <w:rsid w:val="0032499A"/>
    <w:rsid w:val="003341F7"/>
    <w:rsid w:val="00347FEC"/>
    <w:rsid w:val="003509DF"/>
    <w:rsid w:val="00356F45"/>
    <w:rsid w:val="00363F7D"/>
    <w:rsid w:val="00366B74"/>
    <w:rsid w:val="00386A83"/>
    <w:rsid w:val="00392683"/>
    <w:rsid w:val="0039406B"/>
    <w:rsid w:val="00394E9E"/>
    <w:rsid w:val="00395F6A"/>
    <w:rsid w:val="003A111C"/>
    <w:rsid w:val="003A710A"/>
    <w:rsid w:val="003B659E"/>
    <w:rsid w:val="003C275E"/>
    <w:rsid w:val="003C37D6"/>
    <w:rsid w:val="003C4FDE"/>
    <w:rsid w:val="003D2041"/>
    <w:rsid w:val="003E58DF"/>
    <w:rsid w:val="003E7AF8"/>
    <w:rsid w:val="003F2161"/>
    <w:rsid w:val="00404C4C"/>
    <w:rsid w:val="00411EC7"/>
    <w:rsid w:val="0041423F"/>
    <w:rsid w:val="00414F81"/>
    <w:rsid w:val="00426ACE"/>
    <w:rsid w:val="0043680A"/>
    <w:rsid w:val="00436A0F"/>
    <w:rsid w:val="00437150"/>
    <w:rsid w:val="0043750A"/>
    <w:rsid w:val="00441669"/>
    <w:rsid w:val="00441EA9"/>
    <w:rsid w:val="00447577"/>
    <w:rsid w:val="00460BED"/>
    <w:rsid w:val="004732E9"/>
    <w:rsid w:val="0048211A"/>
    <w:rsid w:val="004854BB"/>
    <w:rsid w:val="00494493"/>
    <w:rsid w:val="00496606"/>
    <w:rsid w:val="004C3486"/>
    <w:rsid w:val="004D24FB"/>
    <w:rsid w:val="004E5E66"/>
    <w:rsid w:val="004E7ADB"/>
    <w:rsid w:val="00503B4D"/>
    <w:rsid w:val="00504EE9"/>
    <w:rsid w:val="0051476D"/>
    <w:rsid w:val="00521576"/>
    <w:rsid w:val="00522897"/>
    <w:rsid w:val="005250E6"/>
    <w:rsid w:val="00525A8B"/>
    <w:rsid w:val="005319C4"/>
    <w:rsid w:val="00531FC6"/>
    <w:rsid w:val="00542357"/>
    <w:rsid w:val="00542D23"/>
    <w:rsid w:val="0054442C"/>
    <w:rsid w:val="00550285"/>
    <w:rsid w:val="00551E90"/>
    <w:rsid w:val="0055405F"/>
    <w:rsid w:val="00562492"/>
    <w:rsid w:val="0056617A"/>
    <w:rsid w:val="005705A0"/>
    <w:rsid w:val="00572A20"/>
    <w:rsid w:val="005836F8"/>
    <w:rsid w:val="005918FA"/>
    <w:rsid w:val="00592A86"/>
    <w:rsid w:val="00593318"/>
    <w:rsid w:val="005B3D49"/>
    <w:rsid w:val="005B4801"/>
    <w:rsid w:val="005C23A4"/>
    <w:rsid w:val="005D1CDF"/>
    <w:rsid w:val="005D2BB7"/>
    <w:rsid w:val="005E14CC"/>
    <w:rsid w:val="005E61A8"/>
    <w:rsid w:val="005F6419"/>
    <w:rsid w:val="005F6DDC"/>
    <w:rsid w:val="0060543D"/>
    <w:rsid w:val="006104DD"/>
    <w:rsid w:val="006130B5"/>
    <w:rsid w:val="00614F27"/>
    <w:rsid w:val="00617400"/>
    <w:rsid w:val="00632D29"/>
    <w:rsid w:val="00657BA2"/>
    <w:rsid w:val="00664950"/>
    <w:rsid w:val="0067119A"/>
    <w:rsid w:val="00677A4B"/>
    <w:rsid w:val="00681596"/>
    <w:rsid w:val="00683220"/>
    <w:rsid w:val="006837A8"/>
    <w:rsid w:val="00687FA0"/>
    <w:rsid w:val="00690D0C"/>
    <w:rsid w:val="00696E96"/>
    <w:rsid w:val="006A07D7"/>
    <w:rsid w:val="006A3C11"/>
    <w:rsid w:val="006B7010"/>
    <w:rsid w:val="006C0328"/>
    <w:rsid w:val="006C3095"/>
    <w:rsid w:val="006D069D"/>
    <w:rsid w:val="006D728A"/>
    <w:rsid w:val="006E1151"/>
    <w:rsid w:val="006E6311"/>
    <w:rsid w:val="007108A0"/>
    <w:rsid w:val="00710BE6"/>
    <w:rsid w:val="007145FF"/>
    <w:rsid w:val="00715B2A"/>
    <w:rsid w:val="007450F1"/>
    <w:rsid w:val="00751515"/>
    <w:rsid w:val="00753B1D"/>
    <w:rsid w:val="007606F1"/>
    <w:rsid w:val="007626B7"/>
    <w:rsid w:val="007725CB"/>
    <w:rsid w:val="00775489"/>
    <w:rsid w:val="00780E81"/>
    <w:rsid w:val="0078212B"/>
    <w:rsid w:val="00782724"/>
    <w:rsid w:val="00784DF6"/>
    <w:rsid w:val="00785232"/>
    <w:rsid w:val="00792B58"/>
    <w:rsid w:val="00792B6D"/>
    <w:rsid w:val="007B186C"/>
    <w:rsid w:val="007B5AF7"/>
    <w:rsid w:val="007C1696"/>
    <w:rsid w:val="007C3ED0"/>
    <w:rsid w:val="007C5971"/>
    <w:rsid w:val="007D1B67"/>
    <w:rsid w:val="007E5785"/>
    <w:rsid w:val="007F54B9"/>
    <w:rsid w:val="0080081C"/>
    <w:rsid w:val="00806A76"/>
    <w:rsid w:val="008074AB"/>
    <w:rsid w:val="00811C9D"/>
    <w:rsid w:val="00816C80"/>
    <w:rsid w:val="00824B38"/>
    <w:rsid w:val="008310FA"/>
    <w:rsid w:val="00841BCD"/>
    <w:rsid w:val="00847264"/>
    <w:rsid w:val="00851A8E"/>
    <w:rsid w:val="0085365B"/>
    <w:rsid w:val="008826C1"/>
    <w:rsid w:val="00883DFD"/>
    <w:rsid w:val="008979C8"/>
    <w:rsid w:val="008A1BF7"/>
    <w:rsid w:val="008A5B0E"/>
    <w:rsid w:val="008B0961"/>
    <w:rsid w:val="008B0BEC"/>
    <w:rsid w:val="008C39F7"/>
    <w:rsid w:val="008C536B"/>
    <w:rsid w:val="008D7ABE"/>
    <w:rsid w:val="008E071E"/>
    <w:rsid w:val="008E372A"/>
    <w:rsid w:val="008E7E55"/>
    <w:rsid w:val="008F75A7"/>
    <w:rsid w:val="0090091A"/>
    <w:rsid w:val="009042BD"/>
    <w:rsid w:val="00904FE4"/>
    <w:rsid w:val="00911E45"/>
    <w:rsid w:val="00926253"/>
    <w:rsid w:val="00936159"/>
    <w:rsid w:val="00977E1D"/>
    <w:rsid w:val="00983A6B"/>
    <w:rsid w:val="009A2477"/>
    <w:rsid w:val="009B0573"/>
    <w:rsid w:val="009B7B4B"/>
    <w:rsid w:val="009B7C21"/>
    <w:rsid w:val="009C2E67"/>
    <w:rsid w:val="009C2EEA"/>
    <w:rsid w:val="009C6E9D"/>
    <w:rsid w:val="009C7A94"/>
    <w:rsid w:val="009F2CA6"/>
    <w:rsid w:val="00A04992"/>
    <w:rsid w:val="00A07553"/>
    <w:rsid w:val="00A147AA"/>
    <w:rsid w:val="00A1585A"/>
    <w:rsid w:val="00A21D71"/>
    <w:rsid w:val="00A22B78"/>
    <w:rsid w:val="00A25AE5"/>
    <w:rsid w:val="00A3155A"/>
    <w:rsid w:val="00A37002"/>
    <w:rsid w:val="00A4355E"/>
    <w:rsid w:val="00A520D9"/>
    <w:rsid w:val="00A92BCD"/>
    <w:rsid w:val="00AA1B0E"/>
    <w:rsid w:val="00AA47B6"/>
    <w:rsid w:val="00AB6F6F"/>
    <w:rsid w:val="00AC163B"/>
    <w:rsid w:val="00AC5861"/>
    <w:rsid w:val="00AC5CA7"/>
    <w:rsid w:val="00AC6058"/>
    <w:rsid w:val="00AD0082"/>
    <w:rsid w:val="00AE2BA5"/>
    <w:rsid w:val="00AE56B1"/>
    <w:rsid w:val="00AE6D09"/>
    <w:rsid w:val="00AF7A7C"/>
    <w:rsid w:val="00B02070"/>
    <w:rsid w:val="00B129FD"/>
    <w:rsid w:val="00B2039E"/>
    <w:rsid w:val="00B31208"/>
    <w:rsid w:val="00B3156B"/>
    <w:rsid w:val="00B408B6"/>
    <w:rsid w:val="00B54013"/>
    <w:rsid w:val="00B542DA"/>
    <w:rsid w:val="00B57F9B"/>
    <w:rsid w:val="00B73862"/>
    <w:rsid w:val="00B73F43"/>
    <w:rsid w:val="00B75BBF"/>
    <w:rsid w:val="00BA3AA4"/>
    <w:rsid w:val="00BA6B66"/>
    <w:rsid w:val="00BA6E48"/>
    <w:rsid w:val="00BB2FD3"/>
    <w:rsid w:val="00BB3939"/>
    <w:rsid w:val="00BC2BEB"/>
    <w:rsid w:val="00BD4D12"/>
    <w:rsid w:val="00BE0AF6"/>
    <w:rsid w:val="00BE1F03"/>
    <w:rsid w:val="00BE58A7"/>
    <w:rsid w:val="00BF2218"/>
    <w:rsid w:val="00BF5CE9"/>
    <w:rsid w:val="00C0426B"/>
    <w:rsid w:val="00C045DF"/>
    <w:rsid w:val="00C07B05"/>
    <w:rsid w:val="00C20473"/>
    <w:rsid w:val="00C26D43"/>
    <w:rsid w:val="00C4466E"/>
    <w:rsid w:val="00C44958"/>
    <w:rsid w:val="00C46548"/>
    <w:rsid w:val="00C574D5"/>
    <w:rsid w:val="00C72DAB"/>
    <w:rsid w:val="00C73F32"/>
    <w:rsid w:val="00C751B9"/>
    <w:rsid w:val="00C77803"/>
    <w:rsid w:val="00C85643"/>
    <w:rsid w:val="00C87462"/>
    <w:rsid w:val="00CA180C"/>
    <w:rsid w:val="00CB22B2"/>
    <w:rsid w:val="00CC3EE2"/>
    <w:rsid w:val="00CD7492"/>
    <w:rsid w:val="00CD7EDB"/>
    <w:rsid w:val="00CE2703"/>
    <w:rsid w:val="00CE3A6B"/>
    <w:rsid w:val="00CE5D1F"/>
    <w:rsid w:val="00CF0BE2"/>
    <w:rsid w:val="00CF7E20"/>
    <w:rsid w:val="00D00211"/>
    <w:rsid w:val="00D03BD3"/>
    <w:rsid w:val="00D06309"/>
    <w:rsid w:val="00D24E42"/>
    <w:rsid w:val="00D351EA"/>
    <w:rsid w:val="00D3597A"/>
    <w:rsid w:val="00D40288"/>
    <w:rsid w:val="00D43403"/>
    <w:rsid w:val="00D5270B"/>
    <w:rsid w:val="00D62E71"/>
    <w:rsid w:val="00D64192"/>
    <w:rsid w:val="00D6430D"/>
    <w:rsid w:val="00D66188"/>
    <w:rsid w:val="00D7027C"/>
    <w:rsid w:val="00D731F6"/>
    <w:rsid w:val="00D740CA"/>
    <w:rsid w:val="00D85728"/>
    <w:rsid w:val="00D8631A"/>
    <w:rsid w:val="00D863D0"/>
    <w:rsid w:val="00D95481"/>
    <w:rsid w:val="00D96F39"/>
    <w:rsid w:val="00D97975"/>
    <w:rsid w:val="00D97D04"/>
    <w:rsid w:val="00DC7A13"/>
    <w:rsid w:val="00DE2133"/>
    <w:rsid w:val="00DF2997"/>
    <w:rsid w:val="00E10BC4"/>
    <w:rsid w:val="00E1415D"/>
    <w:rsid w:val="00E20FA2"/>
    <w:rsid w:val="00E23321"/>
    <w:rsid w:val="00E323E9"/>
    <w:rsid w:val="00E3323E"/>
    <w:rsid w:val="00E34018"/>
    <w:rsid w:val="00E3417B"/>
    <w:rsid w:val="00E43799"/>
    <w:rsid w:val="00E437D2"/>
    <w:rsid w:val="00E44901"/>
    <w:rsid w:val="00E55751"/>
    <w:rsid w:val="00E66BC2"/>
    <w:rsid w:val="00E679AC"/>
    <w:rsid w:val="00E87EA0"/>
    <w:rsid w:val="00EA2311"/>
    <w:rsid w:val="00EC1F58"/>
    <w:rsid w:val="00EC3698"/>
    <w:rsid w:val="00EC3E77"/>
    <w:rsid w:val="00EC7BC3"/>
    <w:rsid w:val="00ED1787"/>
    <w:rsid w:val="00ED1D3C"/>
    <w:rsid w:val="00ED7600"/>
    <w:rsid w:val="00EF6073"/>
    <w:rsid w:val="00EF698B"/>
    <w:rsid w:val="00EF76B6"/>
    <w:rsid w:val="00F1362C"/>
    <w:rsid w:val="00F35C29"/>
    <w:rsid w:val="00F414F1"/>
    <w:rsid w:val="00F47795"/>
    <w:rsid w:val="00F508B8"/>
    <w:rsid w:val="00F5307C"/>
    <w:rsid w:val="00F658D0"/>
    <w:rsid w:val="00F72CB1"/>
    <w:rsid w:val="00F8141A"/>
    <w:rsid w:val="00F8215E"/>
    <w:rsid w:val="00F824F5"/>
    <w:rsid w:val="00F84C4F"/>
    <w:rsid w:val="00F90FAB"/>
    <w:rsid w:val="00F9374D"/>
    <w:rsid w:val="00FA513E"/>
    <w:rsid w:val="00FC29B9"/>
    <w:rsid w:val="00FC6FD3"/>
    <w:rsid w:val="00FE2AA4"/>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D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70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5405F"/>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hnschrift Light" w:hAnsi="Bahnschrift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rsid w:val="00A07553"/>
    <w:rPr>
      <w:b/>
    </w:rPr>
  </w:style>
  <w:style w:type="paragraph" w:customStyle="1" w:styleId="TAC">
    <w:name w:val="TAC"/>
    <w:basedOn w:val="Normal"/>
    <w:link w:val="TACChar"/>
    <w:rsid w:val="00A075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A07553"/>
    <w:rPr>
      <w:rFonts w:ascii="Arial" w:eastAsia="Times New Roman" w:hAnsi="Arial" w:cs="Times New Roman"/>
      <w:sz w:val="18"/>
      <w:szCs w:val="20"/>
      <w:lang w:val="en-GB" w:eastAsia="en-GB"/>
    </w:rPr>
  </w:style>
  <w:style w:type="character" w:customStyle="1" w:styleId="TAHCar">
    <w:name w:val="TAH Car"/>
    <w:link w:val="TAH"/>
    <w:qFormat/>
    <w:rsid w:val="00A07553"/>
    <w:rPr>
      <w:rFonts w:ascii="Arial" w:eastAsia="Times New Roman" w:hAnsi="Arial" w:cs="Times New Roman"/>
      <w:b/>
      <w:sz w:val="18"/>
      <w:szCs w:val="20"/>
      <w:lang w:val="en-GB" w:eastAsia="en-GB"/>
    </w:rPr>
  </w:style>
  <w:style w:type="paragraph" w:customStyle="1" w:styleId="TH">
    <w:name w:val="TH"/>
    <w:basedOn w:val="Normal"/>
    <w:link w:val="THChar"/>
    <w:rsid w:val="00A075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07553"/>
    <w:rPr>
      <w:rFonts w:ascii="Arial" w:eastAsia="Times New Roman" w:hAnsi="Arial" w:cs="Times New Roman"/>
      <w:b/>
      <w:sz w:val="20"/>
      <w:szCs w:val="20"/>
      <w:lang w:val="en-GB" w:eastAsia="en-GB"/>
    </w:rPr>
  </w:style>
  <w:style w:type="paragraph" w:customStyle="1" w:styleId="TAN">
    <w:name w:val="TAN"/>
    <w:basedOn w:val="Normal"/>
    <w:link w:val="TANChar"/>
    <w:rsid w:val="00A075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A07553"/>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C8564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5643"/>
    <w:rPr>
      <w:rFonts w:ascii="Times New Roman" w:hAnsi="Times New Roman"/>
      <w:sz w:val="20"/>
    </w:rPr>
  </w:style>
  <w:style w:type="paragraph" w:styleId="Footer">
    <w:name w:val="footer"/>
    <w:basedOn w:val="Normal"/>
    <w:link w:val="FooterChar"/>
    <w:uiPriority w:val="99"/>
    <w:unhideWhenUsed/>
    <w:rsid w:val="00C85643"/>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564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19732">
      <w:bodyDiv w:val="1"/>
      <w:marLeft w:val="0"/>
      <w:marRight w:val="0"/>
      <w:marTop w:val="0"/>
      <w:marBottom w:val="0"/>
      <w:divBdr>
        <w:top w:val="none" w:sz="0" w:space="0" w:color="auto"/>
        <w:left w:val="none" w:sz="0" w:space="0" w:color="auto"/>
        <w:bottom w:val="none" w:sz="0" w:space="0" w:color="auto"/>
        <w:right w:val="none" w:sz="0" w:space="0" w:color="auto"/>
      </w:divBdr>
    </w:div>
    <w:div w:id="1269507524">
      <w:bodyDiv w:val="1"/>
      <w:marLeft w:val="0"/>
      <w:marRight w:val="0"/>
      <w:marTop w:val="0"/>
      <w:marBottom w:val="0"/>
      <w:divBdr>
        <w:top w:val="none" w:sz="0" w:space="0" w:color="auto"/>
        <w:left w:val="none" w:sz="0" w:space="0" w:color="auto"/>
        <w:bottom w:val="none" w:sz="0" w:space="0" w:color="auto"/>
        <w:right w:val="none" w:sz="0" w:space="0" w:color="auto"/>
      </w:divBdr>
    </w:div>
    <w:div w:id="2003921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71BF9-93EE-43FF-BCDF-498E020C827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2664</Words>
  <Characters>15185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2023-09-27T17:32:00Z</dcterms:created>
  <dcterms:modified xsi:type="dcterms:W3CDTF">2023-09-27T17:32:00Z</dcterms:modified>
</cp:coreProperties>
</file>