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51803" w14:textId="64FDAFBF" w:rsidR="002B61E3" w:rsidRPr="00EF7A2A" w:rsidRDefault="002B61E3" w:rsidP="002B61E3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992258">
        <w:rPr>
          <w:rFonts w:ascii="Arial" w:hAnsi="Arial" w:cs="Arial"/>
          <w:b/>
          <w:sz w:val="24"/>
          <w:szCs w:val="24"/>
        </w:rPr>
        <w:t>8</w:t>
      </w:r>
      <w:r w:rsidR="00CD111D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650A17" w:rsidRPr="00650A17">
        <w:rPr>
          <w:rFonts w:ascii="Arial" w:hAnsi="Arial" w:cs="Arial"/>
          <w:b/>
          <w:sz w:val="24"/>
          <w:szCs w:val="24"/>
        </w:rPr>
        <w:t>2315515</w:t>
      </w:r>
      <w:bookmarkStart w:id="0" w:name="_GoBack"/>
      <w:bookmarkEnd w:id="0"/>
    </w:p>
    <w:p w14:paraId="141461C7" w14:textId="0203238A" w:rsidR="00DE55A0" w:rsidRPr="00807EF6" w:rsidRDefault="00CD111D" w:rsidP="002B61E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7E50F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7E50F7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2B61E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7E50F7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2B61E3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09</w:t>
      </w:r>
      <w:r w:rsidR="002B61E3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B61E3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2B61E3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33B6234B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30AC9">
        <w:rPr>
          <w:rFonts w:ascii="Arial" w:hAnsi="Arial" w:cs="Arial" w:hint="eastAsia"/>
          <w:lang w:val="en-US" w:eastAsia="ko-KR"/>
        </w:rPr>
        <w:t xml:space="preserve">Discussion on </w:t>
      </w:r>
      <w:r w:rsidR="00430AC9">
        <w:rPr>
          <w:rFonts w:ascii="Arial" w:hAnsi="Arial" w:cs="Arial"/>
          <w:lang w:val="en-US" w:eastAsia="ko-KR"/>
        </w:rPr>
        <w:t>RRM requirements for</w:t>
      </w:r>
      <w:r w:rsidR="003B28E6">
        <w:rPr>
          <w:rFonts w:ascii="Arial" w:hAnsi="Arial" w:cs="Arial"/>
          <w:lang w:val="en-US" w:eastAsia="ko-KR"/>
        </w:rPr>
        <w:t xml:space="preserve"> Type </w:t>
      </w:r>
      <w:r w:rsidR="00B82F81">
        <w:rPr>
          <w:rFonts w:ascii="Arial" w:hAnsi="Arial" w:cs="Arial"/>
          <w:lang w:val="en-US" w:eastAsia="ko-KR"/>
        </w:rPr>
        <w:t>2</w:t>
      </w:r>
      <w:r w:rsidR="00430AC9">
        <w:rPr>
          <w:rFonts w:ascii="Arial" w:hAnsi="Arial" w:cs="Arial"/>
          <w:lang w:val="en-US" w:eastAsia="ko-KR"/>
        </w:rPr>
        <w:t xml:space="preserve"> </w:t>
      </w:r>
      <w:r w:rsidR="00EE15F0">
        <w:rPr>
          <w:rFonts w:ascii="Arial" w:hAnsi="Arial" w:cs="Arial" w:hint="eastAsia"/>
          <w:lang w:val="en-US" w:eastAsia="ko-KR"/>
        </w:rPr>
        <w:t>NR</w:t>
      </w:r>
      <w:r w:rsidR="00EE15F0">
        <w:rPr>
          <w:rFonts w:ascii="Arial" w:hAnsi="Arial" w:cs="Arial"/>
          <w:lang w:val="en-US" w:eastAsia="ko-KR"/>
        </w:rPr>
        <w:t xml:space="preserve"> </w:t>
      </w:r>
      <w:r w:rsidR="00EE15F0">
        <w:rPr>
          <w:rFonts w:ascii="Arial" w:hAnsi="Arial" w:cs="Arial" w:hint="eastAsia"/>
          <w:lang w:val="en-US" w:eastAsia="ko-KR"/>
        </w:rPr>
        <w:t>N</w:t>
      </w:r>
      <w:r w:rsidR="00EE15F0">
        <w:rPr>
          <w:rFonts w:ascii="Arial" w:hAnsi="Arial" w:cs="Arial"/>
          <w:lang w:val="en-US" w:eastAsia="ko-KR"/>
        </w:rPr>
        <w:t>TN</w:t>
      </w:r>
      <w:r w:rsidR="00430AC9">
        <w:rPr>
          <w:rFonts w:ascii="Arial" w:hAnsi="Arial" w:cs="Arial" w:hint="eastAsia"/>
          <w:lang w:val="en-US" w:eastAsia="ko-KR"/>
        </w:rPr>
        <w:t xml:space="preserve"> </w:t>
      </w:r>
      <w:r w:rsidR="003B28E6">
        <w:rPr>
          <w:rFonts w:ascii="Arial" w:hAnsi="Arial" w:cs="Arial"/>
          <w:lang w:val="en-US" w:eastAsia="ko-KR"/>
        </w:rPr>
        <w:t xml:space="preserve">UE </w:t>
      </w:r>
      <w:r w:rsidR="00430AC9">
        <w:rPr>
          <w:rFonts w:ascii="Arial" w:hAnsi="Arial" w:cs="Arial" w:hint="eastAsia"/>
          <w:lang w:val="en-US" w:eastAsia="ko-KR"/>
        </w:rPr>
        <w:t xml:space="preserve">in above 10GHz </w:t>
      </w:r>
      <w:r w:rsidR="00430AC9">
        <w:rPr>
          <w:rFonts w:ascii="Arial" w:hAnsi="Arial" w:cs="Arial"/>
          <w:lang w:val="en-US" w:eastAsia="ko-KR"/>
        </w:rPr>
        <w:t>bands</w:t>
      </w:r>
    </w:p>
    <w:p w14:paraId="230565BA" w14:textId="34553C33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D111D">
        <w:rPr>
          <w:rFonts w:ascii="Arial" w:hAnsi="Arial" w:cs="Arial"/>
          <w:lang w:val="en-US" w:eastAsia="ko-KR"/>
        </w:rPr>
        <w:t>5</w:t>
      </w:r>
      <w:r w:rsidR="00EE15F0">
        <w:rPr>
          <w:rFonts w:ascii="Arial" w:hAnsi="Arial" w:cs="Arial"/>
          <w:lang w:val="en-US" w:eastAsia="ko-KR"/>
        </w:rPr>
        <w:t>.2</w:t>
      </w:r>
      <w:r w:rsidR="00FC514A">
        <w:rPr>
          <w:rFonts w:ascii="Arial" w:hAnsi="Arial" w:cs="Arial"/>
          <w:lang w:val="en-US" w:eastAsia="ko-KR"/>
        </w:rPr>
        <w:t>6</w:t>
      </w:r>
      <w:r w:rsidR="00EE15F0">
        <w:rPr>
          <w:rFonts w:ascii="Arial" w:hAnsi="Arial" w:cs="Arial"/>
          <w:lang w:val="en-US" w:eastAsia="ko-KR"/>
        </w:rPr>
        <w:t>.</w:t>
      </w:r>
      <w:r w:rsidR="00CD111D">
        <w:rPr>
          <w:rFonts w:ascii="Arial" w:hAnsi="Arial" w:cs="Arial"/>
          <w:lang w:val="en-US" w:eastAsia="ko-KR"/>
        </w:rPr>
        <w:t>6</w:t>
      </w:r>
      <w:r w:rsidR="00FC514A">
        <w:rPr>
          <w:rFonts w:ascii="Arial" w:hAnsi="Arial" w:cs="Arial"/>
          <w:lang w:val="en-US" w:eastAsia="ko-KR"/>
        </w:rPr>
        <w:t>.</w:t>
      </w:r>
      <w:r w:rsidR="00430AC9">
        <w:rPr>
          <w:rFonts w:ascii="Arial" w:hAnsi="Arial" w:cs="Arial"/>
          <w:lang w:val="en-US" w:eastAsia="ko-KR"/>
        </w:rPr>
        <w:t>1</w:t>
      </w:r>
      <w:r w:rsidR="00B82F81">
        <w:rPr>
          <w:rFonts w:ascii="Arial" w:hAnsi="Arial" w:cs="Arial"/>
          <w:lang w:val="en-US" w:eastAsia="ko-KR"/>
        </w:rPr>
        <w:t>.2</w:t>
      </w:r>
    </w:p>
    <w:p w14:paraId="211C61A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1301B5D" w14:textId="350A1B51" w:rsidR="00254A3D" w:rsidRDefault="00CD111D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the last RAN4 meeting</w:t>
      </w:r>
      <w:r w:rsidR="008F2895">
        <w:rPr>
          <w:lang w:val="en-US" w:eastAsia="ko-KR"/>
        </w:rPr>
        <w:t xml:space="preserve">, </w:t>
      </w:r>
      <w:r w:rsidR="00254A3D">
        <w:rPr>
          <w:lang w:val="en-US" w:eastAsia="ko-KR"/>
        </w:rPr>
        <w:t xml:space="preserve">RRM </w:t>
      </w:r>
      <w:r>
        <w:rPr>
          <w:lang w:val="en-US" w:eastAsia="ko-KR"/>
        </w:rPr>
        <w:t>scopes</w:t>
      </w:r>
      <w:r w:rsidR="00254A3D">
        <w:rPr>
          <w:lang w:val="en-US" w:eastAsia="ko-KR"/>
        </w:rPr>
        <w:t xml:space="preserve"> </w:t>
      </w:r>
      <w:r>
        <w:rPr>
          <w:lang w:val="en-US" w:eastAsia="ko-KR"/>
        </w:rPr>
        <w:t xml:space="preserve">and scenarios </w:t>
      </w:r>
      <w:r w:rsidR="00254A3D">
        <w:rPr>
          <w:lang w:val="en-US" w:eastAsia="ko-KR"/>
        </w:rPr>
        <w:t>for Ka band ha</w:t>
      </w:r>
      <w:r w:rsidR="000E7F97">
        <w:rPr>
          <w:lang w:val="en-US" w:eastAsia="ko-KR"/>
        </w:rPr>
        <w:t>ve</w:t>
      </w:r>
      <w:r w:rsidR="00254A3D">
        <w:rPr>
          <w:lang w:val="en-US" w:eastAsia="ko-KR"/>
        </w:rPr>
        <w:t xml:space="preserve"> been </w:t>
      </w:r>
      <w:r>
        <w:rPr>
          <w:lang w:val="en-US" w:eastAsia="ko-KR"/>
        </w:rPr>
        <w:t>agreed</w:t>
      </w:r>
      <w:r w:rsidR="00254A3D">
        <w:rPr>
          <w:lang w:val="en-US" w:eastAsia="ko-KR"/>
        </w:rPr>
        <w:t xml:space="preserve"> </w:t>
      </w:r>
      <w:r>
        <w:rPr>
          <w:lang w:val="en-US" w:eastAsia="ko-KR"/>
        </w:rPr>
        <w:t xml:space="preserve">below </w:t>
      </w:r>
      <w:r w:rsidR="00254A3D">
        <w:rPr>
          <w:lang w:val="en-US" w:eastAsia="ko-KR"/>
        </w:rPr>
        <w:t>[1]</w:t>
      </w:r>
      <w:r>
        <w:rPr>
          <w:lang w:val="en-US" w:eastAsia="ko-KR"/>
        </w:rPr>
        <w:t>;</w:t>
      </w:r>
      <w:r w:rsidR="00254A3D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4A3D" w:rsidRPr="00254A3D" w14:paraId="03433A0B" w14:textId="77777777" w:rsidTr="00254A3D">
        <w:tc>
          <w:tcPr>
            <w:tcW w:w="9855" w:type="dxa"/>
          </w:tcPr>
          <w:p w14:paraId="668F01B5" w14:textId="77777777" w:rsidR="00CD111D" w:rsidRPr="00790E2C" w:rsidRDefault="00CD111D" w:rsidP="00CD111D">
            <w:pPr>
              <w:pStyle w:val="ad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/>
              <w:rPr>
                <w:lang w:eastAsia="ja-JP"/>
              </w:rPr>
            </w:pPr>
            <w:r w:rsidRPr="00790E2C">
              <w:rPr>
                <w:lang w:eastAsia="ja-JP"/>
              </w:rPr>
              <w:t>The scope of the work needed to define the RRM requirements (i.e. beam steering related) necessary for NR-NTN UEs operating in the NTN example band (i.e. Ka band) based on associated assumptions of the UE architecture</w:t>
            </w:r>
          </w:p>
          <w:p w14:paraId="174164FB" w14:textId="77777777" w:rsidR="00CD111D" w:rsidRPr="00790E2C" w:rsidRDefault="00CD111D" w:rsidP="00CD111D">
            <w:pPr>
              <w:pStyle w:val="ad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RRM requirements shall cover at least the following scenarios</w:t>
            </w:r>
          </w:p>
          <w:p w14:paraId="42CBBE0F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Case-1: Stationary UE for GSO</w:t>
            </w:r>
          </w:p>
          <w:p w14:paraId="1D472D3A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Case-2: Stationary UE for LEO</w:t>
            </w:r>
          </w:p>
          <w:p w14:paraId="4E9ED380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Case-3: Mobile UE for GSO</w:t>
            </w:r>
          </w:p>
          <w:p w14:paraId="3E24AFA4" w14:textId="77777777" w:rsidR="00CD111D" w:rsidRPr="00790E2C" w:rsidRDefault="00CD111D" w:rsidP="00CD111D">
            <w:pPr>
              <w:pStyle w:val="ad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The set of requirements shall include all RRM requirements relevant to NTN, based on Rel-17 NR NTN requirements unless critical issues are identified, including</w:t>
            </w:r>
          </w:p>
          <w:p w14:paraId="2072EDC3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UE uplink timing accuracy</w:t>
            </w:r>
          </w:p>
          <w:p w14:paraId="74181ABE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IDLE and INACTIVE mobility </w:t>
            </w:r>
          </w:p>
          <w:p w14:paraId="5BC6E11C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(Conditional) Handover </w:t>
            </w:r>
          </w:p>
          <w:p w14:paraId="77B6D333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Re-establishment </w:t>
            </w:r>
          </w:p>
          <w:p w14:paraId="3BD1382D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RRC Connection Release with Redirection </w:t>
            </w:r>
          </w:p>
          <w:p w14:paraId="6464D882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Radio Link Monitoring </w:t>
            </w:r>
          </w:p>
          <w:p w14:paraId="0BD2DBFB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Link Recovery procedure (BFD/CBD)</w:t>
            </w:r>
          </w:p>
          <w:p w14:paraId="334DDD1D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Active TCI switching</w:t>
            </w:r>
          </w:p>
          <w:p w14:paraId="4D286C77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Measurement Procedure</w:t>
            </w:r>
          </w:p>
          <w:p w14:paraId="22D5DD49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(L1/L3 measurement delay and scheduling/measurement restrictions) </w:t>
            </w:r>
          </w:p>
          <w:p w14:paraId="0196FB03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Measurement Performance</w:t>
            </w:r>
          </w:p>
          <w:p w14:paraId="18284C21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FFS: UL spatial relation switching</w:t>
            </w:r>
          </w:p>
          <w:p w14:paraId="5CFD3DA4" w14:textId="77777777" w:rsidR="00CD111D" w:rsidRPr="00790E2C" w:rsidRDefault="00CD111D" w:rsidP="00CD111D">
            <w:pPr>
              <w:pStyle w:val="ad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The requirements need to cover the following UE architectures</w:t>
            </w:r>
          </w:p>
          <w:p w14:paraId="7A32B5FF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Fully electronically-steered beam UEs (Type 1)</w:t>
            </w:r>
          </w:p>
          <w:p w14:paraId="067CF213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Fully mechanically-steered beam UEs (Type 2)</w:t>
            </w:r>
          </w:p>
          <w:p w14:paraId="025F6EE4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FFS if additional types of UEs shall be considered and subject to RAN4 RF session conclusions</w:t>
            </w:r>
          </w:p>
          <w:p w14:paraId="222DC5D8" w14:textId="77777777" w:rsidR="00CD111D" w:rsidRPr="00790E2C" w:rsidRDefault="00CD111D" w:rsidP="00CD111D">
            <w:pPr>
              <w:pStyle w:val="ad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 xml:space="preserve">Aim to reuse Rel-17 NR NTN requirements to the extent possible, except for beam sweeping aspects. </w:t>
            </w:r>
          </w:p>
          <w:p w14:paraId="510BBEF8" w14:textId="77777777" w:rsidR="00CD111D" w:rsidRPr="00790E2C" w:rsidRDefault="00CD111D" w:rsidP="00CD111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eastAsia="ja-JP"/>
              </w:rPr>
            </w:pPr>
            <w:r w:rsidRPr="00790E2C">
              <w:rPr>
                <w:lang w:eastAsia="ja-JP"/>
              </w:rPr>
              <w:t>For Type 1 UEs the impact of beam sweeping on RRM requirements can be accounted for based on FR2-1 requirements in terms of scaling principles.</w:t>
            </w:r>
          </w:p>
          <w:p w14:paraId="1003F7B9" w14:textId="4AAA1638" w:rsidR="00254A3D" w:rsidRPr="00254A3D" w:rsidRDefault="00CD111D" w:rsidP="004B4BBD">
            <w:pPr>
              <w:pStyle w:val="ad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textAlignment w:val="baseline"/>
              <w:rPr>
                <w:lang w:val="en-US" w:eastAsia="ko-KR"/>
              </w:rPr>
            </w:pPr>
            <w:r w:rsidRPr="00790E2C">
              <w:rPr>
                <w:lang w:eastAsia="ja-JP"/>
              </w:rPr>
              <w:t>For Type 2 UEs additional studies are required to identify the methodology to define the requirements</w:t>
            </w:r>
          </w:p>
        </w:tc>
      </w:tr>
    </w:tbl>
    <w:p w14:paraId="6974FF3F" w14:textId="779321C7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provided our views on </w:t>
      </w:r>
      <w:r w:rsidR="00430AC9" w:rsidRPr="00430AC9">
        <w:rPr>
          <w:lang w:val="en-US" w:eastAsia="ko-KR"/>
        </w:rPr>
        <w:t>RRM requirements</w:t>
      </w:r>
      <w:r w:rsidR="00430AC9">
        <w:rPr>
          <w:lang w:val="en-US" w:eastAsia="ko-KR"/>
        </w:rPr>
        <w:t xml:space="preserve"> for </w:t>
      </w:r>
      <w:r w:rsidR="003B28E6">
        <w:rPr>
          <w:lang w:val="en-US" w:eastAsia="ko-KR"/>
        </w:rPr>
        <w:t xml:space="preserve">Type </w:t>
      </w:r>
      <w:r w:rsidR="00B82F81">
        <w:rPr>
          <w:lang w:val="en-US" w:eastAsia="ko-KR"/>
        </w:rPr>
        <w:t>2</w:t>
      </w:r>
      <w:r w:rsidR="003B28E6">
        <w:rPr>
          <w:lang w:val="en-US" w:eastAsia="ko-KR"/>
        </w:rPr>
        <w:t xml:space="preserve"> </w:t>
      </w:r>
      <w:r w:rsidR="00430AC9">
        <w:rPr>
          <w:lang w:val="en-US" w:eastAsia="ko-KR"/>
        </w:rPr>
        <w:t xml:space="preserve">NR NTN </w:t>
      </w:r>
      <w:r w:rsidR="003B28E6">
        <w:rPr>
          <w:lang w:val="en-US" w:eastAsia="ko-KR"/>
        </w:rPr>
        <w:t xml:space="preserve">UE which has </w:t>
      </w:r>
      <w:r w:rsidR="00B82F81">
        <w:rPr>
          <w:lang w:val="en-US" w:eastAsia="ko-KR"/>
        </w:rPr>
        <w:t>fully mechanically</w:t>
      </w:r>
      <w:r w:rsidR="003B28E6">
        <w:rPr>
          <w:lang w:val="en-US" w:eastAsia="ko-KR"/>
        </w:rPr>
        <w:t xml:space="preserve">-steered beams </w:t>
      </w:r>
      <w:r w:rsidR="00430AC9">
        <w:rPr>
          <w:lang w:val="en-US" w:eastAsia="ko-KR"/>
        </w:rPr>
        <w:t>in above 10GHz bands (</w:t>
      </w:r>
      <w:r w:rsidR="009750D5">
        <w:rPr>
          <w:lang w:val="en-US" w:eastAsia="ko-KR"/>
        </w:rPr>
        <w:t>Ka band</w:t>
      </w:r>
      <w:r w:rsidR="00430AC9">
        <w:rPr>
          <w:lang w:val="en-US" w:eastAsia="ko-KR"/>
        </w:rPr>
        <w:t>)</w:t>
      </w:r>
      <w:r w:rsidR="009750D5">
        <w:rPr>
          <w:lang w:val="en-US" w:eastAsia="ko-KR"/>
        </w:rPr>
        <w:t xml:space="preserve"> operations.</w:t>
      </w:r>
    </w:p>
    <w:p w14:paraId="321FEA6E" w14:textId="77777777" w:rsidR="00BA3032" w:rsidRPr="00B82F81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42860F09" w14:textId="7E58AA2A" w:rsidR="00A3490B" w:rsidRDefault="00ED0A3B" w:rsidP="00BA6526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RAN#101, </w:t>
      </w:r>
      <w:r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scope</w:t>
      </w:r>
      <w:r>
        <w:rPr>
          <w:lang w:val="en-US" w:eastAsia="ko-KR"/>
        </w:rPr>
        <w:t xml:space="preserve"> of RRM requiremnets</w:t>
      </w:r>
      <w:r>
        <w:rPr>
          <w:rFonts w:hint="eastAsia"/>
          <w:lang w:val="en-US" w:eastAsia="ko-KR"/>
        </w:rPr>
        <w:t xml:space="preserve"> </w:t>
      </w:r>
      <w:r w:rsidR="003B28E6">
        <w:rPr>
          <w:lang w:val="en-US" w:eastAsia="ko-KR"/>
        </w:rPr>
        <w:t xml:space="preserve">[2] </w:t>
      </w:r>
      <w:r>
        <w:rPr>
          <w:rFonts w:hint="eastAsia"/>
          <w:lang w:val="en-US" w:eastAsia="ko-KR"/>
        </w:rPr>
        <w:t xml:space="preserve">for Ka band </w:t>
      </w:r>
      <w:r>
        <w:rPr>
          <w:lang w:val="en-US" w:eastAsia="ko-KR"/>
        </w:rPr>
        <w:t>has been agreed below;</w:t>
      </w:r>
    </w:p>
    <w:tbl>
      <w:tblPr>
        <w:tblStyle w:val="TableGrid7"/>
        <w:tblW w:w="9631" w:type="dxa"/>
        <w:tblLook w:val="0600" w:firstRow="0" w:lastRow="0" w:firstColumn="0" w:lastColumn="0" w:noHBand="1" w:noVBand="1"/>
      </w:tblPr>
      <w:tblGrid>
        <w:gridCol w:w="3961"/>
        <w:gridCol w:w="1985"/>
        <w:gridCol w:w="1701"/>
        <w:gridCol w:w="1984"/>
      </w:tblGrid>
      <w:tr w:rsidR="003B28E6" w:rsidRPr="003B28E6" w14:paraId="1DC32ABD" w14:textId="77777777" w:rsidTr="003B28E6">
        <w:trPr>
          <w:trHeight w:val="430"/>
        </w:trPr>
        <w:tc>
          <w:tcPr>
            <w:tcW w:w="3961" w:type="dxa"/>
            <w:hideMark/>
          </w:tcPr>
          <w:p w14:paraId="4D758484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RRM requirements to be defined as part of Rel-18 NR-NTN-enh WID</w:t>
            </w:r>
          </w:p>
        </w:tc>
        <w:tc>
          <w:tcPr>
            <w:tcW w:w="1985" w:type="dxa"/>
            <w:hideMark/>
          </w:tcPr>
          <w:p w14:paraId="30698B9A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Electronic steering antenna</w:t>
            </w:r>
          </w:p>
        </w:tc>
        <w:tc>
          <w:tcPr>
            <w:tcW w:w="1701" w:type="dxa"/>
            <w:hideMark/>
          </w:tcPr>
          <w:p w14:paraId="5C1D7001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Mechanical steering antenna</w:t>
            </w:r>
          </w:p>
          <w:p w14:paraId="705EC721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(inter-sat)</w:t>
            </w:r>
          </w:p>
        </w:tc>
        <w:tc>
          <w:tcPr>
            <w:tcW w:w="1984" w:type="dxa"/>
            <w:hideMark/>
          </w:tcPr>
          <w:p w14:paraId="7F0A24FC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Mechanical steering antenna</w:t>
            </w:r>
          </w:p>
          <w:p w14:paraId="4339DC3F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b/>
                <w:bCs/>
                <w:lang w:val="fr-FR" w:eastAsia="ko-KR"/>
              </w:rPr>
              <w:t>(intra-sat)</w:t>
            </w:r>
          </w:p>
        </w:tc>
      </w:tr>
      <w:tr w:rsidR="003B28E6" w:rsidRPr="003B28E6" w14:paraId="77723782" w14:textId="77777777" w:rsidTr="003B28E6">
        <w:trPr>
          <w:trHeight w:val="215"/>
        </w:trPr>
        <w:tc>
          <w:tcPr>
            <w:tcW w:w="3961" w:type="dxa"/>
            <w:hideMark/>
          </w:tcPr>
          <w:p w14:paraId="634B63EF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</w:p>
        </w:tc>
        <w:tc>
          <w:tcPr>
            <w:tcW w:w="1985" w:type="dxa"/>
            <w:hideMark/>
          </w:tcPr>
          <w:p w14:paraId="5E45A868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Terminal Type 1</w:t>
            </w:r>
          </w:p>
        </w:tc>
        <w:tc>
          <w:tcPr>
            <w:tcW w:w="3685" w:type="dxa"/>
            <w:gridSpan w:val="2"/>
            <w:hideMark/>
          </w:tcPr>
          <w:p w14:paraId="315A7CCB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Terminal Type 2</w:t>
            </w:r>
          </w:p>
        </w:tc>
      </w:tr>
      <w:tr w:rsidR="003B28E6" w:rsidRPr="003B28E6" w14:paraId="79EBBBB9" w14:textId="77777777" w:rsidTr="003B28E6">
        <w:trPr>
          <w:trHeight w:val="184"/>
        </w:trPr>
        <w:tc>
          <w:tcPr>
            <w:tcW w:w="3961" w:type="dxa"/>
            <w:hideMark/>
          </w:tcPr>
          <w:p w14:paraId="73C8662B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UE uplink timing accuracy</w:t>
            </w:r>
          </w:p>
        </w:tc>
        <w:tc>
          <w:tcPr>
            <w:tcW w:w="1985" w:type="dxa"/>
            <w:vAlign w:val="center"/>
            <w:hideMark/>
          </w:tcPr>
          <w:p w14:paraId="6A0467D8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4610BCC9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0B273367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bCs/>
                <w:lang w:val="fr-FR" w:eastAsia="ko-KR"/>
              </w:rPr>
              <w:t>Reuse FR1 NTN requirement, except UL uplink timing accuracy</w:t>
            </w:r>
          </w:p>
        </w:tc>
      </w:tr>
      <w:tr w:rsidR="003B28E6" w:rsidRPr="003B28E6" w14:paraId="3B049DBE" w14:textId="77777777" w:rsidTr="003B28E6">
        <w:trPr>
          <w:trHeight w:val="184"/>
        </w:trPr>
        <w:tc>
          <w:tcPr>
            <w:tcW w:w="3961" w:type="dxa"/>
            <w:hideMark/>
          </w:tcPr>
          <w:p w14:paraId="638DA915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en-US" w:eastAsia="ko-KR"/>
              </w:rPr>
              <w:t xml:space="preserve">RRC IDLE and INACTIVE mobility </w:t>
            </w:r>
          </w:p>
        </w:tc>
        <w:tc>
          <w:tcPr>
            <w:tcW w:w="1985" w:type="dxa"/>
            <w:vAlign w:val="center"/>
            <w:hideMark/>
          </w:tcPr>
          <w:p w14:paraId="4C9C74A7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L</w:t>
            </w:r>
          </w:p>
        </w:tc>
        <w:tc>
          <w:tcPr>
            <w:tcW w:w="1701" w:type="dxa"/>
            <w:vAlign w:val="center"/>
            <w:hideMark/>
          </w:tcPr>
          <w:p w14:paraId="29340555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4BBD5F7A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1547F819" w14:textId="77777777" w:rsidTr="003B28E6">
        <w:trPr>
          <w:trHeight w:val="184"/>
        </w:trPr>
        <w:tc>
          <w:tcPr>
            <w:tcW w:w="3961" w:type="dxa"/>
            <w:hideMark/>
          </w:tcPr>
          <w:p w14:paraId="3B24545F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 xml:space="preserve">(Conditional/blind) Handover </w:t>
            </w:r>
          </w:p>
        </w:tc>
        <w:tc>
          <w:tcPr>
            <w:tcW w:w="1985" w:type="dxa"/>
            <w:vAlign w:val="center"/>
            <w:hideMark/>
          </w:tcPr>
          <w:p w14:paraId="7BC58BE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6494795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984" w:type="dxa"/>
            <w:vMerge/>
            <w:hideMark/>
          </w:tcPr>
          <w:p w14:paraId="2EFF5AB7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2BE24833" w14:textId="77777777" w:rsidTr="003B28E6">
        <w:trPr>
          <w:trHeight w:val="184"/>
        </w:trPr>
        <w:tc>
          <w:tcPr>
            <w:tcW w:w="3961" w:type="dxa"/>
            <w:hideMark/>
          </w:tcPr>
          <w:p w14:paraId="050593DA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 xml:space="preserve">RRC Re-establishment </w:t>
            </w:r>
          </w:p>
        </w:tc>
        <w:tc>
          <w:tcPr>
            <w:tcW w:w="1985" w:type="dxa"/>
            <w:vAlign w:val="center"/>
            <w:hideMark/>
          </w:tcPr>
          <w:p w14:paraId="4205D196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L</w:t>
            </w:r>
          </w:p>
        </w:tc>
        <w:tc>
          <w:tcPr>
            <w:tcW w:w="1701" w:type="dxa"/>
            <w:vAlign w:val="center"/>
            <w:hideMark/>
          </w:tcPr>
          <w:p w14:paraId="74463497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L</w:t>
            </w:r>
          </w:p>
        </w:tc>
        <w:tc>
          <w:tcPr>
            <w:tcW w:w="1984" w:type="dxa"/>
            <w:vMerge/>
            <w:hideMark/>
          </w:tcPr>
          <w:p w14:paraId="445C8189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00F3EF75" w14:textId="77777777" w:rsidTr="003B28E6">
        <w:trPr>
          <w:trHeight w:val="184"/>
        </w:trPr>
        <w:tc>
          <w:tcPr>
            <w:tcW w:w="3961" w:type="dxa"/>
            <w:hideMark/>
          </w:tcPr>
          <w:p w14:paraId="22F8A7CB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en-US" w:eastAsia="ko-KR"/>
              </w:rPr>
              <w:t xml:space="preserve">RRC Connection Release with Redirection </w:t>
            </w:r>
          </w:p>
        </w:tc>
        <w:tc>
          <w:tcPr>
            <w:tcW w:w="1985" w:type="dxa"/>
            <w:vAlign w:val="center"/>
            <w:hideMark/>
          </w:tcPr>
          <w:p w14:paraId="3849D35D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701" w:type="dxa"/>
            <w:vAlign w:val="center"/>
            <w:hideMark/>
          </w:tcPr>
          <w:p w14:paraId="033E6E9B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0D25DF4B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27390476" w14:textId="77777777" w:rsidTr="003B28E6">
        <w:trPr>
          <w:trHeight w:val="160"/>
        </w:trPr>
        <w:tc>
          <w:tcPr>
            <w:tcW w:w="3961" w:type="dxa"/>
            <w:hideMark/>
          </w:tcPr>
          <w:p w14:paraId="2936103F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 xml:space="preserve">Radio Link Monitoring </w:t>
            </w:r>
          </w:p>
        </w:tc>
        <w:tc>
          <w:tcPr>
            <w:tcW w:w="1985" w:type="dxa"/>
            <w:vAlign w:val="center"/>
            <w:hideMark/>
          </w:tcPr>
          <w:p w14:paraId="1A1A06AD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737EE55C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984" w:type="dxa"/>
            <w:vMerge/>
            <w:hideMark/>
          </w:tcPr>
          <w:p w14:paraId="6632000E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770A0E98" w14:textId="77777777" w:rsidTr="003B28E6">
        <w:trPr>
          <w:trHeight w:val="184"/>
        </w:trPr>
        <w:tc>
          <w:tcPr>
            <w:tcW w:w="3961" w:type="dxa"/>
            <w:hideMark/>
          </w:tcPr>
          <w:p w14:paraId="516CE182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Link Recovery procedure (BFD/CBD)</w:t>
            </w:r>
          </w:p>
        </w:tc>
        <w:tc>
          <w:tcPr>
            <w:tcW w:w="1985" w:type="dxa"/>
            <w:vAlign w:val="center"/>
            <w:hideMark/>
          </w:tcPr>
          <w:p w14:paraId="59140C5F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701" w:type="dxa"/>
            <w:vAlign w:val="center"/>
            <w:hideMark/>
          </w:tcPr>
          <w:p w14:paraId="712B71AC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2AB4D988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46A38363" w14:textId="77777777" w:rsidTr="003B28E6">
        <w:trPr>
          <w:trHeight w:val="184"/>
        </w:trPr>
        <w:tc>
          <w:tcPr>
            <w:tcW w:w="3961" w:type="dxa"/>
            <w:hideMark/>
          </w:tcPr>
          <w:p w14:paraId="57DED567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Active TCI switching</w:t>
            </w:r>
          </w:p>
        </w:tc>
        <w:tc>
          <w:tcPr>
            <w:tcW w:w="1985" w:type="dxa"/>
            <w:vAlign w:val="center"/>
            <w:hideMark/>
          </w:tcPr>
          <w:p w14:paraId="1AADB7BF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701" w:type="dxa"/>
            <w:vAlign w:val="center"/>
            <w:hideMark/>
          </w:tcPr>
          <w:p w14:paraId="156EE05F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59A2690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0D30FB7E" w14:textId="77777777" w:rsidTr="003B28E6">
        <w:trPr>
          <w:trHeight w:val="184"/>
        </w:trPr>
        <w:tc>
          <w:tcPr>
            <w:tcW w:w="3961" w:type="dxa"/>
            <w:hideMark/>
          </w:tcPr>
          <w:p w14:paraId="09F44B01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Measurement Procedure</w:t>
            </w:r>
          </w:p>
        </w:tc>
        <w:tc>
          <w:tcPr>
            <w:tcW w:w="1985" w:type="dxa"/>
            <w:vAlign w:val="center"/>
            <w:hideMark/>
          </w:tcPr>
          <w:p w14:paraId="7BEE174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77FF647D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1BBF190E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335EB4B0" w14:textId="77777777" w:rsidTr="003B28E6">
        <w:trPr>
          <w:trHeight w:val="471"/>
        </w:trPr>
        <w:tc>
          <w:tcPr>
            <w:tcW w:w="3961" w:type="dxa"/>
            <w:hideMark/>
          </w:tcPr>
          <w:p w14:paraId="2B2CB63D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en-US" w:eastAsia="ko-KR"/>
              </w:rPr>
              <w:t xml:space="preserve">(L1/L3 measurement delay and measurement gap, scheduling restriction due to mixed numerologies) </w:t>
            </w:r>
          </w:p>
        </w:tc>
        <w:tc>
          <w:tcPr>
            <w:tcW w:w="1985" w:type="dxa"/>
            <w:vAlign w:val="center"/>
            <w:hideMark/>
          </w:tcPr>
          <w:p w14:paraId="6D58151A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672E8991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vMerge/>
            <w:hideMark/>
          </w:tcPr>
          <w:p w14:paraId="7F607B14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081CFA13" w14:textId="77777777" w:rsidTr="003B28E6">
        <w:trPr>
          <w:trHeight w:val="184"/>
        </w:trPr>
        <w:tc>
          <w:tcPr>
            <w:tcW w:w="3961" w:type="dxa"/>
            <w:hideMark/>
          </w:tcPr>
          <w:p w14:paraId="534698AE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Measurement Performance</w:t>
            </w:r>
          </w:p>
        </w:tc>
        <w:tc>
          <w:tcPr>
            <w:tcW w:w="1985" w:type="dxa"/>
            <w:vAlign w:val="center"/>
            <w:hideMark/>
          </w:tcPr>
          <w:p w14:paraId="565C35C2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Y</w:t>
            </w:r>
          </w:p>
        </w:tc>
        <w:tc>
          <w:tcPr>
            <w:tcW w:w="1701" w:type="dxa"/>
            <w:vAlign w:val="center"/>
            <w:hideMark/>
          </w:tcPr>
          <w:p w14:paraId="2A87388E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hideMark/>
          </w:tcPr>
          <w:p w14:paraId="20917AB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  <w:tr w:rsidR="003B28E6" w:rsidRPr="003B28E6" w14:paraId="2AB23684" w14:textId="77777777" w:rsidTr="003B28E6">
        <w:trPr>
          <w:trHeight w:val="184"/>
        </w:trPr>
        <w:tc>
          <w:tcPr>
            <w:tcW w:w="3961" w:type="dxa"/>
            <w:hideMark/>
          </w:tcPr>
          <w:p w14:paraId="5AB26499" w14:textId="77777777" w:rsidR="003B28E6" w:rsidRPr="003B28E6" w:rsidRDefault="003B28E6" w:rsidP="003B28E6">
            <w:pPr>
              <w:pStyle w:val="a0"/>
              <w:spacing w:after="0"/>
              <w:jc w:val="both"/>
              <w:rPr>
                <w:lang w:val="en-US" w:eastAsia="ko-KR"/>
              </w:rPr>
            </w:pPr>
            <w:r w:rsidRPr="003B28E6">
              <w:rPr>
                <w:lang w:val="en-US" w:eastAsia="ko-KR"/>
              </w:rPr>
              <w:t>UL spatial relation switching</w:t>
            </w:r>
          </w:p>
        </w:tc>
        <w:tc>
          <w:tcPr>
            <w:tcW w:w="1985" w:type="dxa"/>
            <w:vAlign w:val="center"/>
            <w:hideMark/>
          </w:tcPr>
          <w:p w14:paraId="08CA162E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701" w:type="dxa"/>
            <w:vAlign w:val="center"/>
            <w:hideMark/>
          </w:tcPr>
          <w:p w14:paraId="4BC198F5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  <w:r w:rsidRPr="003B28E6">
              <w:rPr>
                <w:lang w:val="fr-FR" w:eastAsia="ko-KR"/>
              </w:rPr>
              <w:t>N</w:t>
            </w:r>
          </w:p>
        </w:tc>
        <w:tc>
          <w:tcPr>
            <w:tcW w:w="1984" w:type="dxa"/>
            <w:hideMark/>
          </w:tcPr>
          <w:p w14:paraId="5D15DC53" w14:textId="77777777" w:rsidR="003B28E6" w:rsidRPr="003B28E6" w:rsidRDefault="003B28E6" w:rsidP="003B28E6">
            <w:pPr>
              <w:pStyle w:val="a0"/>
              <w:spacing w:after="0"/>
              <w:jc w:val="center"/>
              <w:rPr>
                <w:lang w:val="en-US" w:eastAsia="ko-KR"/>
              </w:rPr>
            </w:pPr>
          </w:p>
        </w:tc>
      </w:tr>
    </w:tbl>
    <w:p w14:paraId="4E80F607" w14:textId="4E5C6413" w:rsidR="00ED0A3B" w:rsidRDefault="003B28E6" w:rsidP="00BA6526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And following assumptions are used for Rel-18 RRM requriements</w:t>
      </w:r>
    </w:p>
    <w:p w14:paraId="6690716E" w14:textId="44926A33" w:rsidR="003B28E6" w:rsidRDefault="003B28E6" w:rsidP="003B28E6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>
        <w:rPr>
          <w:lang w:val="en-US" w:eastAsia="ko-KR"/>
        </w:rPr>
        <w:t>Single SAN Tx beam per radio cell in DL</w:t>
      </w:r>
    </w:p>
    <w:p w14:paraId="2E4FC056" w14:textId="01715CA4" w:rsidR="003B28E6" w:rsidRDefault="003B28E6" w:rsidP="003B28E6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>
        <w:rPr>
          <w:lang w:val="en-US" w:eastAsia="ko-KR"/>
        </w:rPr>
        <w:t>For inter satellite HO, only blind HO and no neighbor cell measurement</w:t>
      </w:r>
    </w:p>
    <w:p w14:paraId="2B0BDEDC" w14:textId="0CA051B2" w:rsidR="003B28E6" w:rsidRDefault="003B28E6" w:rsidP="003B28E6">
      <w:pPr>
        <w:pStyle w:val="a0"/>
        <w:numPr>
          <w:ilvl w:val="1"/>
          <w:numId w:val="42"/>
        </w:numPr>
        <w:jc w:val="both"/>
        <w:rPr>
          <w:lang w:val="en-US" w:eastAsia="ko-KR"/>
        </w:rPr>
      </w:pPr>
      <w:r>
        <w:rPr>
          <w:lang w:val="en-US" w:eastAsia="ko-KR"/>
        </w:rPr>
        <w:t>Blind HO assump</w:t>
      </w:r>
      <w:r w:rsidR="000651E8">
        <w:rPr>
          <w:lang w:val="en-US" w:eastAsia="ko-KR"/>
        </w:rPr>
        <w:t>t</w:t>
      </w:r>
      <w:r>
        <w:rPr>
          <w:lang w:val="en-US" w:eastAsia="ko-KR"/>
        </w:rPr>
        <w:t>io</w:t>
      </w:r>
      <w:r w:rsidR="000651E8">
        <w:rPr>
          <w:lang w:val="en-US" w:eastAsia="ko-KR"/>
        </w:rPr>
        <w:t>n</w:t>
      </w:r>
      <w:r>
        <w:rPr>
          <w:lang w:val="en-US" w:eastAsia="ko-KR"/>
        </w:rPr>
        <w:t xml:space="preserve"> for Type 1 UE can be revisited if issue is identified in RAN4</w:t>
      </w:r>
    </w:p>
    <w:p w14:paraId="7B385DA2" w14:textId="2ABD4ECF" w:rsidR="003B28E6" w:rsidRDefault="003B28E6" w:rsidP="003B28E6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>
        <w:rPr>
          <w:lang w:val="en-US" w:eastAsia="ko-KR"/>
        </w:rPr>
        <w:t>Intra satellite neighbor cell measurement is needed</w:t>
      </w:r>
    </w:p>
    <w:p w14:paraId="78673731" w14:textId="53899D69" w:rsidR="003B28E6" w:rsidRPr="003B28E6" w:rsidRDefault="003B28E6" w:rsidP="003B28E6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>
        <w:rPr>
          <w:lang w:val="en-US" w:eastAsia="ko-KR"/>
        </w:rPr>
        <w:t>Same UE Rx beam is used for both serving and neighboring cells which belong to the same satellite (i.e., no Rx beam sweeping)</w:t>
      </w:r>
    </w:p>
    <w:p w14:paraId="64759AE4" w14:textId="77777777" w:rsidR="00ED0A3B" w:rsidRDefault="00ED0A3B" w:rsidP="00BA6526">
      <w:pPr>
        <w:pStyle w:val="a0"/>
        <w:jc w:val="both"/>
        <w:rPr>
          <w:lang w:val="en-US" w:eastAsia="ko-KR"/>
        </w:rPr>
      </w:pPr>
    </w:p>
    <w:p w14:paraId="4FC919B7" w14:textId="29321ADD" w:rsidR="00D04FFC" w:rsidRDefault="009C41DA" w:rsidP="00BA6526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RF session, </w:t>
      </w:r>
      <w:r>
        <w:rPr>
          <w:lang w:val="en-US" w:eastAsia="ko-KR"/>
        </w:rPr>
        <w:t xml:space="preserve">following principle for </w:t>
      </w:r>
      <w:r>
        <w:rPr>
          <w:rFonts w:hint="eastAsia"/>
          <w:lang w:val="en-US" w:eastAsia="ko-KR"/>
        </w:rPr>
        <w:t>beam pointing/accuracy related requirements</w:t>
      </w:r>
      <w:r>
        <w:rPr>
          <w:lang w:val="en-US" w:eastAsia="ko-KR"/>
        </w:rPr>
        <w:t xml:space="preserve"> for mobile VSAT and fixed VSAT has been agreed [3]. So, NTN UE for mobile VSAT and fixed VSAT should perform beam pointing for the satellite with specified accuracy.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729E" w14:paraId="16CD2244" w14:textId="77777777" w:rsidTr="0050729E">
        <w:tc>
          <w:tcPr>
            <w:tcW w:w="9855" w:type="dxa"/>
          </w:tcPr>
          <w:p w14:paraId="28647D1D" w14:textId="0DAB93AE" w:rsidR="00940B95" w:rsidRDefault="00940B95" w:rsidP="0050729E">
            <w:pPr>
              <w:rPr>
                <w:b/>
                <w:bCs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ko-KR"/>
              </w:rPr>
              <w:t>&lt;RF session&gt;</w:t>
            </w:r>
          </w:p>
          <w:p w14:paraId="059F3388" w14:textId="142E9A51" w:rsidR="0050729E" w:rsidRDefault="0050729E" w:rsidP="0050729E">
            <w:pPr>
              <w:rPr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Beam pointing/accuracy related requirements</w:t>
            </w:r>
          </w:p>
          <w:p w14:paraId="47889E81" w14:textId="77777777" w:rsidR="0050729E" w:rsidRPr="0050729E" w:rsidRDefault="0050729E" w:rsidP="0050729E">
            <w:pPr>
              <w:rPr>
                <w:lang w:val="en-US" w:eastAsia="zh-CN"/>
              </w:rPr>
            </w:pPr>
            <w:r w:rsidRPr="0050729E">
              <w:rPr>
                <w:rFonts w:hint="eastAsia"/>
                <w:highlight w:val="green"/>
                <w:lang w:val="en-US" w:eastAsia="zh-CN"/>
              </w:rPr>
              <w:t>Agreement:</w:t>
            </w:r>
          </w:p>
          <w:p w14:paraId="5F35A5BE" w14:textId="77777777" w:rsidR="0050729E" w:rsidRDefault="0050729E" w:rsidP="0050729E">
            <w:pPr>
              <w:pStyle w:val="ad"/>
              <w:ind w:leftChars="100" w:left="200" w:firstLine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mobile VSAT</w:t>
            </w:r>
          </w:p>
          <w:p w14:paraId="282453AD" w14:textId="77777777" w:rsidR="0050729E" w:rsidRDefault="0050729E" w:rsidP="0050729E">
            <w:pPr>
              <w:pStyle w:val="ad"/>
              <w:numPr>
                <w:ilvl w:val="1"/>
                <w:numId w:val="3"/>
              </w:numPr>
              <w:spacing w:line="259" w:lineRule="auto"/>
              <w:ind w:leftChars="0" w:left="1440"/>
              <w:jc w:val="both"/>
              <w:rPr>
                <w:rFonts w:eastAsia="SimSun"/>
                <w:lang w:eastAsia="fr-FR"/>
              </w:rPr>
            </w:pPr>
            <w:r>
              <w:rPr>
                <w:rFonts w:eastAsia="SimSun" w:hint="eastAsia"/>
                <w:lang w:eastAsia="fr-FR"/>
              </w:rPr>
              <w:t>RAN4 to specify NTN UE VSAT pointing accuracy based on manufacturer declaration. RAN4 to reuse the explanation from EN 303 978: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14AACBAC" w14:textId="77777777" w:rsidR="0050729E" w:rsidRDefault="0050729E" w:rsidP="0050729E">
            <w:pPr>
              <w:ind w:leftChars="800" w:left="160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“The applicant shall declare the peak pointing accuracy (</w:t>
            </w:r>
            <w:r>
              <w:rPr>
                <w:sz w:val="18"/>
                <w:szCs w:val="24"/>
              </w:rPr>
              <w:sym w:font="Symbol" w:char="F064"/>
            </w:r>
            <w:r>
              <w:rPr>
                <w:sz w:val="18"/>
                <w:szCs w:val="24"/>
              </w:rPr>
              <w:sym w:font="Symbol" w:char="F066"/>
            </w:r>
            <w:r>
              <w:rPr>
                <w:sz w:val="18"/>
                <w:szCs w:val="24"/>
              </w:rPr>
              <w:t>) and the associated statistical basis.</w:t>
            </w:r>
          </w:p>
          <w:p w14:paraId="77544552" w14:textId="77777777" w:rsidR="0050729E" w:rsidRDefault="0050729E" w:rsidP="0050729E">
            <w:pPr>
              <w:keepNext/>
              <w:ind w:leftChars="800" w:left="160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The antenna shall maintain the declared peak pointing accuracy (</w:t>
            </w:r>
            <w:r>
              <w:rPr>
                <w:sz w:val="18"/>
                <w:szCs w:val="24"/>
              </w:rPr>
              <w:sym w:font="Symbol" w:char="F064"/>
            </w:r>
            <w:r>
              <w:rPr>
                <w:sz w:val="18"/>
                <w:szCs w:val="24"/>
              </w:rPr>
              <w:sym w:font="Symbol" w:char="F066"/>
            </w:r>
            <w:r>
              <w:rPr>
                <w:sz w:val="18"/>
                <w:szCs w:val="24"/>
              </w:rPr>
              <w:t>), such that the off-axis EIRP emission density pattern projected onto the geostationary arc remains within the mask specified in clause [Total EIRP density specification] when shifted by an angle of ±(</w:t>
            </w:r>
            <w:r>
              <w:rPr>
                <w:sz w:val="18"/>
                <w:szCs w:val="24"/>
              </w:rPr>
              <w:sym w:font="Symbol" w:char="F064"/>
            </w:r>
            <w:r>
              <w:rPr>
                <w:sz w:val="18"/>
                <w:szCs w:val="24"/>
              </w:rPr>
              <w:sym w:font="Symbol" w:char="F066"/>
            </w:r>
            <w:r>
              <w:rPr>
                <w:sz w:val="18"/>
                <w:szCs w:val="24"/>
              </w:rPr>
              <w:t>°), taking into account the following factors:</w:t>
            </w:r>
          </w:p>
          <w:p w14:paraId="76F451B2" w14:textId="77777777" w:rsidR="0050729E" w:rsidRDefault="0050729E" w:rsidP="0050729E">
            <w:pPr>
              <w:pStyle w:val="B1"/>
              <w:spacing w:after="0" w:line="240" w:lineRule="auto"/>
              <w:ind w:leftChars="800" w:left="2053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the worst case operational environmental conditions;</w:t>
            </w:r>
          </w:p>
          <w:p w14:paraId="15EF240F" w14:textId="77777777" w:rsidR="0050729E" w:rsidRDefault="0050729E" w:rsidP="0050729E">
            <w:pPr>
              <w:pStyle w:val="B1"/>
              <w:spacing w:after="0" w:line="240" w:lineRule="auto"/>
              <w:ind w:leftChars="800" w:left="2053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maximum ESOMP dynamics; and</w:t>
            </w:r>
          </w:p>
          <w:p w14:paraId="124719CF" w14:textId="77777777" w:rsidR="0050729E" w:rsidRDefault="0050729E" w:rsidP="0050729E">
            <w:pPr>
              <w:pStyle w:val="B1"/>
              <w:spacing w:after="0" w:line="240" w:lineRule="auto"/>
              <w:ind w:leftChars="800" w:left="2053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the range of latitude, longitude and altitude relative to the satellite orbital position.”</w:t>
            </w:r>
          </w:p>
          <w:p w14:paraId="4CB5E32E" w14:textId="77777777" w:rsidR="0050729E" w:rsidRDefault="0050729E" w:rsidP="0050729E">
            <w:pPr>
              <w:pStyle w:val="ad"/>
              <w:ind w:leftChars="100" w:left="200" w:firstLine="400"/>
              <w:rPr>
                <w:lang w:val="en-US" w:eastAsia="fr-FR"/>
              </w:rPr>
            </w:pPr>
            <w:r>
              <w:rPr>
                <w:rFonts w:hint="eastAsia"/>
                <w:lang w:val="en-US" w:eastAsia="zh-CN"/>
              </w:rPr>
              <w:t>For fixed VSAT</w:t>
            </w:r>
          </w:p>
          <w:p w14:paraId="73942E9D" w14:textId="71654C86" w:rsidR="0050729E" w:rsidRPr="0050729E" w:rsidRDefault="0050729E" w:rsidP="00BA6526">
            <w:pPr>
              <w:pStyle w:val="ad"/>
              <w:numPr>
                <w:ilvl w:val="1"/>
                <w:numId w:val="3"/>
              </w:numPr>
              <w:spacing w:after="120" w:line="259" w:lineRule="auto"/>
              <w:ind w:leftChars="0" w:left="1440"/>
              <w:jc w:val="both"/>
              <w:rPr>
                <w:rFonts w:eastAsia="SimSun"/>
                <w:lang w:eastAsia="fr-FR"/>
              </w:rPr>
            </w:pPr>
            <w:r>
              <w:rPr>
                <w:rFonts w:eastAsia="SimSun" w:hint="eastAsia"/>
                <w:lang w:eastAsia="fr-FR"/>
              </w:rPr>
              <w:t>Proposal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fr-FR"/>
              </w:rPr>
              <w:t>3: RAN4 should specify antenna accuracy requirement for fixed VSAT, based on ETSI EN 301 360.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</w:tbl>
    <w:p w14:paraId="01931380" w14:textId="14D2EFD7" w:rsidR="00B24D03" w:rsidRDefault="006C0CEA" w:rsidP="00B7368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According to</w:t>
      </w:r>
      <w:r w:rsidR="009C41DA">
        <w:rPr>
          <w:lang w:val="en-US" w:eastAsia="ko-KR"/>
        </w:rPr>
        <w:t xml:space="preserve"> the agreements from RAN plenary and RF session, </w:t>
      </w:r>
      <w:r w:rsidRPr="006C0CEA">
        <w:rPr>
          <w:lang w:val="en-US" w:eastAsia="ko-KR"/>
        </w:rPr>
        <w:t>FR1 NTN requirement</w:t>
      </w:r>
      <w:r>
        <w:rPr>
          <w:lang w:val="en-US" w:eastAsia="ko-KR"/>
        </w:rPr>
        <w:t>s</w:t>
      </w:r>
      <w:r w:rsidRPr="006C0CEA">
        <w:rPr>
          <w:lang w:val="en-US" w:eastAsia="ko-KR"/>
        </w:rPr>
        <w:t xml:space="preserve"> except</w:t>
      </w:r>
      <w:r>
        <w:rPr>
          <w:lang w:val="en-US" w:eastAsia="ko-KR"/>
        </w:rPr>
        <w:t xml:space="preserve"> for</w:t>
      </w:r>
      <w:r w:rsidRPr="006C0CEA">
        <w:rPr>
          <w:lang w:val="en-US" w:eastAsia="ko-KR"/>
        </w:rPr>
        <w:t xml:space="preserve"> UL uplink timing accuracy</w:t>
      </w:r>
      <w:r>
        <w:rPr>
          <w:lang w:val="en-US" w:eastAsia="ko-KR"/>
        </w:rPr>
        <w:t xml:space="preserve"> can be reused. </w:t>
      </w:r>
      <w:r w:rsidR="003B327A">
        <w:rPr>
          <w:rFonts w:hint="eastAsia"/>
          <w:lang w:val="en-US" w:eastAsia="ko-KR"/>
        </w:rPr>
        <w:t xml:space="preserve">For </w:t>
      </w:r>
      <w:r w:rsidR="00447A84">
        <w:rPr>
          <w:lang w:val="en-US" w:eastAsia="ko-KR"/>
        </w:rPr>
        <w:t>h</w:t>
      </w:r>
      <w:r w:rsidR="003B327A">
        <w:rPr>
          <w:rFonts w:hint="eastAsia"/>
          <w:lang w:val="en-US" w:eastAsia="ko-KR"/>
        </w:rPr>
        <w:t>andover</w:t>
      </w:r>
      <w:r w:rsidR="00447A84">
        <w:rPr>
          <w:lang w:val="en-US" w:eastAsia="ko-KR"/>
        </w:rPr>
        <w:t xml:space="preserve"> requirements</w:t>
      </w:r>
      <w:r>
        <w:rPr>
          <w:lang w:val="en-US" w:eastAsia="ko-KR"/>
        </w:rPr>
        <w:t xml:space="preserve"> in inter satellite</w:t>
      </w:r>
      <w:r w:rsidR="003B327A"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since </w:t>
      </w:r>
      <w:r w:rsidR="00447A84">
        <w:rPr>
          <w:lang w:val="en-US" w:eastAsia="ko-KR"/>
        </w:rPr>
        <w:t xml:space="preserve">blind handover is considered, </w:t>
      </w:r>
      <w:r>
        <w:rPr>
          <w:lang w:val="en-US" w:eastAsia="ko-KR"/>
        </w:rPr>
        <w:t xml:space="preserve">no </w:t>
      </w:r>
      <w:r w:rsidR="00447A84">
        <w:rPr>
          <w:lang w:val="en-US" w:eastAsia="ko-KR"/>
        </w:rPr>
        <w:t>measurement</w:t>
      </w:r>
      <w:r>
        <w:rPr>
          <w:lang w:val="en-US" w:eastAsia="ko-KR"/>
        </w:rPr>
        <w:t xml:space="preserve"> of inter satellite is needed before blind handover is initiated.</w:t>
      </w:r>
      <w:r w:rsidR="00B73687">
        <w:rPr>
          <w:lang w:val="en-US" w:eastAsia="ko-KR"/>
        </w:rPr>
        <w:t xml:space="preserve"> However, exsting time or distance based condition should be considered for blind handover in NTN. </w:t>
      </w:r>
      <w:r w:rsidR="00447A84">
        <w:rPr>
          <w:lang w:val="en-US" w:eastAsia="ko-KR"/>
        </w:rPr>
        <w:t xml:space="preserve">Therefore, exsiting </w:t>
      </w:r>
      <w:r w:rsidR="008C70A2">
        <w:rPr>
          <w:lang w:val="en-US" w:eastAsia="ko-KR"/>
        </w:rPr>
        <w:t xml:space="preserve">conditional handover </w:t>
      </w:r>
      <w:r w:rsidR="00447A84">
        <w:rPr>
          <w:lang w:val="en-US" w:eastAsia="ko-KR"/>
        </w:rPr>
        <w:t xml:space="preserve">requirements </w:t>
      </w:r>
      <w:r w:rsidR="008C70A2">
        <w:rPr>
          <w:lang w:val="en-US" w:eastAsia="ko-KR"/>
        </w:rPr>
        <w:t>for FR1 NTN based on time/dista</w:t>
      </w:r>
      <w:r w:rsidR="00447A84">
        <w:rPr>
          <w:lang w:val="en-US" w:eastAsia="ko-KR"/>
        </w:rPr>
        <w:t xml:space="preserve">nce condition could be baseline </w:t>
      </w:r>
      <w:r w:rsidR="00B457E6">
        <w:rPr>
          <w:lang w:val="en-US" w:eastAsia="ko-KR"/>
        </w:rPr>
        <w:t>except for measurement time.</w:t>
      </w:r>
      <w:r w:rsidR="00B73687">
        <w:rPr>
          <w:lang w:val="en-US" w:eastAsia="ko-KR"/>
        </w:rPr>
        <w:t xml:space="preserve"> The difference with Type 1 UE is that Type 2 UE has longer beam steering time to target satellite when time or distance</w:t>
      </w:r>
      <w:r w:rsidR="000F44EB">
        <w:rPr>
          <w:lang w:val="en-US" w:eastAsia="ko-KR"/>
        </w:rPr>
        <w:t xml:space="preserve"> based </w:t>
      </w:r>
      <w:r w:rsidR="00B73687">
        <w:rPr>
          <w:lang w:val="en-US" w:eastAsia="ko-KR"/>
        </w:rPr>
        <w:t>condition is met</w:t>
      </w:r>
      <w:r w:rsidR="00BF6316">
        <w:rPr>
          <w:lang w:val="en-US" w:eastAsia="ko-KR"/>
        </w:rPr>
        <w:t xml:space="preserve">. The beam steering time should be included within handover interruption time, but the beam steering time </w:t>
      </w:r>
      <w:r w:rsidR="00FC557F">
        <w:rPr>
          <w:lang w:val="en-US" w:eastAsia="ko-KR"/>
        </w:rPr>
        <w:t>could</w:t>
      </w:r>
      <w:r w:rsidR="00BF6316">
        <w:rPr>
          <w:lang w:val="en-US" w:eastAsia="ko-KR"/>
        </w:rPr>
        <w:t xml:space="preserve"> vary by UE (device type)</w:t>
      </w:r>
      <w:r w:rsidR="009F5B82">
        <w:rPr>
          <w:lang w:val="en-US" w:eastAsia="ko-KR"/>
        </w:rPr>
        <w:t xml:space="preserve"> and degree of beam steering. RAN4 needs to discuss how to define beam s</w:t>
      </w:r>
      <w:r w:rsidR="000F44EB">
        <w:rPr>
          <w:lang w:val="en-US" w:eastAsia="ko-KR"/>
        </w:rPr>
        <w:t>teering time for handover interruption time.</w:t>
      </w:r>
    </w:p>
    <w:p w14:paraId="3E250A93" w14:textId="5C96C944" w:rsidR="00B457E6" w:rsidRDefault="00B457E6" w:rsidP="00B457E6">
      <w:pPr>
        <w:pStyle w:val="a0"/>
        <w:numPr>
          <w:ilvl w:val="0"/>
          <w:numId w:val="44"/>
        </w:numPr>
        <w:jc w:val="both"/>
        <w:rPr>
          <w:lang w:val="en-US" w:eastAsia="ko-KR"/>
        </w:rPr>
      </w:pPr>
      <w:r w:rsidRPr="00B457E6">
        <w:rPr>
          <w:b/>
          <w:i/>
          <w:lang w:val="en-US" w:eastAsia="ko-KR"/>
        </w:rPr>
        <w:t xml:space="preserve">Proposal </w:t>
      </w:r>
      <w:r w:rsidR="000F44EB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Exsiting time/distance based conditional handover reuqirements for FR1 NTN except for measurement time can be baseline for blind handover for Type </w:t>
      </w:r>
      <w:r w:rsidR="000F44EB">
        <w:rPr>
          <w:lang w:val="en-US" w:eastAsia="ko-KR"/>
        </w:rPr>
        <w:t>2 UE.</w:t>
      </w:r>
    </w:p>
    <w:p w14:paraId="515247BC" w14:textId="1AB2F118" w:rsidR="000F44EB" w:rsidRDefault="000F44EB" w:rsidP="00B457E6">
      <w:pPr>
        <w:pStyle w:val="a0"/>
        <w:numPr>
          <w:ilvl w:val="0"/>
          <w:numId w:val="44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0F44EB">
        <w:rPr>
          <w:lang w:val="en-US" w:eastAsia="ko-KR"/>
        </w:rPr>
        <w:t>:</w:t>
      </w:r>
      <w:r>
        <w:rPr>
          <w:lang w:val="en-US" w:eastAsia="ko-KR"/>
        </w:rPr>
        <w:t xml:space="preserve"> Add beam steering time to target satellite within blind handover interruption time, and FFS on beam steering time. </w:t>
      </w:r>
    </w:p>
    <w:p w14:paraId="2C8880E4" w14:textId="77777777" w:rsidR="008C1AF7" w:rsidRDefault="008C1AF7" w:rsidP="008C1AF7">
      <w:pPr>
        <w:pStyle w:val="a0"/>
        <w:jc w:val="both"/>
        <w:rPr>
          <w:lang w:val="en-US" w:eastAsia="ko-KR"/>
        </w:rPr>
      </w:pPr>
    </w:p>
    <w:p w14:paraId="7164B161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14:paraId="3EF5CBBA" w14:textId="039CDDD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11E12">
        <w:rPr>
          <w:lang w:val="en-US" w:eastAsia="ko-KR"/>
        </w:rPr>
        <w:t xml:space="preserve">our </w:t>
      </w:r>
      <w:r w:rsidR="00B457E6">
        <w:rPr>
          <w:lang w:val="en-US" w:eastAsia="ko-KR"/>
        </w:rPr>
        <w:t xml:space="preserve">views on </w:t>
      </w:r>
      <w:r w:rsidR="00B457E6" w:rsidRPr="00430AC9">
        <w:rPr>
          <w:lang w:val="en-US" w:eastAsia="ko-KR"/>
        </w:rPr>
        <w:t>RRM requirements</w:t>
      </w:r>
      <w:r w:rsidR="00B457E6">
        <w:rPr>
          <w:lang w:val="en-US" w:eastAsia="ko-KR"/>
        </w:rPr>
        <w:t xml:space="preserve"> for Type </w:t>
      </w:r>
      <w:r w:rsidR="00CC0CCC">
        <w:rPr>
          <w:lang w:val="en-US" w:eastAsia="ko-KR"/>
        </w:rPr>
        <w:t>2</w:t>
      </w:r>
      <w:r w:rsidR="00B457E6">
        <w:rPr>
          <w:lang w:val="en-US" w:eastAsia="ko-KR"/>
        </w:rPr>
        <w:t xml:space="preserve"> NR NTN UE which has electronically-steered beams in above 10GHz bands (Ka band) operations</w:t>
      </w:r>
      <w:r w:rsidR="00A116EB">
        <w:rPr>
          <w:lang w:val="en-US" w:eastAsia="ko-KR"/>
        </w:rPr>
        <w:t>, and we propose</w:t>
      </w:r>
    </w:p>
    <w:p w14:paraId="275AE9FD" w14:textId="77777777" w:rsidR="000F44EB" w:rsidRDefault="000F44EB" w:rsidP="000F44EB">
      <w:pPr>
        <w:pStyle w:val="a0"/>
        <w:numPr>
          <w:ilvl w:val="0"/>
          <w:numId w:val="44"/>
        </w:numPr>
        <w:jc w:val="both"/>
        <w:rPr>
          <w:lang w:val="en-US" w:eastAsia="ko-KR"/>
        </w:rPr>
      </w:pPr>
      <w:r w:rsidRPr="00B457E6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Exsiting time/distance based conditional handover reuqirements for FR1 NTN except for measurement time can be baseline for blind handover for Type 2 UE.</w:t>
      </w:r>
    </w:p>
    <w:p w14:paraId="1C53844B" w14:textId="77777777" w:rsidR="00A606A2" w:rsidRDefault="00A606A2" w:rsidP="00A606A2">
      <w:pPr>
        <w:pStyle w:val="a0"/>
        <w:numPr>
          <w:ilvl w:val="0"/>
          <w:numId w:val="44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0F44EB">
        <w:rPr>
          <w:lang w:val="en-US" w:eastAsia="ko-KR"/>
        </w:rPr>
        <w:t>:</w:t>
      </w:r>
      <w:r>
        <w:rPr>
          <w:lang w:val="en-US" w:eastAsia="ko-KR"/>
        </w:rPr>
        <w:t xml:space="preserve"> Add beam steering time to target satellite within blind handover interruption time, and FFS on beam steering time. </w:t>
      </w:r>
    </w:p>
    <w:p w14:paraId="5E25323B" w14:textId="77777777" w:rsidR="004E08EF" w:rsidRPr="00A606A2" w:rsidRDefault="004E08EF" w:rsidP="003F345F">
      <w:pPr>
        <w:pStyle w:val="a0"/>
        <w:jc w:val="both"/>
        <w:rPr>
          <w:lang w:val="en-US"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C8CA79A" w14:textId="34EF819C" w:rsidR="008F2895" w:rsidRDefault="00752799" w:rsidP="004E08EF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CD111D" w:rsidRPr="00CD111D">
        <w:rPr>
          <w:lang w:val="en-US" w:eastAsia="ko-KR"/>
        </w:rPr>
        <w:t>R4-2314447</w:t>
      </w:r>
      <w:r w:rsidR="008F2895">
        <w:rPr>
          <w:lang w:val="en-US" w:eastAsia="ko-KR"/>
        </w:rPr>
        <w:t>, “</w:t>
      </w:r>
      <w:r w:rsidR="00CD111D" w:rsidRPr="00CD111D">
        <w:rPr>
          <w:lang w:val="en-US" w:eastAsia="ko-KR"/>
        </w:rPr>
        <w:t>WF on R18 NR NTN RRM requirements</w:t>
      </w:r>
      <w:r w:rsidR="008F2895">
        <w:rPr>
          <w:lang w:val="en-US" w:eastAsia="ko-KR"/>
        </w:rPr>
        <w:t xml:space="preserve">,” </w:t>
      </w:r>
      <w:r w:rsidR="00CD111D">
        <w:rPr>
          <w:lang w:val="en-US" w:eastAsia="ko-KR"/>
        </w:rPr>
        <w:t>Qualcomm Incorporated.</w:t>
      </w:r>
    </w:p>
    <w:p w14:paraId="77319536" w14:textId="0EDACEC6" w:rsidR="003B28E6" w:rsidRDefault="003B28E6" w:rsidP="004E08E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CD111D">
        <w:rPr>
          <w:lang w:val="en-US" w:eastAsia="ko-KR"/>
        </w:rPr>
        <w:t>R</w:t>
      </w:r>
      <w:r>
        <w:rPr>
          <w:lang w:val="en-US" w:eastAsia="ko-KR"/>
        </w:rPr>
        <w:t>P</w:t>
      </w:r>
      <w:r w:rsidRPr="00CD111D">
        <w:rPr>
          <w:lang w:val="en-US" w:eastAsia="ko-KR"/>
        </w:rPr>
        <w:t>-</w:t>
      </w:r>
      <w:r>
        <w:rPr>
          <w:lang w:val="en-US" w:eastAsia="ko-KR"/>
        </w:rPr>
        <w:t>232694, “</w:t>
      </w:r>
      <w:r w:rsidRPr="003B28E6">
        <w:rPr>
          <w:lang w:val="en-US" w:eastAsia="ko-KR"/>
        </w:rPr>
        <w:t>WF on potential RRM objectives for NR-NTN deployment in above 10 GHz (NR-NTN-enh WID)</w:t>
      </w:r>
      <w:r>
        <w:rPr>
          <w:lang w:val="en-US" w:eastAsia="ko-KR"/>
        </w:rPr>
        <w:t>,” Thales</w:t>
      </w:r>
      <w:r w:rsidR="0050729E">
        <w:rPr>
          <w:lang w:val="en-US" w:eastAsia="ko-KR"/>
        </w:rPr>
        <w:t>.</w:t>
      </w:r>
    </w:p>
    <w:p w14:paraId="5C9F164C" w14:textId="312C62E6" w:rsidR="0050729E" w:rsidRDefault="0050729E" w:rsidP="004E08E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[3] </w:t>
      </w:r>
      <w:r w:rsidRPr="0050729E">
        <w:rPr>
          <w:lang w:val="en-US" w:eastAsia="ko-KR"/>
        </w:rPr>
        <w:t>R4-2314934</w:t>
      </w:r>
      <w:r>
        <w:rPr>
          <w:lang w:val="en-US" w:eastAsia="ko-KR"/>
        </w:rPr>
        <w:t>, “</w:t>
      </w:r>
      <w:r w:rsidRPr="0050729E">
        <w:rPr>
          <w:lang w:val="en-US" w:eastAsia="ko-KR"/>
        </w:rPr>
        <w:t>WF on UE RF requirements for NR NTN</w:t>
      </w:r>
      <w:r>
        <w:rPr>
          <w:lang w:val="en-US" w:eastAsia="ko-KR"/>
        </w:rPr>
        <w:t>,” ZTE Corporation, Samsung.</w:t>
      </w:r>
    </w:p>
    <w:sectPr w:rsidR="0050729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C0A26" w14:textId="77777777" w:rsidR="00E33D1F" w:rsidRDefault="00E33D1F" w:rsidP="00D306DF">
      <w:r>
        <w:separator/>
      </w:r>
    </w:p>
  </w:endnote>
  <w:endnote w:type="continuationSeparator" w:id="0">
    <w:p w14:paraId="4E0774D2" w14:textId="77777777" w:rsidR="00E33D1F" w:rsidRDefault="00E33D1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DF903" w14:textId="77777777" w:rsidR="00E33D1F" w:rsidRDefault="00E33D1F" w:rsidP="00D306DF">
      <w:r>
        <w:separator/>
      </w:r>
    </w:p>
  </w:footnote>
  <w:footnote w:type="continuationSeparator" w:id="0">
    <w:p w14:paraId="0266B1DB" w14:textId="77777777" w:rsidR="00E33D1F" w:rsidRDefault="00E33D1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9pt;height:12.9pt" o:bullet="t">
        <v:imagedata r:id="rId1" o:title="artF6B5"/>
      </v:shape>
    </w:pict>
  </w:numPicBullet>
  <w:numPicBullet w:numPicBulletId="1">
    <w:pict>
      <v:shape id="_x0000_i1029" type="#_x0000_t75" style="width:12.9pt;height:12.9pt" o:bullet="t">
        <v:imagedata r:id="rId2" o:title="artB97C"/>
      </v:shape>
    </w:pict>
  </w:numPicBullet>
  <w:abstractNum w:abstractNumId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FFFFF7F"/>
    <w:multiLevelType w:val="singleLevel"/>
    <w:tmpl w:val="9C3C48B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3">
    <w:nsid w:val="03B60297"/>
    <w:multiLevelType w:val="hybridMultilevel"/>
    <w:tmpl w:val="35708E90"/>
    <w:lvl w:ilvl="0" w:tplc="1E4807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9E8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637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ED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0D5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0B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B5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4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417128B"/>
    <w:multiLevelType w:val="hybridMultilevel"/>
    <w:tmpl w:val="127692B2"/>
    <w:lvl w:ilvl="0" w:tplc="3E4E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899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467D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C15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2A6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3E9E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D26D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62C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88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0400E1"/>
    <w:multiLevelType w:val="hybridMultilevel"/>
    <w:tmpl w:val="C8A29B1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0CB355E"/>
    <w:multiLevelType w:val="hybridMultilevel"/>
    <w:tmpl w:val="1CA2DFCC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41A32CF"/>
    <w:multiLevelType w:val="hybridMultilevel"/>
    <w:tmpl w:val="E904E6B2"/>
    <w:lvl w:ilvl="0" w:tplc="D88AE1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2A12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BE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8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19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E7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4FE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4F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4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BA5A34"/>
    <w:multiLevelType w:val="hybridMultilevel"/>
    <w:tmpl w:val="6792ED5A"/>
    <w:lvl w:ilvl="0" w:tplc="1340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884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03E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6B0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C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48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A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EF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0E32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C12713A"/>
    <w:multiLevelType w:val="hybridMultilevel"/>
    <w:tmpl w:val="3442556C"/>
    <w:lvl w:ilvl="0" w:tplc="8A2A00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C81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072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87C2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C6D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CE89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C6F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7EFCD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C29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C56FA7"/>
    <w:multiLevelType w:val="hybridMultilevel"/>
    <w:tmpl w:val="DE2CC5F2"/>
    <w:lvl w:ilvl="0" w:tplc="9C2244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4456ED1"/>
    <w:multiLevelType w:val="hybridMultilevel"/>
    <w:tmpl w:val="15DE365A"/>
    <w:lvl w:ilvl="0" w:tplc="72140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63C1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0C1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F4AA4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2A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7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2DD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6CD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E881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F46105"/>
    <w:multiLevelType w:val="hybridMultilevel"/>
    <w:tmpl w:val="361AD99C"/>
    <w:lvl w:ilvl="0" w:tplc="644C2D7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BCC44B8"/>
    <w:multiLevelType w:val="hybridMultilevel"/>
    <w:tmpl w:val="312E05F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1911F21"/>
    <w:multiLevelType w:val="hybridMultilevel"/>
    <w:tmpl w:val="D68AF874"/>
    <w:lvl w:ilvl="0" w:tplc="FDB6E4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DEBCD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04CC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A1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C6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C5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99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C04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48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8466BC"/>
    <w:multiLevelType w:val="hybridMultilevel"/>
    <w:tmpl w:val="09986052"/>
    <w:lvl w:ilvl="0" w:tplc="AE5A544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E5C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6A7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ECF456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D2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0E3F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EB11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DFE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0F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EC5E02"/>
    <w:multiLevelType w:val="hybridMultilevel"/>
    <w:tmpl w:val="9EDAA078"/>
    <w:lvl w:ilvl="0" w:tplc="B3DA49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CD7A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2E2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AE4B4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60CD4"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F2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8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2933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EFD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232657F"/>
    <w:multiLevelType w:val="hybridMultilevel"/>
    <w:tmpl w:val="0A26B24E"/>
    <w:lvl w:ilvl="0" w:tplc="E68E79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EF5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2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EF25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8892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6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8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33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3">
    <w:nsid w:val="694E2501"/>
    <w:multiLevelType w:val="hybridMultilevel"/>
    <w:tmpl w:val="D4B837E8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D59486F"/>
    <w:multiLevelType w:val="hybridMultilevel"/>
    <w:tmpl w:val="0C36D62E"/>
    <w:lvl w:ilvl="0" w:tplc="4BB85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21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8BB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EB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A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A4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42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E2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A2103BC"/>
    <w:multiLevelType w:val="hybridMultilevel"/>
    <w:tmpl w:val="22BE3250"/>
    <w:lvl w:ilvl="0" w:tplc="684ECD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617542"/>
    <w:multiLevelType w:val="hybridMultilevel"/>
    <w:tmpl w:val="DC0C56F8"/>
    <w:lvl w:ilvl="0" w:tplc="4BB855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F9D0B1A"/>
    <w:multiLevelType w:val="hybridMultilevel"/>
    <w:tmpl w:val="2AD247A0"/>
    <w:lvl w:ilvl="0" w:tplc="26B42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A6D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084B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E1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2CC1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AADB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E2C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8FB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28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7"/>
  </w:num>
  <w:num w:numId="4">
    <w:abstractNumId w:val="19"/>
  </w:num>
  <w:num w:numId="5">
    <w:abstractNumId w:val="13"/>
  </w:num>
  <w:num w:numId="6">
    <w:abstractNumId w:val="28"/>
  </w:num>
  <w:num w:numId="7">
    <w:abstractNumId w:val="25"/>
  </w:num>
  <w:num w:numId="8">
    <w:abstractNumId w:val="2"/>
  </w:num>
  <w:num w:numId="9">
    <w:abstractNumId w:val="37"/>
  </w:num>
  <w:num w:numId="10">
    <w:abstractNumId w:val="7"/>
  </w:num>
  <w:num w:numId="11">
    <w:abstractNumId w:val="31"/>
  </w:num>
  <w:num w:numId="12">
    <w:abstractNumId w:val="35"/>
  </w:num>
  <w:num w:numId="13">
    <w:abstractNumId w:val="18"/>
  </w:num>
  <w:num w:numId="14">
    <w:abstractNumId w:val="29"/>
  </w:num>
  <w:num w:numId="15">
    <w:abstractNumId w:val="22"/>
  </w:num>
  <w:num w:numId="16">
    <w:abstractNumId w:val="15"/>
  </w:num>
  <w:num w:numId="17">
    <w:abstractNumId w:val="38"/>
  </w:num>
  <w:num w:numId="18">
    <w:abstractNumId w:val="14"/>
  </w:num>
  <w:num w:numId="19">
    <w:abstractNumId w:val="3"/>
  </w:num>
  <w:num w:numId="20">
    <w:abstractNumId w:val="21"/>
  </w:num>
  <w:num w:numId="21">
    <w:abstractNumId w:val="11"/>
  </w:num>
  <w:num w:numId="22">
    <w:abstractNumId w:val="23"/>
  </w:num>
  <w:num w:numId="23">
    <w:abstractNumId w:val="33"/>
  </w:num>
  <w:num w:numId="24">
    <w:abstractNumId w:val="4"/>
  </w:num>
  <w:num w:numId="25">
    <w:abstractNumId w:val="9"/>
  </w:num>
  <w:num w:numId="26">
    <w:abstractNumId w:val="40"/>
  </w:num>
  <w:num w:numId="27">
    <w:abstractNumId w:val="0"/>
  </w:num>
  <w:num w:numId="28">
    <w:abstractNumId w:val="36"/>
  </w:num>
  <w:num w:numId="29">
    <w:abstractNumId w:val="24"/>
  </w:num>
  <w:num w:numId="30">
    <w:abstractNumId w:val="26"/>
  </w:num>
  <w:num w:numId="31">
    <w:abstractNumId w:val="30"/>
  </w:num>
  <w:num w:numId="32">
    <w:abstractNumId w:val="5"/>
  </w:num>
  <w:num w:numId="33">
    <w:abstractNumId w:val="17"/>
  </w:num>
  <w:num w:numId="34">
    <w:abstractNumId w:val="12"/>
  </w:num>
  <w:num w:numId="35">
    <w:abstractNumId w:val="14"/>
  </w:num>
  <w:num w:numId="36">
    <w:abstractNumId w:val="14"/>
  </w:num>
  <w:num w:numId="37">
    <w:abstractNumId w:val="32"/>
  </w:num>
  <w:num w:numId="38">
    <w:abstractNumId w:val="34"/>
  </w:num>
  <w:num w:numId="39">
    <w:abstractNumId w:val="8"/>
  </w:num>
  <w:num w:numId="40">
    <w:abstractNumId w:val="1"/>
  </w:num>
  <w:num w:numId="41">
    <w:abstractNumId w:val="16"/>
  </w:num>
  <w:num w:numId="42">
    <w:abstractNumId w:val="39"/>
  </w:num>
  <w:num w:numId="43">
    <w:abstractNumId w:val="10"/>
  </w:num>
  <w:num w:numId="4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977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37C5"/>
    <w:rsid w:val="00035083"/>
    <w:rsid w:val="000354A3"/>
    <w:rsid w:val="0003565F"/>
    <w:rsid w:val="0003610D"/>
    <w:rsid w:val="000364E6"/>
    <w:rsid w:val="00037E2B"/>
    <w:rsid w:val="00037F11"/>
    <w:rsid w:val="00041C66"/>
    <w:rsid w:val="0004237D"/>
    <w:rsid w:val="000423F6"/>
    <w:rsid w:val="0004331C"/>
    <w:rsid w:val="00043ED1"/>
    <w:rsid w:val="00044DAD"/>
    <w:rsid w:val="00045548"/>
    <w:rsid w:val="00045742"/>
    <w:rsid w:val="000459FB"/>
    <w:rsid w:val="00046E4F"/>
    <w:rsid w:val="00047D2C"/>
    <w:rsid w:val="00050D92"/>
    <w:rsid w:val="000514DB"/>
    <w:rsid w:val="00052264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1E8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682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11F3"/>
    <w:rsid w:val="000C142D"/>
    <w:rsid w:val="000C15D6"/>
    <w:rsid w:val="000C1B7F"/>
    <w:rsid w:val="000C62E1"/>
    <w:rsid w:val="000C71C8"/>
    <w:rsid w:val="000C79D4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74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F97"/>
    <w:rsid w:val="000F1FFD"/>
    <w:rsid w:val="000F3193"/>
    <w:rsid w:val="000F37FB"/>
    <w:rsid w:val="000F44EB"/>
    <w:rsid w:val="000F6274"/>
    <w:rsid w:val="000F659A"/>
    <w:rsid w:val="000F665D"/>
    <w:rsid w:val="000F696C"/>
    <w:rsid w:val="000F6B9B"/>
    <w:rsid w:val="000F6E61"/>
    <w:rsid w:val="001004C5"/>
    <w:rsid w:val="0010061A"/>
    <w:rsid w:val="0010118F"/>
    <w:rsid w:val="00103197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2AD5"/>
    <w:rsid w:val="001547D0"/>
    <w:rsid w:val="001566ED"/>
    <w:rsid w:val="00156EC3"/>
    <w:rsid w:val="00157B92"/>
    <w:rsid w:val="0016078B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5381"/>
    <w:rsid w:val="0017611B"/>
    <w:rsid w:val="00177ACA"/>
    <w:rsid w:val="00180586"/>
    <w:rsid w:val="00181F52"/>
    <w:rsid w:val="00182C2C"/>
    <w:rsid w:val="00183372"/>
    <w:rsid w:val="001839C8"/>
    <w:rsid w:val="00183F83"/>
    <w:rsid w:val="001879C7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3C99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0CF9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2137"/>
    <w:rsid w:val="00222523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905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2A5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3F9A"/>
    <w:rsid w:val="00254A3D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0C0E"/>
    <w:rsid w:val="00283068"/>
    <w:rsid w:val="0028373B"/>
    <w:rsid w:val="0028378D"/>
    <w:rsid w:val="002838AD"/>
    <w:rsid w:val="00283E4A"/>
    <w:rsid w:val="0028430C"/>
    <w:rsid w:val="00284C2E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9FC"/>
    <w:rsid w:val="002A2DD0"/>
    <w:rsid w:val="002A2ED2"/>
    <w:rsid w:val="002A396A"/>
    <w:rsid w:val="002A3BBA"/>
    <w:rsid w:val="002A4B6E"/>
    <w:rsid w:val="002A5400"/>
    <w:rsid w:val="002A70CD"/>
    <w:rsid w:val="002A780A"/>
    <w:rsid w:val="002B0A8B"/>
    <w:rsid w:val="002B2632"/>
    <w:rsid w:val="002B27D0"/>
    <w:rsid w:val="002B2D20"/>
    <w:rsid w:val="002B38C9"/>
    <w:rsid w:val="002B445A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C78C9"/>
    <w:rsid w:val="002D2149"/>
    <w:rsid w:val="002D2EC5"/>
    <w:rsid w:val="002D3290"/>
    <w:rsid w:val="002D32BD"/>
    <w:rsid w:val="002D41FF"/>
    <w:rsid w:val="002D4249"/>
    <w:rsid w:val="002D43CC"/>
    <w:rsid w:val="002D46F5"/>
    <w:rsid w:val="002D58FC"/>
    <w:rsid w:val="002D5FB2"/>
    <w:rsid w:val="002D6E17"/>
    <w:rsid w:val="002D74DD"/>
    <w:rsid w:val="002D79B1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1A59"/>
    <w:rsid w:val="002F304F"/>
    <w:rsid w:val="002F42A0"/>
    <w:rsid w:val="002F4599"/>
    <w:rsid w:val="002F5748"/>
    <w:rsid w:val="002F6BB2"/>
    <w:rsid w:val="002F7658"/>
    <w:rsid w:val="0030003A"/>
    <w:rsid w:val="00300E47"/>
    <w:rsid w:val="00301C60"/>
    <w:rsid w:val="00302DDB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2509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527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1D2"/>
    <w:rsid w:val="003A6C11"/>
    <w:rsid w:val="003A70C8"/>
    <w:rsid w:val="003B1B55"/>
    <w:rsid w:val="003B209D"/>
    <w:rsid w:val="003B25CC"/>
    <w:rsid w:val="003B28E6"/>
    <w:rsid w:val="003B2C73"/>
    <w:rsid w:val="003B2DB8"/>
    <w:rsid w:val="003B3224"/>
    <w:rsid w:val="003B327A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535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AC9"/>
    <w:rsid w:val="00430D44"/>
    <w:rsid w:val="004311A1"/>
    <w:rsid w:val="004314AF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A84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4BB1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2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97159"/>
    <w:rsid w:val="004A06BF"/>
    <w:rsid w:val="004A16CD"/>
    <w:rsid w:val="004A3660"/>
    <w:rsid w:val="004A40C6"/>
    <w:rsid w:val="004A5B9D"/>
    <w:rsid w:val="004A61DC"/>
    <w:rsid w:val="004B0607"/>
    <w:rsid w:val="004B0A42"/>
    <w:rsid w:val="004B1DC5"/>
    <w:rsid w:val="004B2651"/>
    <w:rsid w:val="004B2AF8"/>
    <w:rsid w:val="004B30AF"/>
    <w:rsid w:val="004B338D"/>
    <w:rsid w:val="004B49AE"/>
    <w:rsid w:val="004B4BBD"/>
    <w:rsid w:val="004B5719"/>
    <w:rsid w:val="004B5744"/>
    <w:rsid w:val="004B651B"/>
    <w:rsid w:val="004B702F"/>
    <w:rsid w:val="004B71F2"/>
    <w:rsid w:val="004B7473"/>
    <w:rsid w:val="004B798E"/>
    <w:rsid w:val="004C0CC5"/>
    <w:rsid w:val="004C1DC1"/>
    <w:rsid w:val="004C42C8"/>
    <w:rsid w:val="004C56BA"/>
    <w:rsid w:val="004C6282"/>
    <w:rsid w:val="004C65F5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398D"/>
    <w:rsid w:val="004E4265"/>
    <w:rsid w:val="004E44AA"/>
    <w:rsid w:val="004E485C"/>
    <w:rsid w:val="004E4D11"/>
    <w:rsid w:val="004E556B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0729E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22C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6674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CB4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3BA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5A2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08E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10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1C70"/>
    <w:rsid w:val="00643914"/>
    <w:rsid w:val="00644ABF"/>
    <w:rsid w:val="0064686E"/>
    <w:rsid w:val="00646E27"/>
    <w:rsid w:val="00647BD5"/>
    <w:rsid w:val="00650A17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67FA9"/>
    <w:rsid w:val="006717D7"/>
    <w:rsid w:val="0067203F"/>
    <w:rsid w:val="006746DD"/>
    <w:rsid w:val="006757C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26AD"/>
    <w:rsid w:val="006931B0"/>
    <w:rsid w:val="00693268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D53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CE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6668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545E"/>
    <w:rsid w:val="006F750C"/>
    <w:rsid w:val="006F7562"/>
    <w:rsid w:val="00700A2E"/>
    <w:rsid w:val="0070110D"/>
    <w:rsid w:val="0070143E"/>
    <w:rsid w:val="007022B4"/>
    <w:rsid w:val="007043CE"/>
    <w:rsid w:val="00704B93"/>
    <w:rsid w:val="007060E3"/>
    <w:rsid w:val="00710705"/>
    <w:rsid w:val="00710ECD"/>
    <w:rsid w:val="00711095"/>
    <w:rsid w:val="0071117C"/>
    <w:rsid w:val="00712F60"/>
    <w:rsid w:val="00713187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03B4"/>
    <w:rsid w:val="0073142C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9AC"/>
    <w:rsid w:val="0074385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8AA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B5C30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995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823"/>
    <w:rsid w:val="00814D44"/>
    <w:rsid w:val="00816DB0"/>
    <w:rsid w:val="008207AD"/>
    <w:rsid w:val="0082080F"/>
    <w:rsid w:val="008217E5"/>
    <w:rsid w:val="00821A12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3818"/>
    <w:rsid w:val="008446B1"/>
    <w:rsid w:val="0084688F"/>
    <w:rsid w:val="00846A9D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7005E"/>
    <w:rsid w:val="008711BD"/>
    <w:rsid w:val="00871365"/>
    <w:rsid w:val="0087171A"/>
    <w:rsid w:val="0087423A"/>
    <w:rsid w:val="00874AE4"/>
    <w:rsid w:val="00874B2F"/>
    <w:rsid w:val="0087549D"/>
    <w:rsid w:val="00876007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1AF7"/>
    <w:rsid w:val="008C4B9C"/>
    <w:rsid w:val="008C627A"/>
    <w:rsid w:val="008C70A2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4C69"/>
    <w:rsid w:val="008D53BF"/>
    <w:rsid w:val="008D6D66"/>
    <w:rsid w:val="008D6E4E"/>
    <w:rsid w:val="008D7F47"/>
    <w:rsid w:val="008E00E6"/>
    <w:rsid w:val="008E05EA"/>
    <w:rsid w:val="008E05F5"/>
    <w:rsid w:val="008E0A0C"/>
    <w:rsid w:val="008E25D1"/>
    <w:rsid w:val="008E3E85"/>
    <w:rsid w:val="008E43ED"/>
    <w:rsid w:val="008E6039"/>
    <w:rsid w:val="008E67B7"/>
    <w:rsid w:val="008E779F"/>
    <w:rsid w:val="008F0658"/>
    <w:rsid w:val="008F102C"/>
    <w:rsid w:val="008F1796"/>
    <w:rsid w:val="008F2895"/>
    <w:rsid w:val="008F3622"/>
    <w:rsid w:val="008F44F6"/>
    <w:rsid w:val="008F4601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B95"/>
    <w:rsid w:val="00940F6D"/>
    <w:rsid w:val="00941813"/>
    <w:rsid w:val="00941D1C"/>
    <w:rsid w:val="0094372D"/>
    <w:rsid w:val="00943879"/>
    <w:rsid w:val="00943AD8"/>
    <w:rsid w:val="009444AC"/>
    <w:rsid w:val="00945184"/>
    <w:rsid w:val="0094568C"/>
    <w:rsid w:val="00946585"/>
    <w:rsid w:val="009467F1"/>
    <w:rsid w:val="00946D70"/>
    <w:rsid w:val="009473D0"/>
    <w:rsid w:val="009478CA"/>
    <w:rsid w:val="00950642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2258"/>
    <w:rsid w:val="009940BB"/>
    <w:rsid w:val="00994AF3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3298"/>
    <w:rsid w:val="009B4228"/>
    <w:rsid w:val="009B4345"/>
    <w:rsid w:val="009B5077"/>
    <w:rsid w:val="009B6DF2"/>
    <w:rsid w:val="009B730C"/>
    <w:rsid w:val="009B76B5"/>
    <w:rsid w:val="009C0C6F"/>
    <w:rsid w:val="009C127A"/>
    <w:rsid w:val="009C19F6"/>
    <w:rsid w:val="009C1D33"/>
    <w:rsid w:val="009C2954"/>
    <w:rsid w:val="009C2EB5"/>
    <w:rsid w:val="009C2EC1"/>
    <w:rsid w:val="009C41DA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1BC5"/>
    <w:rsid w:val="009D28AB"/>
    <w:rsid w:val="009D379D"/>
    <w:rsid w:val="009D4A0D"/>
    <w:rsid w:val="009D4C4E"/>
    <w:rsid w:val="009D5ABF"/>
    <w:rsid w:val="009D742C"/>
    <w:rsid w:val="009E0213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B82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255E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90B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6A2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8BA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03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57E6"/>
    <w:rsid w:val="00B46423"/>
    <w:rsid w:val="00B46A0C"/>
    <w:rsid w:val="00B46FC6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70A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687"/>
    <w:rsid w:val="00B73CC6"/>
    <w:rsid w:val="00B744BC"/>
    <w:rsid w:val="00B75020"/>
    <w:rsid w:val="00B752F8"/>
    <w:rsid w:val="00B76F33"/>
    <w:rsid w:val="00B7715C"/>
    <w:rsid w:val="00B7754D"/>
    <w:rsid w:val="00B776F2"/>
    <w:rsid w:val="00B81324"/>
    <w:rsid w:val="00B81CE1"/>
    <w:rsid w:val="00B826B6"/>
    <w:rsid w:val="00B82F81"/>
    <w:rsid w:val="00B856AE"/>
    <w:rsid w:val="00B85F82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6526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E7068"/>
    <w:rsid w:val="00BE70A2"/>
    <w:rsid w:val="00BF02F3"/>
    <w:rsid w:val="00BF1CF2"/>
    <w:rsid w:val="00BF1D46"/>
    <w:rsid w:val="00BF4117"/>
    <w:rsid w:val="00BF41BE"/>
    <w:rsid w:val="00BF4550"/>
    <w:rsid w:val="00BF6304"/>
    <w:rsid w:val="00BF6316"/>
    <w:rsid w:val="00BF7045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C3F"/>
    <w:rsid w:val="00C53DC8"/>
    <w:rsid w:val="00C54915"/>
    <w:rsid w:val="00C54FDE"/>
    <w:rsid w:val="00C55D9A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717"/>
    <w:rsid w:val="00C83E7F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CCC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111D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114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D2A"/>
    <w:rsid w:val="00CF752D"/>
    <w:rsid w:val="00D00E71"/>
    <w:rsid w:val="00D00FC6"/>
    <w:rsid w:val="00D0113C"/>
    <w:rsid w:val="00D031C8"/>
    <w:rsid w:val="00D033F9"/>
    <w:rsid w:val="00D04ECE"/>
    <w:rsid w:val="00D04FFC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486"/>
    <w:rsid w:val="00D13AE1"/>
    <w:rsid w:val="00D14705"/>
    <w:rsid w:val="00D16294"/>
    <w:rsid w:val="00D17124"/>
    <w:rsid w:val="00D175DC"/>
    <w:rsid w:val="00D17D76"/>
    <w:rsid w:val="00D20F57"/>
    <w:rsid w:val="00D2178D"/>
    <w:rsid w:val="00D21831"/>
    <w:rsid w:val="00D21FEC"/>
    <w:rsid w:val="00D22765"/>
    <w:rsid w:val="00D22BF0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72C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004B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533"/>
    <w:rsid w:val="00D73C02"/>
    <w:rsid w:val="00D742AB"/>
    <w:rsid w:val="00D7540F"/>
    <w:rsid w:val="00D7568E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BFC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5D3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1C40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3D1F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989"/>
    <w:rsid w:val="00E622EF"/>
    <w:rsid w:val="00E62AAA"/>
    <w:rsid w:val="00E63FBE"/>
    <w:rsid w:val="00E641F4"/>
    <w:rsid w:val="00E662E0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20F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A3B"/>
    <w:rsid w:val="00ED0C00"/>
    <w:rsid w:val="00ED1808"/>
    <w:rsid w:val="00ED2181"/>
    <w:rsid w:val="00ED34DB"/>
    <w:rsid w:val="00ED392A"/>
    <w:rsid w:val="00ED43FB"/>
    <w:rsid w:val="00ED5473"/>
    <w:rsid w:val="00ED5BC7"/>
    <w:rsid w:val="00ED6451"/>
    <w:rsid w:val="00ED70A0"/>
    <w:rsid w:val="00EE011E"/>
    <w:rsid w:val="00EE1017"/>
    <w:rsid w:val="00EE15F0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0D68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C4A"/>
    <w:rsid w:val="00F534FD"/>
    <w:rsid w:val="00F5496F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4E0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39EA"/>
    <w:rsid w:val="00F85338"/>
    <w:rsid w:val="00F858B7"/>
    <w:rsid w:val="00F86D34"/>
    <w:rsid w:val="00F9157F"/>
    <w:rsid w:val="00F921C7"/>
    <w:rsid w:val="00F92A58"/>
    <w:rsid w:val="00F939A9"/>
    <w:rsid w:val="00F93EB7"/>
    <w:rsid w:val="00F9429F"/>
    <w:rsid w:val="00F9439C"/>
    <w:rsid w:val="00F95026"/>
    <w:rsid w:val="00F956C2"/>
    <w:rsid w:val="00F96F83"/>
    <w:rsid w:val="00FA158B"/>
    <w:rsid w:val="00FA204C"/>
    <w:rsid w:val="00FA2B71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57F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E7360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89D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2">
    <w:name w:val="List Number 2"/>
    <w:basedOn w:val="a"/>
    <w:uiPriority w:val="99"/>
    <w:semiHidden/>
    <w:unhideWhenUsed/>
    <w:rsid w:val="00CD111D"/>
    <w:pPr>
      <w:numPr>
        <w:numId w:val="40"/>
      </w:numPr>
      <w:contextualSpacing/>
    </w:pPr>
  </w:style>
  <w:style w:type="paragraph" w:customStyle="1" w:styleId="B1">
    <w:name w:val="B1+"/>
    <w:basedOn w:val="B10"/>
    <w:qFormat/>
    <w:rsid w:val="0050729E"/>
    <w:pPr>
      <w:numPr>
        <w:numId w:val="43"/>
      </w:numPr>
      <w:spacing w:line="259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5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722-1228-4E7D-B973-B11A897C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2023-09-27T05:55:00Z</dcterms:created>
  <dcterms:modified xsi:type="dcterms:W3CDTF">2023-09-27T05:55:00Z</dcterms:modified>
</cp:coreProperties>
</file>