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10</w:t>
      </w:r>
      <w:r>
        <w:rPr>
          <w:rFonts w:hint="eastAsia" w:ascii="Arial" w:hAnsi="Arial" w:eastAsia="宋体" w:cs="Arial"/>
          <w:b/>
          <w:lang w:val="en-US" w:eastAsia="zh-CN"/>
        </w:rPr>
        <w:t>8</w:t>
      </w:r>
      <w:r>
        <w:rPr>
          <w:rFonts w:hint="eastAsia" w:ascii="Arial" w:hAnsi="Arial" w:eastAsia="宋体" w:cs="Arial"/>
          <w:b/>
          <w:bCs/>
          <w:lang w:val="en-US" w:eastAsia="zh-CN"/>
        </w:rPr>
        <w:t>bis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ascii="Arial" w:hAnsi="Arial" w:cs="Arial"/>
          <w:b/>
          <w:bCs/>
          <w:highlight w:val="none"/>
        </w:rPr>
        <w:t>R4-</w:t>
      </w:r>
      <w:bookmarkEnd w:id="0"/>
      <w:r>
        <w:rPr>
          <w:rFonts w:ascii="Arial" w:hAnsi="Arial" w:cs="Arial"/>
          <w:b/>
          <w:bCs/>
          <w:highlight w:val="none"/>
        </w:rPr>
        <w:t>23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16955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eastAsia="zh-CN"/>
        </w:rPr>
      </w:pP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Xiamen, China, October 09 - October 13, 2023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eastAsia="zh-CN"/>
        </w:rPr>
      </w:pPr>
    </w:p>
    <w:p>
      <w:pPr>
        <w:tabs>
          <w:tab w:val="left" w:pos="1770"/>
          <w:tab w:val="center" w:pos="4557"/>
        </w:tabs>
        <w:spacing w:after="180"/>
        <w:rPr>
          <w:rFonts w:hint="default" w:ascii="Arial" w:hAnsi="Arial" w:eastAsia="宋体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sz w:val="22"/>
          <w:highlight w:val="none"/>
          <w:lang w:val="en-US" w:eastAsia="zh-CN"/>
        </w:rPr>
        <w:t>WF on NR_ATG_Demod</w:t>
      </w:r>
    </w:p>
    <w:p>
      <w:pPr>
        <w:tabs>
          <w:tab w:val="left" w:pos="1770"/>
          <w:tab w:val="center" w:pos="4557"/>
        </w:tabs>
        <w:spacing w:after="180"/>
        <w:rPr>
          <w:rFonts w:hint="eastAsia" w:ascii="Arial" w:hAnsi="Arial" w:eastAsia="宋体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sz w:val="22"/>
          <w:lang w:val="en-US" w:eastAsia="zh-CN"/>
        </w:rPr>
        <w:t>5</w:t>
      </w:r>
      <w:r>
        <w:rPr>
          <w:rFonts w:ascii="Arial" w:hAnsi="Arial" w:cs="Arial"/>
          <w:sz w:val="22"/>
        </w:rPr>
        <w:t>.1</w:t>
      </w:r>
      <w:r>
        <w:rPr>
          <w:rFonts w:hint="eastAsia" w:ascii="Arial" w:hAnsi="Arial" w:eastAsia="宋体" w:cs="Arial"/>
          <w:sz w:val="22"/>
          <w:lang w:val="en-US" w:eastAsia="zh-CN"/>
        </w:rPr>
        <w:t>3</w:t>
      </w:r>
      <w:r>
        <w:rPr>
          <w:rFonts w:ascii="Arial" w:hAnsi="Arial" w:cs="Arial"/>
          <w:sz w:val="22"/>
        </w:rPr>
        <w:t>.</w:t>
      </w:r>
      <w:r>
        <w:rPr>
          <w:rFonts w:hint="eastAsia" w:ascii="Arial" w:hAnsi="Arial" w:eastAsia="宋体" w:cs="Arial"/>
          <w:sz w:val="22"/>
          <w:lang w:val="en-US" w:eastAsia="zh-CN"/>
        </w:rPr>
        <w:t>8</w:t>
      </w:r>
    </w:p>
    <w:p>
      <w:pPr>
        <w:tabs>
          <w:tab w:val="left" w:pos="1765"/>
        </w:tabs>
        <w:spacing w:after="180"/>
        <w:rPr>
          <w:rFonts w:ascii="Arial" w:hAnsi="Arial" w:cs="Arial" w:eastAsiaTheme="minorEastAsia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bookmarkStart w:id="1" w:name="_Hlk41145958"/>
      <w:r>
        <w:rPr>
          <w:rFonts w:ascii="Arial" w:hAnsi="Arial" w:cs="Arial"/>
          <w:sz w:val="22"/>
        </w:rPr>
        <w:t>CMCC</w:t>
      </w:r>
      <w:bookmarkEnd w:id="1"/>
      <w:bookmarkStart w:id="2" w:name="OLE_LINK7"/>
      <w:bookmarkStart w:id="3" w:name="OLE_LINK8"/>
    </w:p>
    <w:bookmarkEnd w:id="2"/>
    <w:bookmarkEnd w:id="3"/>
    <w:p>
      <w:pPr>
        <w:tabs>
          <w:tab w:val="left" w:pos="1765"/>
        </w:tabs>
        <w:spacing w:after="180"/>
        <w:rPr>
          <w:rFonts w:hint="default"/>
          <w:lang w:val="en-US"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  <w:bookmarkStart w:id="4" w:name="OLE_LINK2"/>
      <w:bookmarkStart w:id="5" w:name="OLE_LINK1"/>
      <w:bookmarkStart w:id="6" w:name="_Hlk70326378"/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 xml:space="preserve">General </w:t>
      </w:r>
    </w:p>
    <w:p>
      <w:pPr>
        <w:rPr>
          <w:b/>
          <w:sz w:val="20"/>
          <w:szCs w:val="20"/>
          <w:u w:val="single"/>
          <w:lang w:eastAsia="zh-CN"/>
        </w:rPr>
      </w:pPr>
      <w:r>
        <w:rPr>
          <w:b/>
          <w:sz w:val="20"/>
          <w:szCs w:val="20"/>
          <w:u w:val="single"/>
          <w:lang w:eastAsia="ko-KR"/>
        </w:rPr>
        <w:t xml:space="preserve">Issue 1-1: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TDD pattern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For new incremental ATG PDSCH, introduce test cases of new TDD pattern configuration 30D4S6U. 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PDSCH requirements are optional based on UE capability.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FFS</w:t>
      </w:r>
      <w:r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  <w:t xml:space="preserve"> on how to intr</w:t>
      </w: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oduce new TDD pattern configuration 30D4S6U in ATG PUSCH requirements.</w:t>
      </w:r>
    </w:p>
    <w:p>
      <w:pPr>
        <w:spacing w:after="120"/>
        <w:ind w:left="1080"/>
        <w:rPr>
          <w:szCs w:val="24"/>
          <w:lang w:eastAsia="zh-CN"/>
        </w:rPr>
      </w:pPr>
    </w:p>
    <w:p>
      <w:pPr>
        <w:rPr>
          <w:b/>
          <w:sz w:val="20"/>
          <w:szCs w:val="20"/>
          <w:u w:val="single"/>
          <w:lang w:eastAsia="ko-KR"/>
        </w:rPr>
      </w:pPr>
      <w:r>
        <w:rPr>
          <w:b/>
          <w:sz w:val="20"/>
          <w:szCs w:val="20"/>
          <w:u w:val="single"/>
          <w:lang w:eastAsia="ko-KR"/>
        </w:rPr>
        <w:t>Issue 1-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2</w:t>
      </w:r>
      <w:r>
        <w:rPr>
          <w:b/>
          <w:sz w:val="20"/>
          <w:szCs w:val="20"/>
          <w:u w:val="single"/>
          <w:lang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Applicability rule for TDD pattern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PDSCH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Legacy TDD pattern can be skipped if the test of the case with the new TDD pattern is passed.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PUSCH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Depending on outcome of issue 1-1.</w:t>
      </w:r>
    </w:p>
    <w:p>
      <w:pPr>
        <w:spacing w:after="120"/>
        <w:ind w:left="2016"/>
        <w:rPr>
          <w:szCs w:val="24"/>
          <w:lang w:eastAsia="zh-CN"/>
        </w:rPr>
      </w:pPr>
    </w:p>
    <w:p>
      <w:pPr>
        <w:rPr>
          <w:b/>
          <w:sz w:val="20"/>
          <w:szCs w:val="20"/>
          <w:u w:val="single"/>
          <w:lang w:val="en-US" w:eastAsia="ko-KR"/>
        </w:rPr>
      </w:pPr>
      <w:r>
        <w:rPr>
          <w:b/>
          <w:sz w:val="20"/>
          <w:szCs w:val="20"/>
          <w:u w:val="single"/>
          <w:lang w:eastAsia="ko-KR"/>
        </w:rPr>
        <w:t>Issue 1-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3</w:t>
      </w:r>
      <w:r>
        <w:rPr>
          <w:b/>
          <w:sz w:val="20"/>
          <w:szCs w:val="20"/>
          <w:u w:val="single"/>
          <w:lang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Specification impact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Consider the following as baseline for specification drafting: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Add applicability requirements for ATG UE in section 5.1.1 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PDSCH, introduce a new section for ATG demodulation requirements.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For PDCCH, PBCH and CQI reporting, do not introduce new section for ATG demodulation requirements. 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new incremental PUSCH requirements should be introduced in 38.104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applicability of PUSCH requirements and [Applicability of requirements for TDD with different UL-DL patterns] should be introduced in 38.141-1 and 38.141-2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applicability of PUCCH requirements should be introduced in 38.141-1 and 38.141-2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New section for ATG applicability of PRACH requirements should be introduced in 38.141-1 and 38.141-2</w:t>
      </w:r>
    </w:p>
    <w:p>
      <w:pPr>
        <w:spacing w:after="120"/>
        <w:rPr>
          <w:rFonts w:eastAsiaTheme="minorEastAsia"/>
          <w:lang w:eastAsia="zh-CN"/>
        </w:rPr>
      </w:pPr>
    </w:p>
    <w:p>
      <w:pPr>
        <w:rPr>
          <w:b/>
          <w:sz w:val="20"/>
          <w:szCs w:val="20"/>
          <w:u w:val="single"/>
          <w:lang w:val="en-US" w:eastAsia="ko-KR"/>
        </w:rPr>
      </w:pPr>
      <w:r>
        <w:rPr>
          <w:b/>
          <w:sz w:val="20"/>
          <w:szCs w:val="20"/>
          <w:u w:val="single"/>
          <w:lang w:eastAsia="ko-KR"/>
        </w:rPr>
        <w:t>Issue 1-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4</w:t>
      </w:r>
      <w:r>
        <w:rPr>
          <w:b/>
          <w:sz w:val="20"/>
          <w:szCs w:val="20"/>
          <w:u w:val="single"/>
          <w:lang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Channel model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Option 1 T</w:t>
      </w:r>
      <w:r>
        <w:rPr>
          <w:rFonts w:hint="eastAsia" w:eastAsia="宋体" w:cs="Times New Roman"/>
          <w:sz w:val="20"/>
          <w:szCs w:val="20"/>
          <w:highlight w:val="none"/>
          <w:lang w:eastAsia="zh-CN"/>
        </w:rPr>
        <w:t>he values of the channel matrix used for demodulation requirements is the static channel defined in B.1 in TS 38.101-4</w:t>
      </w:r>
    </w:p>
    <w:p>
      <w:pPr>
        <w:rPr>
          <w:b/>
          <w:sz w:val="20"/>
          <w:szCs w:val="20"/>
          <w:highlight w:val="yellow"/>
          <w:u w:val="single"/>
          <w:lang w:eastAsia="ko-KR"/>
        </w:rPr>
      </w:pPr>
    </w:p>
    <w:bookmarkEnd w:id="4"/>
    <w:bookmarkEnd w:id="5"/>
    <w:bookmarkEnd w:id="6"/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>UE demodulation</w:t>
      </w:r>
    </w:p>
    <w:p>
      <w:pPr>
        <w:rPr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zh-CN"/>
        </w:rPr>
        <w:t>Issue 2-1-1: Test scope for PDSCH</w:t>
      </w:r>
      <w:r>
        <w:rPr>
          <w:b/>
          <w:sz w:val="20"/>
          <w:szCs w:val="20"/>
          <w:u w:val="single"/>
          <w:lang w:val="en-US" w:eastAsia="zh-CN"/>
        </w:rPr>
        <w:t>: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For new incremental requirements: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introduces </w:t>
      </w:r>
      <w:r>
        <w:rPr>
          <w:rFonts w:hint="eastAsia" w:eastAsia="宋体" w:cs="Times New Roman"/>
          <w:sz w:val="20"/>
          <w:szCs w:val="20"/>
          <w:highlight w:val="none"/>
          <w:lang w:val="en-US" w:eastAsia="ja-JP"/>
        </w:rPr>
        <w:t>following test cases for new PDSCH requirements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6"/>
        <w:gridCol w:w="989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FDD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10 MHz 15kHz SCS</w:t>
            </w:r>
          </w:p>
        </w:tc>
        <w:tc>
          <w:tcPr>
            <w:tcW w:w="9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2T2R, 2T4R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16QAM (MCS 13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64QAM (MCS 22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7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9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256QAM (MCS </w:t>
            </w: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</w:rPr>
              <w:t>24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 in table 2)</w:t>
            </w:r>
          </w:p>
        </w:tc>
      </w:tr>
    </w:tbl>
    <w:p>
      <w:pPr>
        <w:pStyle w:val="74"/>
        <w:ind w:left="720" w:firstLine="0" w:firstLineChars="0"/>
        <w:rPr>
          <w:sz w:val="20"/>
          <w:szCs w:val="20"/>
          <w:highlight w:val="green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1"/>
        <w:gridCol w:w="1824"/>
        <w:gridCol w:w="1020"/>
        <w:gridCol w:w="3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8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TDD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40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MHz 30kHz SCS</w:t>
            </w:r>
          </w:p>
        </w:tc>
        <w:tc>
          <w:tcPr>
            <w:tcW w:w="18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7D1S2U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</w:rPr>
              <w:t>&amp;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N</w:t>
            </w: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ew TDD pattern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 30D4S6U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2T2R, 2T4R</w:t>
            </w: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16QAM (MCS 13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8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8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>64QAM (MCS 22 in table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8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</w:p>
        </w:tc>
        <w:tc>
          <w:tcPr>
            <w:tcW w:w="3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jc w:val="center"/>
              <w:textAlignment w:val="baseline"/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</w:pP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256QAM (MCS </w:t>
            </w:r>
            <w:r>
              <w:rPr>
                <w:rFonts w:hint="eastAsia" w:eastAsia="Yu Mincho"/>
                <w:bCs/>
                <w:sz w:val="20"/>
                <w:szCs w:val="20"/>
                <w:highlight w:val="none"/>
                <w:u w:val="single"/>
              </w:rPr>
              <w:t>24</w:t>
            </w:r>
            <w:r>
              <w:rPr>
                <w:rFonts w:eastAsia="Yu Mincho"/>
                <w:bCs/>
                <w:sz w:val="20"/>
                <w:szCs w:val="20"/>
                <w:highlight w:val="none"/>
                <w:u w:val="single"/>
                <w:lang w:eastAsia="en-GB"/>
              </w:rPr>
              <w:t xml:space="preserve"> in table 2)</w:t>
            </w:r>
          </w:p>
        </w:tc>
      </w:tr>
    </w:tbl>
    <w:p>
      <w:pPr>
        <w:rPr>
          <w:b/>
          <w:u w:val="single"/>
          <w:lang w:val="en-US" w:eastAsia="zh-CN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ko-KR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1-2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: Test scope for PDCCH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 xml:space="preserve">To consider legacy PDCCH requirements for ATG PDCCH requirements to cover all AL. 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The following test cases are for down-selection: (if necessary)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1T2R FDD: Test number 1, 3 and 5 in 5.3.2.1.1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2T2R FDD: Test number 3 in 5.3.2.1.2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1T2R TDD: All test cases in 5.3.2.2.1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2T2R TDD: All test cases in 5.3.2.2.2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1T4R FDD: Test number 1, 3 and 5 in 5.3.3.1.1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2T4R FDD: Test number 3 in 5.3.3.1.2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1T4R TDD: All test cases in 5.3.3.2.1</w:t>
      </w:r>
    </w:p>
    <w:p>
      <w:pPr>
        <w:pStyle w:val="74"/>
        <w:numPr>
          <w:ilvl w:val="1"/>
          <w:numId w:val="4"/>
        </w:numPr>
        <w:spacing w:after="120"/>
        <w:ind w:left="1656" w:leftChars="0" w:hanging="360"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2T4R TDD: All test cases in 5.3.3.2.2</w:t>
      </w:r>
    </w:p>
    <w:p>
      <w:pPr>
        <w:pStyle w:val="74"/>
        <w:overflowPunct/>
        <w:autoSpaceDE/>
        <w:autoSpaceDN/>
        <w:adjustRightInd/>
        <w:spacing w:after="120"/>
        <w:ind w:left="1860" w:firstLine="0" w:firstLineChars="0"/>
        <w:textAlignment w:val="auto"/>
        <w:rPr>
          <w:rFonts w:eastAsia="宋体"/>
          <w:szCs w:val="24"/>
          <w:lang w:eastAsia="zh-CN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1-3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: Test scope for P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BCH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Legacy PBCH requirements are applicable for ATG UE.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No specification impact of PBCH requirements other than applicability for ATG UE</w:t>
      </w:r>
    </w:p>
    <w:p>
      <w:pPr>
        <w:pStyle w:val="74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</w:p>
    <w:p>
      <w:pPr>
        <w:rPr>
          <w:rFonts w:hint="eastAsia"/>
          <w:b/>
          <w:color w:val="auto"/>
          <w:sz w:val="20"/>
          <w:szCs w:val="20"/>
          <w:u w:val="single"/>
          <w:lang w:val="en-US" w:eastAsia="ko-KR"/>
        </w:rPr>
      </w:pPr>
      <w:r>
        <w:rPr>
          <w:rFonts w:hint="eastAsia"/>
          <w:b/>
          <w:color w:val="auto"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color w:val="auto"/>
          <w:sz w:val="20"/>
          <w:szCs w:val="20"/>
          <w:u w:val="single"/>
          <w:lang w:val="en-US" w:eastAsia="zh-CN"/>
        </w:rPr>
        <w:t>1-4</w:t>
      </w:r>
      <w:r>
        <w:rPr>
          <w:rFonts w:hint="eastAsia"/>
          <w:b/>
          <w:color w:val="auto"/>
          <w:sz w:val="20"/>
          <w:szCs w:val="20"/>
          <w:u w:val="single"/>
          <w:lang w:val="en-US" w:eastAsia="ko-KR"/>
        </w:rPr>
        <w:t>: SDR test cases</w:t>
      </w:r>
    </w:p>
    <w:p>
      <w:pPr>
        <w:spacing w:after="60"/>
        <w:rPr>
          <w:rFonts w:hint="default" w:eastAsiaTheme="minorEastAsia"/>
          <w:b/>
          <w:bCs/>
          <w:iCs/>
          <w:color w:val="auto"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color w:val="auto"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  <w:t xml:space="preserve">Legacy SNR requirements of 1 MIMO layer are applicable for ATG UE with antenna configuration 1x2 and 1x4. </w:t>
      </w:r>
    </w:p>
    <w:p>
      <w:pPr>
        <w:pStyle w:val="74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szCs w:val="24"/>
          <w:lang w:val="en-US" w:eastAsia="zh-CN"/>
        </w:rPr>
      </w:pPr>
      <w:bookmarkStart w:id="8" w:name="_GoBack"/>
      <w:bookmarkEnd w:id="8"/>
    </w:p>
    <w:p>
      <w:pPr>
        <w:rPr>
          <w:rFonts w:hint="eastAsia"/>
          <w:b/>
          <w:sz w:val="20"/>
          <w:szCs w:val="20"/>
          <w:u w:val="single"/>
          <w:lang w:val="en-US" w:eastAsia="ko-KR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2-1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: T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est scope for CSI reporting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Do not introduce PMI requirements for ATG UE</w:t>
      </w:r>
    </w:p>
    <w:p>
      <w:pPr>
        <w:rPr>
          <w:b/>
          <w:u w:val="single"/>
          <w:lang w:eastAsia="ko-KR"/>
        </w:rPr>
      </w:pPr>
    </w:p>
    <w:p>
      <w:pPr>
        <w:rPr>
          <w:rFonts w:hint="eastAsia"/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>Issue 2-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3-1</w:t>
      </w:r>
      <w:r>
        <w:rPr>
          <w:rFonts w:hint="eastAsia"/>
          <w:b/>
          <w:sz w:val="20"/>
          <w:szCs w:val="20"/>
          <w:u w:val="single"/>
          <w:lang w:val="en-US" w:eastAsia="ko-KR"/>
        </w:rPr>
        <w:t xml:space="preserve">: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Applicability rule for UE demodulation requirements</w:t>
      </w:r>
    </w:p>
    <w:p>
      <w:pPr>
        <w:spacing w:after="60"/>
        <w:rPr>
          <w:rFonts w:hint="eastAsia"/>
          <w:b/>
          <w:color w:val="auto"/>
          <w:sz w:val="20"/>
          <w:szCs w:val="20"/>
          <w:u w:val="single"/>
          <w:lang w:val="en-US" w:eastAsia="ko-KR"/>
        </w:rPr>
      </w:pPr>
      <w:r>
        <w:rPr>
          <w:rFonts w:hint="eastAsia" w:eastAsiaTheme="minorEastAsia"/>
          <w:b/>
          <w:bCs/>
          <w:iCs/>
          <w:color w:val="auto"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color w:val="auto"/>
          <w:sz w:val="20"/>
          <w:szCs w:val="20"/>
          <w:highlight w:val="none"/>
          <w:lang w:val="en-US" w:eastAsia="zh-CN"/>
        </w:rPr>
        <w:t>Directly check the CR in next meeting</w:t>
      </w:r>
    </w:p>
    <w:p>
      <w:pPr>
        <w:pStyle w:val="74"/>
        <w:numPr>
          <w:ilvl w:val="0"/>
          <w:numId w:val="0"/>
        </w:numPr>
        <w:spacing w:after="120"/>
        <w:rPr>
          <w:rFonts w:hint="eastAsia" w:eastAsia="宋体" w:cs="Times New Roman"/>
          <w:color w:val="ED7D31" w:themeColor="accent2"/>
          <w:sz w:val="20"/>
          <w:szCs w:val="20"/>
          <w:highlight w:val="none"/>
          <w:lang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>BS demodulation</w:t>
      </w:r>
    </w:p>
    <w:p>
      <w:pPr>
        <w:rPr>
          <w:rFonts w:hint="eastAsia"/>
          <w:b/>
          <w:sz w:val="20"/>
          <w:szCs w:val="20"/>
          <w:u w:val="single"/>
          <w:lang w:val="en-US" w:eastAsia="zh-CN"/>
        </w:rPr>
      </w:pPr>
      <w:r>
        <w:rPr>
          <w:rFonts w:hint="eastAsia"/>
          <w:b/>
          <w:sz w:val="20"/>
          <w:szCs w:val="20"/>
          <w:u w:val="single"/>
          <w:lang w:val="en-US" w:eastAsia="ko-KR"/>
        </w:rPr>
        <w:t xml:space="preserve">Issue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3</w:t>
      </w:r>
      <w:r>
        <w:rPr>
          <w:rFonts w:hint="eastAsia"/>
          <w:b/>
          <w:sz w:val="20"/>
          <w:szCs w:val="20"/>
          <w:u w:val="single"/>
          <w:lang w:val="en-US" w:eastAsia="ko-KR"/>
        </w:rPr>
        <w:t>-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1-1</w:t>
      </w:r>
      <w:r>
        <w:rPr>
          <w:rFonts w:hint="eastAsia"/>
          <w:b/>
          <w:sz w:val="20"/>
          <w:szCs w:val="20"/>
          <w:u w:val="single"/>
          <w:lang w:val="en-US" w:eastAsia="ko-KR"/>
        </w:rPr>
        <w:t xml:space="preserve">: Test </w:t>
      </w:r>
      <w:r>
        <w:rPr>
          <w:rFonts w:hint="eastAsia"/>
          <w:b/>
          <w:sz w:val="20"/>
          <w:szCs w:val="20"/>
          <w:u w:val="single"/>
          <w:lang w:val="en-US" w:eastAsia="zh-CN"/>
        </w:rPr>
        <w:t>Scope</w:t>
      </w:r>
    </w:p>
    <w:p>
      <w:pPr>
        <w:spacing w:after="60"/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</w:pPr>
      <w:r>
        <w:rPr>
          <w:rFonts w:hint="eastAsia" w:eastAsiaTheme="minorEastAsia"/>
          <w:b/>
          <w:bCs/>
          <w:iCs/>
          <w:sz w:val="20"/>
          <w:szCs w:val="20"/>
          <w:lang w:val="en-US" w:eastAsia="zh-CN"/>
        </w:rPr>
        <w:t>Agreement: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Introduce new dedicated test cases for 64QAM MCS 28 and 256QAM MCS 22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If ATG BS declares support of 256QAM, new ATG test case for 256QAM is tested, new ATG test case for 64QAM is skipped, legacy 64QAM is tested.</w:t>
      </w:r>
    </w:p>
    <w:p>
      <w:pPr>
        <w:pStyle w:val="74"/>
        <w:numPr>
          <w:ilvl w:val="0"/>
          <w:numId w:val="4"/>
        </w:numPr>
        <w:spacing w:after="120"/>
        <w:ind w:firstLineChars="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  <w:r>
        <w:rPr>
          <w:rFonts w:hint="eastAsia" w:eastAsia="宋体" w:cs="Times New Roman"/>
          <w:sz w:val="20"/>
          <w:szCs w:val="20"/>
          <w:highlight w:val="none"/>
          <w:lang w:val="en-US" w:eastAsia="zh-CN"/>
        </w:rPr>
        <w:t>Separate FDD and TDD test cases</w:t>
      </w:r>
    </w:p>
    <w:p>
      <w:pPr>
        <w:pStyle w:val="74"/>
        <w:numPr>
          <w:ilvl w:val="0"/>
          <w:numId w:val="0"/>
        </w:numPr>
        <w:spacing w:after="12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</w:p>
    <w:p>
      <w:pPr>
        <w:pStyle w:val="2"/>
        <w:numPr>
          <w:ilvl w:val="0"/>
          <w:numId w:val="3"/>
        </w:numPr>
        <w:pBdr>
          <w:top w:val="single" w:color="auto" w:sz="12" w:space="3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  <w:lang w:val="en-US" w:eastAsia="zh-CN"/>
        </w:rPr>
        <w:t>CR split</w:t>
      </w:r>
    </w:p>
    <w:tbl>
      <w:tblPr>
        <w:tblStyle w:val="1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61"/>
        <w:gridCol w:w="5982"/>
        <w:gridCol w:w="92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Spec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Section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Company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38101-4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bookmarkStart w:id="7" w:name="_Toc21338137"/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fldChar w:fldCharType="begin"/>
            </w:r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instrText xml:space="preserve"> HYPERLINK "C:/Users/cmcc/AppData/Roaming/Foxmail7/Temp-14180-20231009082229/null" \t "C:/Users/cmcc/AppData/Roaming/Foxmail7/Temp-14180-20231009082229/_blank" </w:instrText>
            </w:r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fldChar w:fldCharType="separate"/>
            </w:r>
            <w:r>
              <w:rPr>
                <w:rStyle w:val="22"/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  <w:u w:val="none"/>
              </w:rPr>
              <w:t>3.3</w:t>
            </w:r>
            <w:bookmarkEnd w:id="7"/>
            <w:r>
              <w:rPr>
                <w:rFonts w:hint="default" w:ascii="Arial" w:hAnsi="Arial" w:cs="Arial"/>
                <w:caps w:val="0"/>
                <w:spacing w:val="0"/>
                <w:u w:val="none"/>
              </w:rPr>
              <w:fldChar w:fldCharType="end"/>
            </w: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 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5.1.1.x Applicability of requirements for ATG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color w:val="1F3864"/>
                <w:spacing w:val="0"/>
                <w:kern w:val="0"/>
                <w:sz w:val="20"/>
                <w:szCs w:val="20"/>
                <w:lang w:val="en-US" w:eastAsia="zh-CN" w:bidi="ar"/>
              </w:rPr>
              <w:t>QC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5" w:hRule="atLeast"/>
        </w:trPr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5.2.2.1.x  FDD 2Rx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5.2.2.2.x  FDD 4Rx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5.2.3.1.x TDD 2Rx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5.2.3.2.x TDD 4Rx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Huawei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A.3.2.1.x RMC for FDD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A.3.2.1.x RMC for TDD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Ericsson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38104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3.3 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4.6.1 Manufacturer declarations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  <w:lang w:val="en-US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eastAsia" w:ascii="Times New Roman" w:hAnsi="Times New Roman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CMCC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8.2.x PUSCH requirements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11.2.1.x Requirements for PUSCH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A.x FRC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Huawei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38.141-1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3.3 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PUSCH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PUCCH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PRACH for ATG performance requirements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Samsung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8.2.x Requirements for PUSCH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A.x FRC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</w:t>
            </w:r>
            <w:r>
              <w:rPr>
                <w:rFonts w:hint="default" w:ascii="Times New Roman" w:hAnsi="Times New Roman" w:eastAsia="Yu Mincho Light" w:cs="Times New Roman"/>
                <w:caps w:val="0"/>
                <w:spacing w:val="0"/>
                <w:kern w:val="0"/>
                <w:sz w:val="20"/>
                <w:szCs w:val="20"/>
                <w:lang w:val="en-US" w:eastAsia="zh-CN" w:bidi="ar"/>
              </w:rPr>
              <w:t>Ericsson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38.141-2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cs="Times New Roman"/>
                <w:caps w:val="0"/>
                <w:color w:val="000000"/>
                <w:spacing w:val="0"/>
                <w:sz w:val="20"/>
                <w:szCs w:val="20"/>
              </w:rPr>
              <w:t>3.3 Abbreviations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PUSCH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PUCCH for ATG performance requirements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8.1.2.x Applicability of PRACH for ATG performance requirements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 ZTE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rPr>
                <w:rFonts w:hint="default" w:ascii="Arial" w:hAnsi="Arial" w:cs="Arial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8.2.x Requirements for PUSCH for ATG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180" w:afterAutospacing="0" w:line="19" w:lineRule="atLeast"/>
              <w:ind w:left="0" w:right="0"/>
              <w:jc w:val="left"/>
              <w:rPr>
                <w:rFonts w:hint="default" w:ascii="Arial" w:hAnsi="Arial" w:cs="Arial"/>
              </w:rPr>
            </w:pPr>
            <w:r>
              <w:rPr>
                <w:rFonts w:hint="default" w:ascii="Times New Roman" w:hAnsi="Times New Roman" w:eastAsia="Yu Mincho Light" w:cs="Times New Roman"/>
                <w:caps w:val="0"/>
                <w:color w:val="000000"/>
                <w:spacing w:val="0"/>
                <w:kern w:val="0"/>
                <w:sz w:val="20"/>
                <w:szCs w:val="20"/>
                <w:lang w:val="en-US" w:eastAsia="zh-CN" w:bidi="ar"/>
              </w:rPr>
              <w:t>A.x FRC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0" w:type="dxa"/>
              <w:left w:w="72" w:type="dxa"/>
              <w:bottom w:w="0" w:type="dxa"/>
              <w:right w:w="72" w:type="dxa"/>
            </w:tcMar>
            <w:vAlign w:val="top"/>
          </w:tcPr>
          <w:p>
            <w:pPr>
              <w:pStyle w:val="17"/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19" w:lineRule="atLeast"/>
              <w:ind w:left="0" w:right="0"/>
              <w:rPr>
                <w:rFonts w:hint="default" w:ascii="Arial" w:hAnsi="Arial" w:cs="Arial"/>
              </w:rPr>
            </w:pPr>
            <w:r>
              <w:rPr>
                <w:rFonts w:hint="default" w:ascii="Arial" w:hAnsi="Arial" w:cs="Arial"/>
                <w:caps w:val="0"/>
                <w:spacing w:val="0"/>
                <w:sz w:val="13"/>
                <w:szCs w:val="13"/>
              </w:rPr>
              <w:t>ZTE</w:t>
            </w:r>
          </w:p>
        </w:tc>
      </w:tr>
    </w:tbl>
    <w:p>
      <w:pPr>
        <w:pStyle w:val="74"/>
        <w:numPr>
          <w:ilvl w:val="0"/>
          <w:numId w:val="0"/>
        </w:numPr>
        <w:spacing w:after="120"/>
        <w:rPr>
          <w:rFonts w:hint="eastAsia" w:eastAsia="宋体" w:cs="Times New Roman"/>
          <w:sz w:val="20"/>
          <w:szCs w:val="20"/>
          <w:highlight w:val="none"/>
          <w:lang w:val="en-US" w:eastAsia="zh-CN"/>
        </w:rPr>
      </w:pPr>
    </w:p>
    <w:sectPr>
      <w:pgSz w:w="11900" w:h="16840"/>
      <w:pgMar w:top="1440" w:right="98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 Light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documentProtection w:enforcement="0"/>
  <w:defaultTabStop w:val="420"/>
  <w:hyphenationZone w:val="425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014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CD4"/>
    <w:rsid w:val="00021E70"/>
    <w:rsid w:val="00021FAA"/>
    <w:rsid w:val="00021FBB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0FA4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6B76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3582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B63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8F3"/>
    <w:rsid w:val="00095BAA"/>
    <w:rsid w:val="00095CFB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4F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8DA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56D"/>
    <w:rsid w:val="00125C8E"/>
    <w:rsid w:val="00125F9A"/>
    <w:rsid w:val="00126513"/>
    <w:rsid w:val="001268A6"/>
    <w:rsid w:val="0012701D"/>
    <w:rsid w:val="00127131"/>
    <w:rsid w:val="001271AB"/>
    <w:rsid w:val="001272B8"/>
    <w:rsid w:val="00127534"/>
    <w:rsid w:val="001276BF"/>
    <w:rsid w:val="001277CC"/>
    <w:rsid w:val="00130076"/>
    <w:rsid w:val="0013080B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0F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C75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933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A2"/>
    <w:rsid w:val="001A3EF5"/>
    <w:rsid w:val="001A57E9"/>
    <w:rsid w:val="001A5987"/>
    <w:rsid w:val="001A5E11"/>
    <w:rsid w:val="001A65D8"/>
    <w:rsid w:val="001A68C5"/>
    <w:rsid w:val="001A725B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B1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445"/>
    <w:rsid w:val="001F55EA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A5E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229"/>
    <w:rsid w:val="002512F8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C83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0F5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78D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970"/>
    <w:rsid w:val="00294A12"/>
    <w:rsid w:val="00294A34"/>
    <w:rsid w:val="00295160"/>
    <w:rsid w:val="00295CDB"/>
    <w:rsid w:val="0029700E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321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89A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DF2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D63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E93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2B2B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44F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50B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876BF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2EC"/>
    <w:rsid w:val="003973E9"/>
    <w:rsid w:val="003977B1"/>
    <w:rsid w:val="00397D15"/>
    <w:rsid w:val="003A09AB"/>
    <w:rsid w:val="003A0B30"/>
    <w:rsid w:val="003A0CEA"/>
    <w:rsid w:val="003A1253"/>
    <w:rsid w:val="003A189B"/>
    <w:rsid w:val="003A1AC3"/>
    <w:rsid w:val="003A1D28"/>
    <w:rsid w:val="003A22F7"/>
    <w:rsid w:val="003A270C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2868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D7BDB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4D1"/>
    <w:rsid w:val="003E56D2"/>
    <w:rsid w:val="003E5967"/>
    <w:rsid w:val="003E615C"/>
    <w:rsid w:val="003E62ED"/>
    <w:rsid w:val="003E6DF0"/>
    <w:rsid w:val="003E7DD4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1D8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F9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618"/>
    <w:rsid w:val="00460B70"/>
    <w:rsid w:val="00460DE6"/>
    <w:rsid w:val="00461052"/>
    <w:rsid w:val="00461397"/>
    <w:rsid w:val="00462AB7"/>
    <w:rsid w:val="00463249"/>
    <w:rsid w:val="00463511"/>
    <w:rsid w:val="00463C8A"/>
    <w:rsid w:val="004644F3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363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C92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705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1F98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57D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0A00"/>
    <w:rsid w:val="00501433"/>
    <w:rsid w:val="005015F2"/>
    <w:rsid w:val="005019CF"/>
    <w:rsid w:val="005022B1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0ECB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F4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C2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84B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2EAB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9D6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33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1A78"/>
    <w:rsid w:val="005C27E6"/>
    <w:rsid w:val="005C2A62"/>
    <w:rsid w:val="005C2AEC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6803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57D"/>
    <w:rsid w:val="005F19EE"/>
    <w:rsid w:val="005F1B59"/>
    <w:rsid w:val="005F1D91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AE2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1F95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465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43D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B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B6D"/>
    <w:rsid w:val="006A6DBB"/>
    <w:rsid w:val="006A7C44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B60"/>
    <w:rsid w:val="006C4D5C"/>
    <w:rsid w:val="006C54CC"/>
    <w:rsid w:val="006C5622"/>
    <w:rsid w:val="006C56DC"/>
    <w:rsid w:val="006C56FE"/>
    <w:rsid w:val="006C5727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4A5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13D"/>
    <w:rsid w:val="0072134D"/>
    <w:rsid w:val="00721862"/>
    <w:rsid w:val="00721F97"/>
    <w:rsid w:val="007220A7"/>
    <w:rsid w:val="00722C59"/>
    <w:rsid w:val="00722D78"/>
    <w:rsid w:val="00723052"/>
    <w:rsid w:val="00723598"/>
    <w:rsid w:val="0072368F"/>
    <w:rsid w:val="00723A4F"/>
    <w:rsid w:val="00723C26"/>
    <w:rsid w:val="0072468C"/>
    <w:rsid w:val="00724712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BD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5E80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26C6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40D"/>
    <w:rsid w:val="0077695A"/>
    <w:rsid w:val="00777D65"/>
    <w:rsid w:val="00780EAB"/>
    <w:rsid w:val="007814F0"/>
    <w:rsid w:val="007816F7"/>
    <w:rsid w:val="00781B73"/>
    <w:rsid w:val="00782279"/>
    <w:rsid w:val="00782393"/>
    <w:rsid w:val="007823B2"/>
    <w:rsid w:val="007828A0"/>
    <w:rsid w:val="007828AD"/>
    <w:rsid w:val="00782A18"/>
    <w:rsid w:val="00782C0F"/>
    <w:rsid w:val="00782EC3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17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4DD0"/>
    <w:rsid w:val="007C5255"/>
    <w:rsid w:val="007C531C"/>
    <w:rsid w:val="007C5E5F"/>
    <w:rsid w:val="007C6027"/>
    <w:rsid w:val="007C61E5"/>
    <w:rsid w:val="007C628D"/>
    <w:rsid w:val="007C62B1"/>
    <w:rsid w:val="007C6368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E10"/>
    <w:rsid w:val="007F0FA7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47D"/>
    <w:rsid w:val="008016F2"/>
    <w:rsid w:val="00801BA3"/>
    <w:rsid w:val="00802CA1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C0D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71A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5E07"/>
    <w:rsid w:val="00826A48"/>
    <w:rsid w:val="00826E8B"/>
    <w:rsid w:val="008276A0"/>
    <w:rsid w:val="00827827"/>
    <w:rsid w:val="00827DE6"/>
    <w:rsid w:val="00830DB5"/>
    <w:rsid w:val="00830FD9"/>
    <w:rsid w:val="008317D7"/>
    <w:rsid w:val="00831ECF"/>
    <w:rsid w:val="0083266B"/>
    <w:rsid w:val="00832937"/>
    <w:rsid w:val="00833316"/>
    <w:rsid w:val="0083343A"/>
    <w:rsid w:val="0083347F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63A3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A9C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55F3"/>
    <w:rsid w:val="00846634"/>
    <w:rsid w:val="008471E0"/>
    <w:rsid w:val="00847276"/>
    <w:rsid w:val="00847E7B"/>
    <w:rsid w:val="008506F4"/>
    <w:rsid w:val="0085071B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4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A8A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595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32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A43"/>
    <w:rsid w:val="008A6B19"/>
    <w:rsid w:val="008A71AC"/>
    <w:rsid w:val="008A722F"/>
    <w:rsid w:val="008A7539"/>
    <w:rsid w:val="008A7CD2"/>
    <w:rsid w:val="008B02CF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6947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BDC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33A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4E64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A1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22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582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B0A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1B64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3CF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16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2D89"/>
    <w:rsid w:val="009A32E9"/>
    <w:rsid w:val="009A3719"/>
    <w:rsid w:val="009A3A7E"/>
    <w:rsid w:val="009A4C2A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14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041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27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440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BF5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566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78D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3D19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9EF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AF3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26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3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2C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B02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470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137"/>
    <w:rsid w:val="00BB622A"/>
    <w:rsid w:val="00BB670B"/>
    <w:rsid w:val="00BB6A7E"/>
    <w:rsid w:val="00BB712F"/>
    <w:rsid w:val="00BC0612"/>
    <w:rsid w:val="00BC074C"/>
    <w:rsid w:val="00BC0B56"/>
    <w:rsid w:val="00BC0D32"/>
    <w:rsid w:val="00BC19C7"/>
    <w:rsid w:val="00BC1CD3"/>
    <w:rsid w:val="00BC234F"/>
    <w:rsid w:val="00BC24A5"/>
    <w:rsid w:val="00BC38ED"/>
    <w:rsid w:val="00BC39D1"/>
    <w:rsid w:val="00BC420E"/>
    <w:rsid w:val="00BC4296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8BD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D7E"/>
    <w:rsid w:val="00C14F91"/>
    <w:rsid w:val="00C150C3"/>
    <w:rsid w:val="00C152E4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0C9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767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2E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D7E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CA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0EA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D79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776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1A88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0F7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07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5FC0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46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28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DE5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9E6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3DD"/>
    <w:rsid w:val="00E05875"/>
    <w:rsid w:val="00E05C72"/>
    <w:rsid w:val="00E070D4"/>
    <w:rsid w:val="00E0754F"/>
    <w:rsid w:val="00E07907"/>
    <w:rsid w:val="00E07986"/>
    <w:rsid w:val="00E07EC7"/>
    <w:rsid w:val="00E103F0"/>
    <w:rsid w:val="00E10C0B"/>
    <w:rsid w:val="00E10D47"/>
    <w:rsid w:val="00E11324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9D9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3D7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0A4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36E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051"/>
    <w:rsid w:val="00EA07CA"/>
    <w:rsid w:val="00EA0C79"/>
    <w:rsid w:val="00EA0C89"/>
    <w:rsid w:val="00EA1040"/>
    <w:rsid w:val="00EA1B37"/>
    <w:rsid w:val="00EA1EDC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48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3B89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0C7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531"/>
    <w:rsid w:val="00F07912"/>
    <w:rsid w:val="00F07C01"/>
    <w:rsid w:val="00F1030C"/>
    <w:rsid w:val="00F104D0"/>
    <w:rsid w:val="00F1057B"/>
    <w:rsid w:val="00F105C1"/>
    <w:rsid w:val="00F10D04"/>
    <w:rsid w:val="00F115A0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8A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7E2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0C7"/>
    <w:rsid w:val="00FC15C7"/>
    <w:rsid w:val="00FC1B0B"/>
    <w:rsid w:val="00FC1D6A"/>
    <w:rsid w:val="00FC224B"/>
    <w:rsid w:val="00FC23FC"/>
    <w:rsid w:val="00FC273B"/>
    <w:rsid w:val="00FC27B6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5BB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91F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A4735E"/>
    <w:rsid w:val="096469A0"/>
    <w:rsid w:val="09BC511C"/>
    <w:rsid w:val="0CF42026"/>
    <w:rsid w:val="0DC24706"/>
    <w:rsid w:val="0F3F6B84"/>
    <w:rsid w:val="12DE28ED"/>
    <w:rsid w:val="13C337B6"/>
    <w:rsid w:val="14761E85"/>
    <w:rsid w:val="15853D06"/>
    <w:rsid w:val="163C286C"/>
    <w:rsid w:val="172D5256"/>
    <w:rsid w:val="17636559"/>
    <w:rsid w:val="1A4C2F31"/>
    <w:rsid w:val="1B8532CB"/>
    <w:rsid w:val="24EE2AFB"/>
    <w:rsid w:val="255911D5"/>
    <w:rsid w:val="269419E1"/>
    <w:rsid w:val="27825488"/>
    <w:rsid w:val="2F9C12B9"/>
    <w:rsid w:val="333D1021"/>
    <w:rsid w:val="33446891"/>
    <w:rsid w:val="376B3E71"/>
    <w:rsid w:val="42A10772"/>
    <w:rsid w:val="48972CE1"/>
    <w:rsid w:val="48ED265B"/>
    <w:rsid w:val="4BE62CCB"/>
    <w:rsid w:val="4F546C40"/>
    <w:rsid w:val="529F6D65"/>
    <w:rsid w:val="5554191A"/>
    <w:rsid w:val="5B79631C"/>
    <w:rsid w:val="5D522C41"/>
    <w:rsid w:val="5E4547C8"/>
    <w:rsid w:val="5F2F37F8"/>
    <w:rsid w:val="67185448"/>
    <w:rsid w:val="67CA7248"/>
    <w:rsid w:val="68C06926"/>
    <w:rsid w:val="69E20EDE"/>
    <w:rsid w:val="6ADA1BF9"/>
    <w:rsid w:val="6B206672"/>
    <w:rsid w:val="6E4E2AD1"/>
    <w:rsid w:val="719A4603"/>
    <w:rsid w:val="74214194"/>
    <w:rsid w:val="755A7479"/>
    <w:rsid w:val="7D2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C7325-1688-4DFF-89AD-E5611C1B83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2198</Words>
  <Characters>12534</Characters>
  <Lines>104</Lines>
  <Paragraphs>29</Paragraphs>
  <TotalTime>0</TotalTime>
  <ScaleCrop>false</ScaleCrop>
  <LinksUpToDate>false</LinksUpToDate>
  <CharactersWithSpaces>14703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CMCC-shiyuan1012</cp:lastModifiedBy>
  <dcterms:modified xsi:type="dcterms:W3CDTF">2023-10-12T23:39:09Z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C3279B7E580A4B39A1EF86D141DB5B88</vt:lpwstr>
  </property>
</Properties>
</file>