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A6E0" w14:textId="5159E09E" w:rsidR="00D81452" w:rsidRDefault="00D81452" w:rsidP="00D81452">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Pr>
          <w:rFonts w:asciiTheme="minorHAnsi" w:eastAsiaTheme="minorEastAsia" w:hAnsiTheme="minorHAnsi" w:cstheme="minorHAnsi"/>
          <w:bCs/>
          <w:noProof w:val="0"/>
          <w:sz w:val="24"/>
          <w:szCs w:val="24"/>
          <w:lang w:eastAsia="zh-CN"/>
        </w:rPr>
        <w:t>3GPP TSG-RAN WG4 Meeting # 108bis</w:t>
      </w:r>
      <w:r>
        <w:rPr>
          <w:rFonts w:asciiTheme="minorHAnsi" w:eastAsiaTheme="minorEastAsia" w:hAnsiTheme="minorHAnsi" w:cstheme="minorHAnsi"/>
          <w:bCs/>
          <w:noProof w:val="0"/>
          <w:sz w:val="24"/>
          <w:szCs w:val="24"/>
          <w:lang w:eastAsia="zh-CN"/>
        </w:rPr>
        <w:tab/>
      </w:r>
      <w:r w:rsidR="006C55F3" w:rsidRPr="006C55F3">
        <w:rPr>
          <w:rFonts w:asciiTheme="minorHAnsi" w:eastAsiaTheme="minorEastAsia" w:hAnsiTheme="minorHAnsi" w:cstheme="minorHAnsi"/>
          <w:bCs/>
          <w:noProof w:val="0"/>
          <w:sz w:val="24"/>
          <w:szCs w:val="24"/>
          <w:lang w:eastAsia="zh-CN"/>
        </w:rPr>
        <w:t>R4-23166</w:t>
      </w:r>
      <w:r w:rsidR="006C55F3">
        <w:rPr>
          <w:rFonts w:asciiTheme="minorHAnsi" w:eastAsiaTheme="minorEastAsia" w:hAnsiTheme="minorHAnsi" w:cstheme="minorHAnsi"/>
          <w:bCs/>
          <w:noProof w:val="0"/>
          <w:sz w:val="24"/>
          <w:szCs w:val="24"/>
          <w:lang w:eastAsia="zh-CN"/>
        </w:rPr>
        <w:t>50</w:t>
      </w:r>
    </w:p>
    <w:p w14:paraId="4119D1DE" w14:textId="77777777" w:rsidR="00D81452" w:rsidRPr="008C7A92" w:rsidRDefault="00D81452" w:rsidP="00D81452">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1" w:name="_Hlk142482202"/>
      <w:r w:rsidRPr="008C7A92">
        <w:rPr>
          <w:rFonts w:asciiTheme="minorHAnsi" w:eastAsiaTheme="minorEastAsia" w:hAnsiTheme="minorHAnsi" w:cstheme="minorHAnsi"/>
          <w:bCs/>
          <w:noProof w:val="0"/>
          <w:sz w:val="24"/>
          <w:szCs w:val="24"/>
          <w:lang w:eastAsia="zh-CN"/>
        </w:rPr>
        <w:t>Xiamen, China, Oct. 9 – Oct. 13, 2023</w:t>
      </w:r>
      <w:bookmarkEnd w:id="1"/>
    </w:p>
    <w:p w14:paraId="17B3A29E" w14:textId="0A3765FA" w:rsidR="00410BAC" w:rsidRPr="00410463" w:rsidRDefault="00410BAC" w:rsidP="00410BA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171139">
        <w:rPr>
          <w:rFonts w:asciiTheme="minorHAnsi" w:eastAsiaTheme="minorEastAsia" w:hAnsiTheme="minorHAnsi" w:cstheme="minorHAnsi"/>
          <w:bCs/>
          <w:noProof w:val="0"/>
          <w:sz w:val="24"/>
          <w:szCs w:val="24"/>
          <w:lang w:eastAsia="zh-CN"/>
        </w:rPr>
        <w:t>5</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w:t>
      </w:r>
      <w:r w:rsidR="00171139">
        <w:rPr>
          <w:rFonts w:asciiTheme="minorHAnsi" w:eastAsiaTheme="minorEastAsia" w:hAnsiTheme="minorHAnsi" w:cstheme="minorHAnsi"/>
          <w:bCs/>
          <w:noProof w:val="0"/>
          <w:sz w:val="24"/>
          <w:szCs w:val="24"/>
          <w:lang w:eastAsia="zh-CN"/>
        </w:rPr>
        <w:t>2</w:t>
      </w:r>
      <w:r>
        <w:rPr>
          <w:rFonts w:asciiTheme="minorHAnsi" w:eastAsiaTheme="minorEastAsia" w:hAnsiTheme="minorHAnsi" w:cstheme="minorHAnsi"/>
          <w:bCs/>
          <w:noProof w:val="0"/>
          <w:sz w:val="24"/>
          <w:szCs w:val="24"/>
          <w:lang w:eastAsia="zh-CN"/>
        </w:rPr>
        <w:t>.</w:t>
      </w:r>
      <w:r w:rsidRPr="00410BAC">
        <w:rPr>
          <w:rFonts w:asciiTheme="minorHAnsi" w:eastAsiaTheme="minorEastAsia" w:hAnsiTheme="minorHAnsi" w:cstheme="minorHAnsi" w:hint="eastAsia"/>
          <w:bCs/>
          <w:noProof w:val="0"/>
          <w:sz w:val="24"/>
          <w:szCs w:val="24"/>
          <w:lang w:eastAsia="zh-CN"/>
        </w:rPr>
        <w:t>3</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5194D25"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B64E55" w:rsidRPr="00B64E55">
        <w:rPr>
          <w:rFonts w:asciiTheme="minorHAnsi" w:eastAsiaTheme="minorEastAsia" w:hAnsiTheme="minorHAnsi" w:cstheme="minorHAnsi"/>
          <w:bCs/>
          <w:noProof w:val="0"/>
          <w:sz w:val="24"/>
          <w:szCs w:val="24"/>
          <w:lang w:eastAsia="zh-CN"/>
        </w:rPr>
        <w:t>Unified TCI framework</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067E4D20" w:rsidR="00EE7F0C" w:rsidRPr="00EE7F0C" w:rsidRDefault="00EE7F0C" w:rsidP="006F6F58">
      <w:pPr>
        <w:rPr>
          <w:rFonts w:eastAsia="PMingLiU" w:cstheme="minorHAnsi"/>
          <w:szCs w:val="24"/>
        </w:rPr>
      </w:pPr>
      <w:r>
        <w:rPr>
          <w:rFonts w:eastAsia="PMingLiU" w:cstheme="minorHAnsi"/>
          <w:szCs w:val="24"/>
        </w:rPr>
        <w:t>According to WF</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sidR="00410BAC">
        <w:rPr>
          <w:rFonts w:eastAsia="PMingLiU" w:cstheme="minorHAnsi" w:hint="eastAsia"/>
          <w:szCs w:val="24"/>
        </w:rPr>
        <w:t xml:space="preserve"> </w:t>
      </w:r>
      <w:r>
        <w:rPr>
          <w:rFonts w:eastAsia="PMingLiU" w:cstheme="minorHAnsi"/>
          <w:szCs w:val="24"/>
        </w:rPr>
        <w:t>and discussion summary</w:t>
      </w:r>
      <w:r w:rsidR="00410BAC" w:rsidRPr="00410BAC">
        <w:rPr>
          <w:rFonts w:eastAsia="PMingLiU" w:cstheme="minorHAnsi" w:hint="eastAsia"/>
          <w:szCs w:val="24"/>
        </w:rPr>
        <w:t xml:space="preserve"> </w:t>
      </w:r>
      <w:r w:rsidR="00410BAC" w:rsidRPr="00410BAC">
        <w:rPr>
          <w:rFonts w:eastAsia="PMingLiU" w:cstheme="minorHAnsi"/>
          <w:szCs w:val="24"/>
        </w:rPr>
        <w:fldChar w:fldCharType="begin"/>
      </w:r>
      <w:r w:rsidR="00410BAC" w:rsidRPr="00410BAC">
        <w:rPr>
          <w:rFonts w:eastAsia="PMingLiU" w:cstheme="minorHAnsi"/>
          <w:szCs w:val="24"/>
        </w:rPr>
        <w:instrText xml:space="preserve"> </w:instrText>
      </w:r>
      <w:r w:rsidR="00410BAC" w:rsidRPr="00410BAC">
        <w:rPr>
          <w:rFonts w:eastAsia="PMingLiU" w:cstheme="minorHAnsi" w:hint="eastAsia"/>
          <w:szCs w:val="24"/>
        </w:rPr>
        <w:instrText>REF _Ref141379531 \h</w:instrText>
      </w:r>
      <w:r w:rsidR="00410BAC" w:rsidRPr="00410BAC">
        <w:rPr>
          <w:rFonts w:eastAsia="PMingLiU" w:cstheme="minorHAnsi"/>
          <w:szCs w:val="24"/>
        </w:rPr>
        <w:instrText xml:space="preserve">  \* MERGEFORMAT </w:instrText>
      </w:r>
      <w:r w:rsidR="00410BAC" w:rsidRPr="00410BAC">
        <w:rPr>
          <w:rFonts w:eastAsia="PMingLiU" w:cstheme="minorHAnsi"/>
          <w:szCs w:val="24"/>
        </w:rPr>
      </w:r>
      <w:r w:rsidR="00410BAC" w:rsidRPr="00410BAC">
        <w:rPr>
          <w:rFonts w:eastAsia="PMingLiU" w:cstheme="minorHAnsi"/>
          <w:szCs w:val="24"/>
        </w:rPr>
        <w:fldChar w:fldCharType="separate"/>
      </w:r>
      <w:r w:rsidR="00410BAC" w:rsidRPr="00410BAC">
        <w:rPr>
          <w:rFonts w:cstheme="minorHAnsi"/>
          <w:szCs w:val="24"/>
          <w:lang w:val="en-GB"/>
        </w:rPr>
        <w:t>[</w:t>
      </w:r>
      <w:r w:rsidR="00410BAC" w:rsidRPr="00410BAC">
        <w:rPr>
          <w:rFonts w:cstheme="minorHAnsi"/>
          <w:noProof/>
          <w:szCs w:val="24"/>
          <w:lang w:val="en-GB"/>
        </w:rPr>
        <w:t>2</w:t>
      </w:r>
      <w:r w:rsidR="00410BAC" w:rsidRPr="00410BAC">
        <w:rPr>
          <w:rFonts w:cstheme="minorHAnsi"/>
          <w:szCs w:val="24"/>
          <w:lang w:val="en-GB"/>
        </w:rPr>
        <w:t>]</w:t>
      </w:r>
      <w:r w:rsidR="00410BAC" w:rsidRPr="00410BAC">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were discussed without conclusion yet.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Unified TCI framework</w:t>
      </w:r>
      <w:r>
        <w:rPr>
          <w:rFonts w:eastAsia="PMingLiU" w:cstheme="minorHAnsi"/>
          <w:szCs w:val="24"/>
        </w:rPr>
        <w:t>”.</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093F9E8" w14:textId="77777777" w:rsidR="00B86D60" w:rsidRDefault="00B86D60" w:rsidP="00B86D60">
      <w:pPr>
        <w:spacing w:before="100" w:beforeAutospacing="1" w:after="100" w:afterAutospacing="1"/>
        <w:rPr>
          <w:rFonts w:eastAsia="PMingLiU"/>
          <w:szCs w:val="24"/>
          <w:lang w:val="en-GB"/>
        </w:rPr>
      </w:pPr>
      <w:bookmarkStart w:id="2" w:name="_Ref131859432"/>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37E71931" w14:textId="1758CAB1" w:rsidR="00B86D60" w:rsidRDefault="00C815E4" w:rsidP="00B86D60">
      <w:pPr>
        <w:pStyle w:val="af6"/>
        <w:numPr>
          <w:ilvl w:val="0"/>
          <w:numId w:val="7"/>
        </w:numPr>
        <w:spacing w:before="100" w:beforeAutospacing="1" w:after="100" w:afterAutospacing="1"/>
        <w:rPr>
          <w:rFonts w:eastAsia="PMingLiU"/>
          <w:szCs w:val="24"/>
          <w:lang w:val="en-GB"/>
        </w:rPr>
      </w:pPr>
      <w:r>
        <w:rPr>
          <w:rFonts w:eastAsia="PMingLiU"/>
          <w:szCs w:val="24"/>
          <w:lang w:val="en-GB" w:eastAsia="zh-TW"/>
        </w:rPr>
        <w:t>Cases</w:t>
      </w:r>
      <w:r w:rsidR="00B86D60">
        <w:rPr>
          <w:rFonts w:eastAsia="PMingLiU"/>
          <w:szCs w:val="24"/>
          <w:lang w:val="en-GB" w:eastAsia="zh-TW"/>
        </w:rPr>
        <w:t xml:space="preserve"> for unified TCI framework</w:t>
      </w:r>
    </w:p>
    <w:p w14:paraId="2FD6DD9F" w14:textId="67ACA04C" w:rsidR="007141BD" w:rsidRPr="007B2F5A" w:rsidRDefault="00B86D60" w:rsidP="00800E53">
      <w:pPr>
        <w:pStyle w:val="af6"/>
        <w:numPr>
          <w:ilvl w:val="0"/>
          <w:numId w:val="7"/>
        </w:numPr>
        <w:spacing w:before="100" w:beforeAutospacing="1" w:after="100" w:afterAutospacing="1"/>
        <w:rPr>
          <w:rFonts w:eastAsia="PMingLiU"/>
          <w:szCs w:val="24"/>
          <w:lang w:val="en-GB"/>
        </w:rPr>
      </w:pPr>
      <w:r>
        <w:rPr>
          <w:rFonts w:eastAsia="PMingLiU"/>
          <w:szCs w:val="24"/>
          <w:lang w:val="en-GB" w:eastAsia="zh-TW"/>
        </w:rPr>
        <w:t>Unified TCI state switching requirement</w:t>
      </w:r>
      <w:bookmarkEnd w:id="2"/>
    </w:p>
    <w:p w14:paraId="4F3FF65C" w14:textId="1AECBF02" w:rsidR="007141BD" w:rsidRPr="007141BD" w:rsidRDefault="004F3B7F" w:rsidP="00800E53">
      <w:pPr>
        <w:pStyle w:val="2"/>
        <w:spacing w:before="100" w:beforeAutospacing="1" w:after="100" w:afterAutospacing="1"/>
        <w:ind w:left="0" w:firstLine="0"/>
        <w:jc w:val="both"/>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A93DA9">
        <w:rPr>
          <w:rFonts w:asciiTheme="minorHAnsi" w:eastAsia="PMingLiU" w:hAnsiTheme="minorHAnsi" w:cstheme="minorHAnsi"/>
          <w:szCs w:val="32"/>
          <w:lang w:eastAsia="zh-TW"/>
        </w:rPr>
        <w:t xml:space="preserve">1 </w:t>
      </w:r>
      <w:r w:rsidR="00C815E4">
        <w:rPr>
          <w:rFonts w:asciiTheme="minorHAnsi" w:eastAsia="PMingLiU" w:hAnsiTheme="minorHAnsi" w:cstheme="minorHAnsi"/>
          <w:szCs w:val="32"/>
          <w:lang w:eastAsia="zh-TW"/>
        </w:rPr>
        <w:t>Case</w:t>
      </w:r>
      <w:r w:rsidR="007141BD" w:rsidRPr="007141BD">
        <w:rPr>
          <w:rFonts w:asciiTheme="minorHAnsi" w:eastAsia="PMingLiU" w:hAnsiTheme="minorHAnsi" w:cstheme="minorHAnsi"/>
          <w:szCs w:val="32"/>
          <w:lang w:eastAsia="zh-TW"/>
        </w:rPr>
        <w:t>s for Unified TCI framework</w:t>
      </w:r>
    </w:p>
    <w:p w14:paraId="37835ABD" w14:textId="2473BE41" w:rsidR="007B2F5A" w:rsidRDefault="005066FC" w:rsidP="00E12243">
      <w:pPr>
        <w:rPr>
          <w:lang w:val="en-GB"/>
        </w:rPr>
      </w:pPr>
      <w:r>
        <w:rPr>
          <w:rFonts w:hint="eastAsia"/>
          <w:lang w:val="en-GB"/>
        </w:rPr>
        <w:t>I</w:t>
      </w:r>
      <w:r>
        <w:rPr>
          <w:lang w:val="en-GB"/>
        </w:rPr>
        <w:t>n the previous meetings, there are some discussions on whether to consider simultaneous reception and transmission in mTRP scenarios in FR2.</w:t>
      </w:r>
    </w:p>
    <w:p w14:paraId="5FE981CD" w14:textId="21FD92FC" w:rsidR="00184BA6" w:rsidRDefault="009C7A75" w:rsidP="00E12243">
      <w:pPr>
        <w:rPr>
          <w:lang w:val="en-GB"/>
        </w:rPr>
      </w:pPr>
      <w:r>
        <w:rPr>
          <w:rFonts w:hint="eastAsia"/>
          <w:lang w:val="en-GB"/>
        </w:rPr>
        <w:t>R</w:t>
      </w:r>
      <w:r>
        <w:rPr>
          <w:lang w:val="en-GB"/>
        </w:rPr>
        <w:t>egarding whether to consider STxMP in defining requirements for unified TCI framework, we don’t quite get why to discuss this issue. In our understanding, RAN4 only need to discuss how to define TCI state switching delay for unified TCI framework. We don’t think supporting STxMP or not would have any impact on TCI state switching delay requirements.</w:t>
      </w:r>
    </w:p>
    <w:p w14:paraId="17FC8153" w14:textId="53C5C035" w:rsidR="00E70376" w:rsidRPr="009C78D7" w:rsidRDefault="00E70376" w:rsidP="00E70376">
      <w:pPr>
        <w:pStyle w:val="af2"/>
        <w:rPr>
          <w:rFonts w:cstheme="minorHAnsi"/>
          <w:sz w:val="21"/>
          <w:szCs w:val="21"/>
        </w:rPr>
      </w:pPr>
      <w:bookmarkStart w:id="3" w:name="_Ref146710097"/>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009F203C" w:rsidRPr="009C78D7">
        <w:rPr>
          <w:rFonts w:cstheme="minorHAnsi"/>
          <w:noProof/>
          <w:sz w:val="21"/>
          <w:szCs w:val="21"/>
        </w:rPr>
        <w:t>1</w:t>
      </w:r>
      <w:r w:rsidRPr="009C78D7">
        <w:rPr>
          <w:rFonts w:cstheme="minorHAnsi"/>
          <w:sz w:val="21"/>
          <w:szCs w:val="21"/>
        </w:rPr>
        <w:fldChar w:fldCharType="end"/>
      </w:r>
      <w:r w:rsidRPr="009C78D7">
        <w:rPr>
          <w:rFonts w:cstheme="minorHAnsi"/>
          <w:sz w:val="21"/>
          <w:szCs w:val="21"/>
        </w:rPr>
        <w:t>: No need to discuss whether to consider STxMP or not when defining unified TCI state switching delay requirements for mTRP.</w:t>
      </w:r>
      <w:bookmarkEnd w:id="3"/>
      <w:r w:rsidRPr="009C78D7">
        <w:rPr>
          <w:rFonts w:cstheme="minorHAnsi"/>
          <w:sz w:val="21"/>
          <w:szCs w:val="21"/>
        </w:rPr>
        <w:t xml:space="preserve"> </w:t>
      </w:r>
    </w:p>
    <w:p w14:paraId="48B6AC9E" w14:textId="694C8944" w:rsidR="005468CC" w:rsidRPr="005468CC" w:rsidRDefault="005468CC" w:rsidP="00E12243">
      <w:r>
        <w:t xml:space="preserve">Regarding whether to consider simultaneous reception, according to the guidance in last meeting, some analysis on the workload should be discussed. </w:t>
      </w:r>
      <w:r w:rsidR="00E42682">
        <w:t xml:space="preserve">Here we just use some examples to explain why not to consider simultaneous reception here. </w:t>
      </w:r>
    </w:p>
    <w:p w14:paraId="0D8693B3" w14:textId="772A61AC" w:rsidR="001641B1" w:rsidRDefault="005468CC" w:rsidP="001641B1">
      <w:pPr>
        <w:rPr>
          <w:lang w:val="en-GB"/>
        </w:rPr>
      </w:pPr>
      <w:r>
        <w:rPr>
          <w:rFonts w:hint="eastAsia"/>
          <w:lang w:val="en-GB"/>
        </w:rPr>
        <w:t>I</w:t>
      </w:r>
      <w:r>
        <w:rPr>
          <w:lang w:val="en-GB"/>
        </w:rPr>
        <w:t>n multi-Rx WI, the discussions focus on FR2-1</w:t>
      </w:r>
      <w:r w:rsidR="002E0D50">
        <w:rPr>
          <w:lang w:val="en-GB"/>
        </w:rPr>
        <w:t>,</w:t>
      </w:r>
      <w:r>
        <w:rPr>
          <w:lang w:val="en-GB"/>
        </w:rPr>
        <w:t xml:space="preserve"> RTD within CP</w:t>
      </w:r>
      <w:r w:rsidR="002E0D50">
        <w:rPr>
          <w:lang w:val="en-GB"/>
        </w:rPr>
        <w:t xml:space="preserve"> and non-CA</w:t>
      </w:r>
      <w:r>
        <w:rPr>
          <w:lang w:val="en-GB"/>
        </w:rPr>
        <w:t xml:space="preserve"> case.</w:t>
      </w:r>
      <w:r w:rsidR="00E42682">
        <w:rPr>
          <w:lang w:val="en-GB"/>
        </w:rPr>
        <w:t xml:space="preserve"> But we don’t think there are such limitations in this WI. We wonder which scope to follow if considering simultaneous reception here. As the scope may be different from multi-Rx, we think whether each agreement reached in multi-Rx is applicable here should be further checked. As multi-</w:t>
      </w:r>
      <w:r w:rsidR="00E42682">
        <w:rPr>
          <w:rFonts w:hint="eastAsia"/>
          <w:lang w:val="en-GB"/>
        </w:rPr>
        <w:t>Rx</w:t>
      </w:r>
      <w:r w:rsidR="00E42682">
        <w:rPr>
          <w:lang w:val="en-GB"/>
        </w:rPr>
        <w:t xml:space="preserve"> WI has been delayed by a quarter</w:t>
      </w:r>
      <w:r w:rsidR="00A92F96">
        <w:rPr>
          <w:lang w:val="en-GB"/>
        </w:rPr>
        <w:t xml:space="preserve"> and will be closed at the same time of this WI</w:t>
      </w:r>
      <w:r w:rsidR="00E42682">
        <w:rPr>
          <w:lang w:val="en-GB"/>
        </w:rPr>
        <w:t xml:space="preserve">, we don’t think it is possible to </w:t>
      </w:r>
      <w:r w:rsidR="00A92F96">
        <w:rPr>
          <w:lang w:val="en-GB"/>
        </w:rPr>
        <w:t>check whether all the agreements reached in multi-Rx is applicable here.</w:t>
      </w:r>
      <w:r w:rsidR="002E0D50">
        <w:rPr>
          <w:lang w:val="en-GB"/>
        </w:rPr>
        <w:t xml:space="preserve"> </w:t>
      </w:r>
      <w:r w:rsidR="00761C80">
        <w:rPr>
          <w:lang w:val="en-GB"/>
        </w:rPr>
        <w:t>In addition, duplicate discussion should be avoided. It is very likely to make unaligned agreements in different WI. For example, last meeting, in multi-Rx WI, RAN4 agreed to only define dual TCI state switch delay for known TCI states in R18. But in this WI, we agreed to define TCI state switch delay for both known and unknown TCI states for m-DCI mTRP</w:t>
      </w:r>
      <w:r w:rsidR="001641B1">
        <w:rPr>
          <w:lang w:val="en-GB"/>
        </w:rPr>
        <w:t>. We understand the scenarios are different. Here we just use it as an example to show duplicate discussion should be avoided.</w:t>
      </w:r>
    </w:p>
    <w:tbl>
      <w:tblPr>
        <w:tblStyle w:val="af8"/>
        <w:tblW w:w="0" w:type="auto"/>
        <w:tblLook w:val="04A0" w:firstRow="1" w:lastRow="0" w:firstColumn="1" w:lastColumn="0" w:noHBand="0" w:noVBand="1"/>
      </w:tblPr>
      <w:tblGrid>
        <w:gridCol w:w="9629"/>
      </w:tblGrid>
      <w:tr w:rsidR="001641B1" w14:paraId="2D7B9675" w14:textId="77777777" w:rsidTr="00C07CCB">
        <w:tc>
          <w:tcPr>
            <w:tcW w:w="9629" w:type="dxa"/>
          </w:tcPr>
          <w:p w14:paraId="7843F50D" w14:textId="1B5CDE8B" w:rsidR="001641B1" w:rsidRPr="00A96E74" w:rsidRDefault="001641B1" w:rsidP="00C07CCB">
            <w:pPr>
              <w:rPr>
                <w:b/>
                <w:sz w:val="22"/>
              </w:rPr>
            </w:pPr>
            <w:r w:rsidRPr="00A96E74">
              <w:rPr>
                <w:b/>
                <w:sz w:val="22"/>
              </w:rPr>
              <w:t>In Mult</w:t>
            </w:r>
            <w:r w:rsidRPr="00A96E74">
              <w:rPr>
                <w:rFonts w:hint="eastAsia"/>
                <w:b/>
                <w:sz w:val="22"/>
              </w:rPr>
              <w:t>i</w:t>
            </w:r>
            <w:r w:rsidRPr="00A96E74">
              <w:rPr>
                <w:b/>
                <w:sz w:val="22"/>
              </w:rPr>
              <w:t>-Rx WI</w:t>
            </w:r>
          </w:p>
          <w:p w14:paraId="7EDCED46" w14:textId="47595AFE" w:rsidR="001641B1" w:rsidRPr="00E42682" w:rsidRDefault="001641B1" w:rsidP="00C07CCB">
            <w:pPr>
              <w:rPr>
                <w:b/>
                <w:sz w:val="20"/>
                <w:szCs w:val="21"/>
                <w:u w:val="single"/>
                <w:lang w:eastAsia="ko-KR"/>
              </w:rPr>
            </w:pPr>
            <w:r w:rsidRPr="00E42682">
              <w:rPr>
                <w:b/>
                <w:sz w:val="20"/>
                <w:szCs w:val="21"/>
                <w:u w:val="single"/>
                <w:lang w:eastAsia="ko-KR"/>
              </w:rPr>
              <w:t xml:space="preserve">Issue 2-5-1: Requirements to be considered </w:t>
            </w:r>
          </w:p>
          <w:p w14:paraId="7C879FEB" w14:textId="77777777" w:rsidR="001641B1" w:rsidRPr="00E42682" w:rsidRDefault="001641B1" w:rsidP="00C07CCB">
            <w:pPr>
              <w:spacing w:after="120"/>
              <w:rPr>
                <w:bCs/>
                <w:sz w:val="20"/>
              </w:rPr>
            </w:pPr>
            <w:r w:rsidRPr="00E42682">
              <w:rPr>
                <w:bCs/>
                <w:sz w:val="20"/>
              </w:rPr>
              <w:t>Agreement:</w:t>
            </w:r>
          </w:p>
          <w:p w14:paraId="7A0F068F" w14:textId="77777777" w:rsidR="001641B1" w:rsidRPr="00E42682" w:rsidRDefault="001641B1" w:rsidP="001641B1">
            <w:pPr>
              <w:pStyle w:val="af6"/>
              <w:widowControl/>
              <w:numPr>
                <w:ilvl w:val="1"/>
                <w:numId w:val="28"/>
              </w:numPr>
              <w:autoSpaceDN w:val="0"/>
              <w:adjustRightInd w:val="0"/>
              <w:spacing w:after="120" w:line="252" w:lineRule="auto"/>
              <w:contextualSpacing w:val="0"/>
            </w:pPr>
            <w:r w:rsidRPr="00E42682">
              <w:rPr>
                <w:sz w:val="20"/>
                <w:szCs w:val="21"/>
              </w:rPr>
              <w:t xml:space="preserve">For MAC-CE based dual TCI state switch delay, delay requirements are </w:t>
            </w:r>
            <w:r w:rsidRPr="001641B1">
              <w:rPr>
                <w:sz w:val="20"/>
                <w:szCs w:val="21"/>
                <w:highlight w:val="yellow"/>
              </w:rPr>
              <w:t>only defined for known</w:t>
            </w:r>
            <w:r w:rsidRPr="00E42682">
              <w:rPr>
                <w:sz w:val="20"/>
                <w:szCs w:val="21"/>
              </w:rPr>
              <w:t xml:space="preserve"> TCI states in Rel-18.</w:t>
            </w:r>
          </w:p>
        </w:tc>
      </w:tr>
    </w:tbl>
    <w:p w14:paraId="50E6A521" w14:textId="54ECBB14" w:rsidR="00E42682" w:rsidRDefault="00E42682" w:rsidP="00E12243">
      <w:pPr>
        <w:rPr>
          <w:lang w:val="en-GB"/>
        </w:rPr>
      </w:pPr>
    </w:p>
    <w:tbl>
      <w:tblPr>
        <w:tblStyle w:val="af8"/>
        <w:tblW w:w="0" w:type="auto"/>
        <w:tblLook w:val="04A0" w:firstRow="1" w:lastRow="0" w:firstColumn="1" w:lastColumn="0" w:noHBand="0" w:noVBand="1"/>
      </w:tblPr>
      <w:tblGrid>
        <w:gridCol w:w="9629"/>
      </w:tblGrid>
      <w:tr w:rsidR="001641B1" w14:paraId="1159B090" w14:textId="77777777" w:rsidTr="001641B1">
        <w:tc>
          <w:tcPr>
            <w:tcW w:w="9629" w:type="dxa"/>
          </w:tcPr>
          <w:p w14:paraId="3CFF127B" w14:textId="2C4FC086" w:rsidR="001641B1" w:rsidRPr="00A96E74" w:rsidRDefault="001641B1" w:rsidP="00E12243">
            <w:pPr>
              <w:rPr>
                <w:b/>
                <w:sz w:val="22"/>
              </w:rPr>
            </w:pPr>
            <w:r w:rsidRPr="00A96E74">
              <w:rPr>
                <w:rFonts w:hint="eastAsia"/>
                <w:b/>
                <w:sz w:val="22"/>
              </w:rPr>
              <w:lastRenderedPageBreak/>
              <w:t>I</w:t>
            </w:r>
            <w:r w:rsidRPr="00A96E74">
              <w:rPr>
                <w:b/>
                <w:sz w:val="22"/>
              </w:rPr>
              <w:t>n R18 MIMO_evo</w:t>
            </w:r>
          </w:p>
          <w:p w14:paraId="2074D513" w14:textId="77777777" w:rsidR="001641B1" w:rsidRPr="001641B1" w:rsidRDefault="001641B1" w:rsidP="001641B1">
            <w:pPr>
              <w:spacing w:after="120"/>
              <w:rPr>
                <w:b/>
                <w:sz w:val="20"/>
                <w:szCs w:val="21"/>
                <w:u w:val="single"/>
              </w:rPr>
            </w:pPr>
            <w:r w:rsidRPr="001641B1">
              <w:rPr>
                <w:b/>
                <w:sz w:val="20"/>
                <w:szCs w:val="21"/>
                <w:u w:val="single"/>
              </w:rPr>
              <w:t>Issue 3-1-5: For mDCI mTRP, how to specify RRM requirements for eUTCI if UE cannot support simultaneous DL reception in FR2? </w:t>
            </w:r>
          </w:p>
          <w:p w14:paraId="3D1EEBF4" w14:textId="77777777" w:rsidR="001641B1" w:rsidRPr="001641B1" w:rsidRDefault="001641B1" w:rsidP="001641B1">
            <w:pPr>
              <w:rPr>
                <w:sz w:val="20"/>
                <w:szCs w:val="21"/>
              </w:rPr>
            </w:pPr>
            <w:r w:rsidRPr="001641B1">
              <w:rPr>
                <w:b/>
                <w:sz w:val="20"/>
                <w:szCs w:val="21"/>
              </w:rPr>
              <w:t>Agreement</w:t>
            </w:r>
            <w:r w:rsidRPr="001641B1">
              <w:rPr>
                <w:sz w:val="20"/>
                <w:szCs w:val="21"/>
              </w:rPr>
              <w:t>:</w:t>
            </w:r>
          </w:p>
          <w:p w14:paraId="664ED65E" w14:textId="77777777" w:rsidR="001641B1" w:rsidRPr="001641B1" w:rsidRDefault="001641B1" w:rsidP="001641B1">
            <w:pPr>
              <w:pStyle w:val="af6"/>
              <w:widowControl/>
              <w:numPr>
                <w:ilvl w:val="1"/>
                <w:numId w:val="28"/>
              </w:numPr>
              <w:overflowPunct w:val="0"/>
              <w:autoSpaceDE w:val="0"/>
              <w:autoSpaceDN w:val="0"/>
              <w:adjustRightInd w:val="0"/>
              <w:spacing w:after="120" w:line="252" w:lineRule="auto"/>
              <w:contextualSpacing w:val="0"/>
              <w:rPr>
                <w:bCs/>
                <w:sz w:val="20"/>
                <w:szCs w:val="21"/>
              </w:rPr>
            </w:pPr>
            <w:r w:rsidRPr="001641B1">
              <w:rPr>
                <w:bCs/>
                <w:sz w:val="20"/>
                <w:szCs w:val="21"/>
              </w:rPr>
              <w:t xml:space="preserve">RRM requirements for eUTCI </w:t>
            </w:r>
          </w:p>
          <w:p w14:paraId="7982AF1C" w14:textId="77777777" w:rsidR="001641B1" w:rsidRPr="001641B1" w:rsidRDefault="001641B1" w:rsidP="001641B1">
            <w:pPr>
              <w:pStyle w:val="af6"/>
              <w:widowControl/>
              <w:numPr>
                <w:ilvl w:val="2"/>
                <w:numId w:val="28"/>
              </w:numPr>
              <w:overflowPunct w:val="0"/>
              <w:autoSpaceDE w:val="0"/>
              <w:autoSpaceDN w:val="0"/>
              <w:adjustRightInd w:val="0"/>
              <w:spacing w:after="120" w:line="252" w:lineRule="auto"/>
              <w:contextualSpacing w:val="0"/>
              <w:rPr>
                <w:sz w:val="20"/>
                <w:szCs w:val="21"/>
              </w:rPr>
            </w:pPr>
            <w:r w:rsidRPr="001641B1">
              <w:rPr>
                <w:bCs/>
                <w:sz w:val="20"/>
                <w:szCs w:val="21"/>
              </w:rPr>
              <w:t>For UEs not supporting two TAs, reuse Rel-17 unified TCI state switching requirements [with association of coresetPoolIndex].</w:t>
            </w:r>
          </w:p>
          <w:p w14:paraId="2584B2A5" w14:textId="77777777" w:rsidR="001641B1" w:rsidRPr="001641B1" w:rsidRDefault="001641B1" w:rsidP="001641B1">
            <w:pPr>
              <w:pStyle w:val="af6"/>
              <w:widowControl/>
              <w:numPr>
                <w:ilvl w:val="2"/>
                <w:numId w:val="28"/>
              </w:numPr>
              <w:overflowPunct w:val="0"/>
              <w:autoSpaceDE w:val="0"/>
              <w:autoSpaceDN w:val="0"/>
              <w:adjustRightInd w:val="0"/>
              <w:spacing w:after="120" w:line="252" w:lineRule="auto"/>
              <w:contextualSpacing w:val="0"/>
              <w:rPr>
                <w:sz w:val="20"/>
                <w:szCs w:val="21"/>
              </w:rPr>
            </w:pPr>
            <w:r w:rsidRPr="001641B1">
              <w:rPr>
                <w:bCs/>
                <w:sz w:val="20"/>
                <w:szCs w:val="21"/>
              </w:rPr>
              <w:t>For UEs supporting two TAs and not capable to support RTD &gt; CP reuse Rel-17 unified TCI state switching requirements [with association of coresetPoolIndex]</w:t>
            </w:r>
          </w:p>
          <w:p w14:paraId="6EC625F3" w14:textId="77777777" w:rsidR="001641B1" w:rsidRPr="001641B1" w:rsidRDefault="001641B1" w:rsidP="001641B1">
            <w:pPr>
              <w:pStyle w:val="af6"/>
              <w:widowControl/>
              <w:numPr>
                <w:ilvl w:val="2"/>
                <w:numId w:val="28"/>
              </w:numPr>
              <w:overflowPunct w:val="0"/>
              <w:autoSpaceDE w:val="0"/>
              <w:autoSpaceDN w:val="0"/>
              <w:adjustRightInd w:val="0"/>
              <w:spacing w:after="120" w:line="252" w:lineRule="auto"/>
              <w:contextualSpacing w:val="0"/>
              <w:rPr>
                <w:sz w:val="20"/>
                <w:szCs w:val="21"/>
              </w:rPr>
            </w:pPr>
            <w:r w:rsidRPr="001641B1">
              <w:rPr>
                <w:bCs/>
                <w:sz w:val="20"/>
                <w:szCs w:val="21"/>
              </w:rPr>
              <w:t>For UEs supporting two TAs and capable to support RTD &gt; CP the requirements are FFS</w:t>
            </w:r>
          </w:p>
          <w:p w14:paraId="6E10B0C0" w14:textId="1BEDB5D1" w:rsidR="00E70376" w:rsidRPr="00447DA1" w:rsidRDefault="001641B1" w:rsidP="00E70376">
            <w:pPr>
              <w:pStyle w:val="af6"/>
              <w:widowControl/>
              <w:numPr>
                <w:ilvl w:val="2"/>
                <w:numId w:val="28"/>
              </w:numPr>
              <w:overflowPunct w:val="0"/>
              <w:autoSpaceDE w:val="0"/>
              <w:autoSpaceDN w:val="0"/>
              <w:adjustRightInd w:val="0"/>
              <w:spacing w:after="120" w:line="252" w:lineRule="auto"/>
              <w:contextualSpacing w:val="0"/>
            </w:pPr>
            <w:r w:rsidRPr="001641B1">
              <w:rPr>
                <w:bCs/>
                <w:sz w:val="20"/>
                <w:szCs w:val="21"/>
              </w:rPr>
              <w:t xml:space="preserve">The TCI state switching requirements cover </w:t>
            </w:r>
            <w:r w:rsidRPr="001641B1">
              <w:rPr>
                <w:bCs/>
                <w:sz w:val="20"/>
                <w:szCs w:val="21"/>
                <w:highlight w:val="yellow"/>
              </w:rPr>
              <w:t>both known and unknown</w:t>
            </w:r>
            <w:r w:rsidRPr="001641B1">
              <w:rPr>
                <w:bCs/>
                <w:sz w:val="20"/>
                <w:szCs w:val="21"/>
              </w:rPr>
              <w:t xml:space="preserve"> target TCI state cases</w:t>
            </w:r>
          </w:p>
        </w:tc>
      </w:tr>
    </w:tbl>
    <w:p w14:paraId="478D2B87" w14:textId="561915FB" w:rsidR="00E70376" w:rsidRPr="00E70376" w:rsidRDefault="00E70376" w:rsidP="00E70376">
      <w:pPr>
        <w:spacing w:beforeLines="50" w:before="120" w:afterLines="50" w:after="120"/>
        <w:rPr>
          <w:rFonts w:eastAsia="PMingLiU" w:cstheme="minorHAnsi"/>
          <w:b/>
        </w:rPr>
      </w:pPr>
      <w:bookmarkStart w:id="4" w:name="_Ref146710100"/>
      <w:r w:rsidRPr="00E70376">
        <w:rPr>
          <w:rFonts w:cstheme="minorHAnsi"/>
          <w:b/>
        </w:rPr>
        <w:t xml:space="preserve">Proposal </w:t>
      </w:r>
      <w:r w:rsidRPr="00E70376">
        <w:rPr>
          <w:rFonts w:cstheme="minorHAnsi"/>
          <w:b/>
        </w:rPr>
        <w:fldChar w:fldCharType="begin"/>
      </w:r>
      <w:r w:rsidRPr="00E70376">
        <w:rPr>
          <w:rFonts w:cstheme="minorHAnsi"/>
          <w:b/>
        </w:rPr>
        <w:instrText xml:space="preserve"> SEQ Proposal \* ARABIC </w:instrText>
      </w:r>
      <w:r w:rsidRPr="00E70376">
        <w:rPr>
          <w:rFonts w:cstheme="minorHAnsi"/>
          <w:b/>
        </w:rPr>
        <w:fldChar w:fldCharType="separate"/>
      </w:r>
      <w:r w:rsidR="009F203C">
        <w:rPr>
          <w:rFonts w:cstheme="minorHAnsi"/>
          <w:b/>
          <w:noProof/>
        </w:rPr>
        <w:t>2</w:t>
      </w:r>
      <w:r w:rsidRPr="00E70376">
        <w:rPr>
          <w:rFonts w:cstheme="minorHAnsi"/>
          <w:b/>
        </w:rPr>
        <w:fldChar w:fldCharType="end"/>
      </w:r>
      <w:r w:rsidRPr="00E70376">
        <w:rPr>
          <w:rFonts w:cstheme="minorHAnsi"/>
          <w:b/>
        </w:rPr>
        <w:t xml:space="preserve">: </w:t>
      </w:r>
      <w:r>
        <w:rPr>
          <w:rFonts w:cstheme="minorHAnsi"/>
          <w:b/>
        </w:rPr>
        <w:t>Not to consider simultaneous reception in FR2 for eUTCI</w:t>
      </w:r>
      <w:r w:rsidRPr="00E70376">
        <w:rPr>
          <w:rFonts w:cstheme="minorHAnsi" w:hint="eastAsia"/>
          <w:b/>
        </w:rPr>
        <w:t xml:space="preserve"> i</w:t>
      </w:r>
      <w:r w:rsidRPr="00E70376">
        <w:rPr>
          <w:rFonts w:cstheme="minorHAnsi"/>
          <w:b/>
        </w:rPr>
        <w:t>n this WI</w:t>
      </w:r>
      <w:r>
        <w:rPr>
          <w:rFonts w:cstheme="minorHAnsi"/>
          <w:b/>
        </w:rPr>
        <w:t>.</w:t>
      </w:r>
      <w:bookmarkEnd w:id="4"/>
    </w:p>
    <w:p w14:paraId="4CFA194F" w14:textId="449BDBED" w:rsidR="00C815E4" w:rsidRDefault="00C815E4" w:rsidP="001461A7">
      <w:pPr>
        <w:spacing w:beforeLines="50" w:before="120" w:afterLines="50" w:after="120"/>
        <w:rPr>
          <w:lang w:val="en-GB"/>
        </w:rPr>
      </w:pPr>
      <w:r w:rsidRPr="00C815E4">
        <w:rPr>
          <w:rFonts w:hint="eastAsia"/>
          <w:lang w:val="en-GB"/>
        </w:rPr>
        <w:t>I</w:t>
      </w:r>
      <w:r w:rsidRPr="00C815E4">
        <w:rPr>
          <w:lang w:val="en-GB"/>
        </w:rPr>
        <w:t>n previ</w:t>
      </w:r>
      <w:r>
        <w:rPr>
          <w:lang w:val="en-GB"/>
        </w:rPr>
        <w:t xml:space="preserve">ous meetings, there are some discussions on whether to define RRC based TCI state requirements for eUTCI. Last meeting, RAN4 agreed not to define RRC based TCI state requirements mDCI mTRP but didn’t conclude on sDCI mTRP. In our understanding, even two TCI states are configured through RRC for two TRPs, NW can still choose to active one of them. </w:t>
      </w:r>
      <w:proofErr w:type="gramStart"/>
      <w:r>
        <w:rPr>
          <w:lang w:val="en-GB"/>
        </w:rPr>
        <w:t>So</w:t>
      </w:r>
      <w:proofErr w:type="gramEnd"/>
      <w:r>
        <w:rPr>
          <w:lang w:val="en-GB"/>
        </w:rPr>
        <w:t xml:space="preserve"> it is not feasible to active dual TCI states through RRC. In addition, RAN4 didn’t define RRC based TCI state switch delay for unifi</w:t>
      </w:r>
      <w:r w:rsidR="00752735">
        <w:rPr>
          <w:lang w:val="en-GB"/>
        </w:rPr>
        <w:t xml:space="preserve">ed TCI framework in R17. The reason is that one of the motivations of unified TCI framework is for fast TCI state activation. RRC based TCI state switch is not aligned with this motivation. </w:t>
      </w:r>
      <w:bookmarkStart w:id="5" w:name="OLE_LINK107"/>
      <w:r w:rsidR="00752735">
        <w:rPr>
          <w:lang w:val="en-GB"/>
        </w:rPr>
        <w:t>Based on above reasons, we propose not to define RRC based TCI state switch delay requirements for sDCI mTRP too.</w:t>
      </w:r>
    </w:p>
    <w:p w14:paraId="7759F105" w14:textId="737C8767" w:rsidR="00752735" w:rsidRPr="009C78D7" w:rsidRDefault="00E70376" w:rsidP="00E70376">
      <w:pPr>
        <w:pStyle w:val="af2"/>
        <w:rPr>
          <w:rFonts w:cstheme="minorHAnsi"/>
          <w:sz w:val="21"/>
          <w:szCs w:val="21"/>
        </w:rPr>
      </w:pPr>
      <w:bookmarkStart w:id="6" w:name="_Ref146710105"/>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009F203C" w:rsidRPr="009C78D7">
        <w:rPr>
          <w:rFonts w:cstheme="minorHAnsi"/>
          <w:noProof/>
          <w:sz w:val="21"/>
          <w:szCs w:val="21"/>
        </w:rPr>
        <w:t>3</w:t>
      </w:r>
      <w:r w:rsidRPr="009C78D7">
        <w:rPr>
          <w:rFonts w:cstheme="minorHAnsi"/>
          <w:sz w:val="21"/>
          <w:szCs w:val="21"/>
        </w:rPr>
        <w:fldChar w:fldCharType="end"/>
      </w:r>
      <w:r w:rsidRPr="009C78D7">
        <w:rPr>
          <w:rFonts w:cstheme="minorHAnsi"/>
          <w:sz w:val="21"/>
          <w:szCs w:val="21"/>
        </w:rPr>
        <w:t>:</w:t>
      </w:r>
      <w:bookmarkStart w:id="7" w:name="_Hlk146658850"/>
      <w:bookmarkEnd w:id="5"/>
      <w:r w:rsidR="00752735" w:rsidRPr="009C78D7">
        <w:rPr>
          <w:rFonts w:cstheme="minorHAnsi"/>
          <w:sz w:val="21"/>
          <w:szCs w:val="21"/>
        </w:rPr>
        <w:t xml:space="preserve"> Not to define RRC based TCI state switch delay requirements for sDCI mTRP.</w:t>
      </w:r>
      <w:bookmarkEnd w:id="6"/>
      <w:bookmarkEnd w:id="7"/>
    </w:p>
    <w:p w14:paraId="28F1AEF7" w14:textId="580F54F3" w:rsidR="005442B3" w:rsidRPr="009C78D7" w:rsidRDefault="005442B3" w:rsidP="001461A7">
      <w:pPr>
        <w:spacing w:beforeLines="50" w:before="120" w:afterLines="50" w:after="120"/>
        <w:rPr>
          <w:szCs w:val="21"/>
          <w:lang w:val="en-GB"/>
        </w:rPr>
      </w:pPr>
      <w:bookmarkStart w:id="8" w:name="OLE_LINK113"/>
      <w:r w:rsidRPr="009C78D7">
        <w:rPr>
          <w:rFonts w:hint="eastAsia"/>
          <w:szCs w:val="21"/>
          <w:lang w:val="en-GB"/>
        </w:rPr>
        <w:t>R</w:t>
      </w:r>
      <w:r w:rsidRPr="009C78D7">
        <w:rPr>
          <w:szCs w:val="21"/>
          <w:lang w:val="en-GB"/>
        </w:rPr>
        <w:t>egarding</w:t>
      </w:r>
      <w:bookmarkEnd w:id="8"/>
      <w:r w:rsidRPr="009C78D7">
        <w:rPr>
          <w:szCs w:val="21"/>
          <w:lang w:val="en-GB"/>
        </w:rPr>
        <w:t xml:space="preserve"> whether consider unknown target TCI state cases for sDCI mTRP, we propose at least not to consider known + unknown case.</w:t>
      </w:r>
      <w:r w:rsidR="00D51452" w:rsidRPr="009C78D7">
        <w:rPr>
          <w:szCs w:val="21"/>
          <w:lang w:val="en-GB"/>
        </w:rPr>
        <w:t xml:space="preserve"> In our understanding, dual TCI state switch is triggered by </w:t>
      </w:r>
      <w:r w:rsidR="00E70376" w:rsidRPr="009C78D7">
        <w:rPr>
          <w:szCs w:val="21"/>
          <w:lang w:val="en-GB"/>
        </w:rPr>
        <w:t>group-based</w:t>
      </w:r>
      <w:r w:rsidR="00D51452" w:rsidRPr="009C78D7">
        <w:rPr>
          <w:szCs w:val="21"/>
          <w:lang w:val="en-GB"/>
        </w:rPr>
        <w:t xml:space="preserve"> beam report. It is strange that one TCI state is known and another </w:t>
      </w:r>
      <w:r w:rsidR="00E70376" w:rsidRPr="009C78D7">
        <w:rPr>
          <w:szCs w:val="21"/>
          <w:lang w:val="en-GB"/>
        </w:rPr>
        <w:t xml:space="preserve">one </w:t>
      </w:r>
      <w:r w:rsidR="00D51452" w:rsidRPr="009C78D7">
        <w:rPr>
          <w:szCs w:val="21"/>
          <w:lang w:val="en-GB"/>
        </w:rPr>
        <w:t>is unknown.</w:t>
      </w:r>
    </w:p>
    <w:p w14:paraId="1CDE9A2E" w14:textId="465A4C68" w:rsidR="00D51452" w:rsidRPr="009C78D7" w:rsidRDefault="00E70376" w:rsidP="00E70376">
      <w:pPr>
        <w:pStyle w:val="af2"/>
        <w:rPr>
          <w:rFonts w:cstheme="minorHAnsi"/>
          <w:sz w:val="21"/>
          <w:szCs w:val="21"/>
        </w:rPr>
      </w:pPr>
      <w:bookmarkStart w:id="9" w:name="_Ref146710108"/>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009F203C" w:rsidRPr="009C78D7">
        <w:rPr>
          <w:rFonts w:cstheme="minorHAnsi"/>
          <w:noProof/>
          <w:sz w:val="21"/>
          <w:szCs w:val="21"/>
        </w:rPr>
        <w:t>4</w:t>
      </w:r>
      <w:r w:rsidRPr="009C78D7">
        <w:rPr>
          <w:rFonts w:cstheme="minorHAnsi"/>
          <w:sz w:val="21"/>
          <w:szCs w:val="21"/>
        </w:rPr>
        <w:fldChar w:fldCharType="end"/>
      </w:r>
      <w:r w:rsidRPr="009C78D7">
        <w:rPr>
          <w:rFonts w:cstheme="minorHAnsi"/>
          <w:sz w:val="21"/>
          <w:szCs w:val="21"/>
        </w:rPr>
        <w:t>:</w:t>
      </w:r>
      <w:bookmarkStart w:id="10" w:name="_Hlk146658873"/>
      <w:r w:rsidR="00D51452" w:rsidRPr="009C78D7">
        <w:rPr>
          <w:rFonts w:cstheme="minorHAnsi"/>
          <w:sz w:val="21"/>
          <w:szCs w:val="21"/>
        </w:rPr>
        <w:t xml:space="preserve"> Not to define TCI state switch delay requirements for known + unknown TCI state for sDCI mTRP.</w:t>
      </w:r>
      <w:bookmarkEnd w:id="9"/>
    </w:p>
    <w:p w14:paraId="06406BAC" w14:textId="7CDF05D7" w:rsidR="00E70376" w:rsidRDefault="00E70376" w:rsidP="001461A7">
      <w:pPr>
        <w:spacing w:beforeLines="50" w:before="120" w:afterLines="50" w:after="120"/>
        <w:rPr>
          <w:lang w:val="en-GB"/>
        </w:rPr>
      </w:pPr>
      <w:r>
        <w:rPr>
          <w:lang w:val="en-GB"/>
        </w:rPr>
        <w:t xml:space="preserve">Regarding the conditions of known target TCI states, we could </w:t>
      </w:r>
      <w:bookmarkStart w:id="11" w:name="OLE_LINK115"/>
      <w:r>
        <w:rPr>
          <w:lang w:val="en-GB"/>
        </w:rPr>
        <w:t>reuse legacy known conditions as baseline.</w:t>
      </w:r>
      <w:bookmarkEnd w:id="11"/>
    </w:p>
    <w:p w14:paraId="0266437A" w14:textId="53567246" w:rsidR="00E70376" w:rsidRPr="009C78D7" w:rsidRDefault="00E70376" w:rsidP="00E70376">
      <w:pPr>
        <w:pStyle w:val="af2"/>
        <w:rPr>
          <w:rFonts w:cstheme="minorHAnsi"/>
          <w:sz w:val="21"/>
          <w:szCs w:val="21"/>
        </w:rPr>
      </w:pPr>
      <w:bookmarkStart w:id="12" w:name="_Ref146710112"/>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009F203C" w:rsidRPr="009C78D7">
        <w:rPr>
          <w:rFonts w:cstheme="minorHAnsi"/>
          <w:noProof/>
          <w:sz w:val="21"/>
          <w:szCs w:val="21"/>
        </w:rPr>
        <w:t>5</w:t>
      </w:r>
      <w:r w:rsidRPr="009C78D7">
        <w:rPr>
          <w:rFonts w:cstheme="minorHAnsi"/>
          <w:sz w:val="21"/>
          <w:szCs w:val="21"/>
        </w:rPr>
        <w:fldChar w:fldCharType="end"/>
      </w:r>
      <w:r w:rsidRPr="009C78D7">
        <w:rPr>
          <w:rFonts w:cstheme="minorHAnsi"/>
          <w:sz w:val="21"/>
          <w:szCs w:val="21"/>
        </w:rPr>
        <w:t>:</w:t>
      </w:r>
      <w:bookmarkStart w:id="13" w:name="OLE_LINK105"/>
      <w:r w:rsidRPr="009C78D7">
        <w:rPr>
          <w:rFonts w:cstheme="minorHAnsi"/>
          <w:sz w:val="21"/>
          <w:szCs w:val="21"/>
        </w:rPr>
        <w:t xml:space="preserve"> </w:t>
      </w:r>
      <w:bookmarkEnd w:id="12"/>
      <w:r w:rsidR="00447DA1">
        <w:rPr>
          <w:rFonts w:cstheme="minorHAnsi"/>
          <w:sz w:val="21"/>
          <w:szCs w:val="21"/>
        </w:rPr>
        <w:t>TCI state is known if the following conditions are met:</w:t>
      </w:r>
    </w:p>
    <w:p w14:paraId="2837417D" w14:textId="77777777" w:rsidR="00E70376" w:rsidRPr="009C78D7" w:rsidRDefault="00E70376" w:rsidP="00E70376">
      <w:pPr>
        <w:pStyle w:val="af2"/>
        <w:numPr>
          <w:ilvl w:val="0"/>
          <w:numId w:val="41"/>
        </w:numPr>
        <w:rPr>
          <w:rFonts w:cstheme="minorHAnsi"/>
          <w:sz w:val="21"/>
          <w:szCs w:val="21"/>
        </w:rPr>
      </w:pPr>
      <w:bookmarkStart w:id="14" w:name="OLE_LINK119"/>
      <w:r w:rsidRPr="009C78D7">
        <w:rPr>
          <w:rFonts w:cstheme="minorHAnsi"/>
          <w:sz w:val="21"/>
          <w:szCs w:val="21"/>
        </w:rPr>
        <w:t>L1-RSRP report within [1280] ms when receive TCI switch command.</w:t>
      </w:r>
    </w:p>
    <w:p w14:paraId="6AD82BA8" w14:textId="77777777" w:rsidR="00E70376" w:rsidRPr="009C78D7" w:rsidRDefault="00E70376" w:rsidP="00E70376">
      <w:pPr>
        <w:pStyle w:val="af2"/>
        <w:numPr>
          <w:ilvl w:val="0"/>
          <w:numId w:val="41"/>
        </w:numPr>
        <w:rPr>
          <w:rFonts w:cstheme="minorHAnsi"/>
          <w:sz w:val="21"/>
          <w:szCs w:val="21"/>
        </w:rPr>
      </w:pPr>
      <w:r w:rsidRPr="009C78D7">
        <w:rPr>
          <w:rFonts w:cstheme="minorHAnsi"/>
          <w:sz w:val="21"/>
          <w:szCs w:val="21"/>
        </w:rPr>
        <w:t>SSB associate with TCI remain detectable (SNR &gt;= [-3] dB) during switching period.</w:t>
      </w:r>
      <w:bookmarkEnd w:id="14"/>
      <w:r w:rsidRPr="009C78D7">
        <w:rPr>
          <w:rFonts w:cstheme="minorHAnsi"/>
          <w:sz w:val="21"/>
          <w:szCs w:val="21"/>
        </w:rPr>
        <w:t xml:space="preserve"> </w:t>
      </w:r>
      <w:bookmarkEnd w:id="13"/>
    </w:p>
    <w:p w14:paraId="14DD2516" w14:textId="77777777" w:rsidR="00E70376" w:rsidRPr="009C78D7" w:rsidRDefault="00E70376" w:rsidP="001461A7">
      <w:pPr>
        <w:spacing w:beforeLines="50" w:before="120" w:afterLines="50" w:after="120"/>
        <w:rPr>
          <w:rFonts w:eastAsia="PMingLiU"/>
          <w:lang w:val="en-GB"/>
        </w:rPr>
      </w:pPr>
    </w:p>
    <w:bookmarkEnd w:id="10"/>
    <w:p w14:paraId="3E72C718" w14:textId="42A60519" w:rsidR="00B86D60" w:rsidRPr="007141BD" w:rsidRDefault="00B86D60" w:rsidP="00B86D60">
      <w:pPr>
        <w:pStyle w:val="2"/>
        <w:spacing w:before="100" w:beforeAutospacing="1" w:after="100" w:afterAutospacing="1"/>
        <w:ind w:left="0" w:firstLine="0"/>
        <w:jc w:val="both"/>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2.2 </w:t>
      </w:r>
      <w:r w:rsidRPr="007141BD">
        <w:rPr>
          <w:rFonts w:asciiTheme="minorHAnsi" w:eastAsia="PMingLiU" w:hAnsiTheme="minorHAnsi" w:cstheme="minorHAnsi"/>
          <w:szCs w:val="32"/>
          <w:lang w:eastAsia="zh-TW"/>
        </w:rPr>
        <w:t xml:space="preserve">Unified TCI </w:t>
      </w:r>
      <w:r>
        <w:rPr>
          <w:rFonts w:asciiTheme="minorHAnsi" w:eastAsia="PMingLiU" w:hAnsiTheme="minorHAnsi" w:cstheme="minorHAnsi"/>
          <w:szCs w:val="32"/>
          <w:lang w:eastAsia="zh-TW"/>
        </w:rPr>
        <w:t>state switching requirement</w:t>
      </w:r>
    </w:p>
    <w:p w14:paraId="6ECC8197" w14:textId="2F2CD0C4" w:rsidR="00F3257D" w:rsidRDefault="00F3257D" w:rsidP="00F3257D">
      <w:pPr>
        <w:rPr>
          <w:lang w:val="en-GB"/>
        </w:rPr>
      </w:pPr>
      <w:r>
        <w:rPr>
          <w:rFonts w:hint="eastAsia"/>
          <w:lang w:val="en-GB"/>
        </w:rPr>
        <w:t>I</w:t>
      </w:r>
      <w:r>
        <w:rPr>
          <w:lang w:val="en-GB"/>
        </w:rPr>
        <w:t xml:space="preserve">n last meeting, </w:t>
      </w:r>
      <w:r w:rsidR="00E06A86">
        <w:rPr>
          <w:lang w:val="en-GB"/>
        </w:rPr>
        <w:t xml:space="preserve">RAN4 reached some agreement </w:t>
      </w:r>
      <w:r>
        <w:rPr>
          <w:lang w:val="en-GB"/>
        </w:rPr>
        <w:t>on the</w:t>
      </w:r>
      <w:r w:rsidR="0079724B">
        <w:rPr>
          <w:lang w:val="en-GB"/>
        </w:rPr>
        <w:t xml:space="preserve"> unified TCI state switching requirement</w:t>
      </w:r>
      <w:r w:rsidR="00E06A86">
        <w:rPr>
          <w:lang w:val="en-GB"/>
        </w:rPr>
        <w:t>s for mDCI mTRP</w:t>
      </w:r>
      <w:r w:rsidR="0079724B">
        <w:rPr>
          <w:lang w:val="en-GB"/>
        </w:rPr>
        <w:t>.</w:t>
      </w:r>
    </w:p>
    <w:p w14:paraId="3694790A" w14:textId="77777777" w:rsidR="00F3257D" w:rsidRDefault="00F3257D" w:rsidP="00F3257D">
      <w:pPr>
        <w:rPr>
          <w:lang w:val="en-GB"/>
        </w:rPr>
      </w:pPr>
    </w:p>
    <w:tbl>
      <w:tblPr>
        <w:tblStyle w:val="af8"/>
        <w:tblW w:w="0" w:type="auto"/>
        <w:tblLook w:val="04A0" w:firstRow="1" w:lastRow="0" w:firstColumn="1" w:lastColumn="0" w:noHBand="0" w:noVBand="1"/>
      </w:tblPr>
      <w:tblGrid>
        <w:gridCol w:w="9629"/>
      </w:tblGrid>
      <w:tr w:rsidR="00F3257D" w14:paraId="445B0307" w14:textId="77777777" w:rsidTr="00E42A0B">
        <w:tc>
          <w:tcPr>
            <w:tcW w:w="9629" w:type="dxa"/>
          </w:tcPr>
          <w:p w14:paraId="4F413A1B" w14:textId="77777777" w:rsidR="00E06A86" w:rsidRPr="00E06A86" w:rsidRDefault="00E06A86" w:rsidP="00E06A86">
            <w:pPr>
              <w:spacing w:after="120"/>
              <w:rPr>
                <w:b/>
                <w:sz w:val="20"/>
                <w:szCs w:val="21"/>
                <w:u w:val="single"/>
              </w:rPr>
            </w:pPr>
            <w:r w:rsidRPr="00E06A86">
              <w:rPr>
                <w:b/>
                <w:sz w:val="20"/>
                <w:szCs w:val="21"/>
                <w:u w:val="single"/>
              </w:rPr>
              <w:t>Issue 3-1-5: For mDCI mTRP, how to specify RRM requirements for eUTCI if UE cannot support simultaneous DL reception in FR2? </w:t>
            </w:r>
          </w:p>
          <w:p w14:paraId="145EEB4A" w14:textId="77777777" w:rsidR="00E06A86" w:rsidRPr="00E06A86" w:rsidRDefault="00E06A86" w:rsidP="00E06A86">
            <w:pPr>
              <w:rPr>
                <w:sz w:val="20"/>
                <w:szCs w:val="21"/>
              </w:rPr>
            </w:pPr>
            <w:r w:rsidRPr="00E06A86">
              <w:rPr>
                <w:b/>
                <w:sz w:val="20"/>
                <w:szCs w:val="21"/>
              </w:rPr>
              <w:t>Agreement</w:t>
            </w:r>
            <w:r w:rsidRPr="00E06A86">
              <w:rPr>
                <w:sz w:val="20"/>
                <w:szCs w:val="21"/>
              </w:rPr>
              <w:t>:</w:t>
            </w:r>
          </w:p>
          <w:p w14:paraId="18752251" w14:textId="77777777" w:rsidR="00E06A86" w:rsidRPr="00E06A86" w:rsidRDefault="00E06A86" w:rsidP="00E06A86">
            <w:pPr>
              <w:pStyle w:val="af6"/>
              <w:widowControl/>
              <w:numPr>
                <w:ilvl w:val="1"/>
                <w:numId w:val="30"/>
              </w:numPr>
              <w:overflowPunct w:val="0"/>
              <w:autoSpaceDE w:val="0"/>
              <w:autoSpaceDN w:val="0"/>
              <w:adjustRightInd w:val="0"/>
              <w:spacing w:after="120" w:line="252" w:lineRule="auto"/>
              <w:contextualSpacing w:val="0"/>
              <w:rPr>
                <w:bCs/>
                <w:sz w:val="20"/>
                <w:szCs w:val="21"/>
              </w:rPr>
            </w:pPr>
            <w:r w:rsidRPr="00E06A86">
              <w:rPr>
                <w:bCs/>
                <w:sz w:val="20"/>
                <w:szCs w:val="21"/>
              </w:rPr>
              <w:t xml:space="preserve">RRM requirements for eUTCI </w:t>
            </w:r>
          </w:p>
          <w:p w14:paraId="60B24C40" w14:textId="77777777" w:rsidR="00E06A86" w:rsidRPr="00E06A86" w:rsidRDefault="00E06A86" w:rsidP="00E06A86">
            <w:pPr>
              <w:pStyle w:val="af6"/>
              <w:widowControl/>
              <w:numPr>
                <w:ilvl w:val="2"/>
                <w:numId w:val="30"/>
              </w:numPr>
              <w:overflowPunct w:val="0"/>
              <w:autoSpaceDE w:val="0"/>
              <w:autoSpaceDN w:val="0"/>
              <w:adjustRightInd w:val="0"/>
              <w:spacing w:after="120" w:line="252" w:lineRule="auto"/>
              <w:contextualSpacing w:val="0"/>
              <w:rPr>
                <w:sz w:val="20"/>
                <w:szCs w:val="21"/>
              </w:rPr>
            </w:pPr>
            <w:r w:rsidRPr="00E06A86">
              <w:rPr>
                <w:bCs/>
                <w:sz w:val="20"/>
                <w:szCs w:val="21"/>
              </w:rPr>
              <w:t>For UEs not supporting two TAs, reuse Rel-17 unified TCI state switching requirements [with association of coresetPoolIndex].</w:t>
            </w:r>
          </w:p>
          <w:p w14:paraId="33241063" w14:textId="77777777" w:rsidR="00E06A86" w:rsidRPr="00E06A86" w:rsidRDefault="00E06A86" w:rsidP="00E06A86">
            <w:pPr>
              <w:pStyle w:val="af6"/>
              <w:widowControl/>
              <w:numPr>
                <w:ilvl w:val="2"/>
                <w:numId w:val="30"/>
              </w:numPr>
              <w:overflowPunct w:val="0"/>
              <w:autoSpaceDE w:val="0"/>
              <w:autoSpaceDN w:val="0"/>
              <w:adjustRightInd w:val="0"/>
              <w:spacing w:after="120" w:line="252" w:lineRule="auto"/>
              <w:contextualSpacing w:val="0"/>
              <w:rPr>
                <w:sz w:val="20"/>
                <w:szCs w:val="21"/>
              </w:rPr>
            </w:pPr>
            <w:r w:rsidRPr="00E06A86">
              <w:rPr>
                <w:bCs/>
                <w:sz w:val="20"/>
                <w:szCs w:val="21"/>
              </w:rPr>
              <w:t>For UEs supporting two TAs and not capable to support RTD &gt; CP reuse Rel-17 unified TCI state switching requirements [with association of coresetPoolIndex]</w:t>
            </w:r>
          </w:p>
          <w:p w14:paraId="09957757" w14:textId="77777777" w:rsidR="00E06A86" w:rsidRPr="00E06A86" w:rsidRDefault="00E06A86" w:rsidP="00E06A86">
            <w:pPr>
              <w:pStyle w:val="af6"/>
              <w:widowControl/>
              <w:numPr>
                <w:ilvl w:val="2"/>
                <w:numId w:val="30"/>
              </w:numPr>
              <w:overflowPunct w:val="0"/>
              <w:autoSpaceDE w:val="0"/>
              <w:autoSpaceDN w:val="0"/>
              <w:adjustRightInd w:val="0"/>
              <w:spacing w:after="120" w:line="252" w:lineRule="auto"/>
              <w:contextualSpacing w:val="0"/>
              <w:rPr>
                <w:sz w:val="20"/>
                <w:szCs w:val="21"/>
              </w:rPr>
            </w:pPr>
            <w:r w:rsidRPr="00E06A86">
              <w:rPr>
                <w:bCs/>
                <w:sz w:val="20"/>
                <w:szCs w:val="21"/>
              </w:rPr>
              <w:t>For UEs supporting two TAs and capable to support RTD &gt; CP the requirements are FFS</w:t>
            </w:r>
          </w:p>
          <w:p w14:paraId="1E948FBD" w14:textId="4ABB0D72" w:rsidR="00F3257D" w:rsidRPr="00E06A86" w:rsidRDefault="00E06A86" w:rsidP="00E06A86">
            <w:pPr>
              <w:pStyle w:val="af6"/>
              <w:widowControl/>
              <w:numPr>
                <w:ilvl w:val="2"/>
                <w:numId w:val="30"/>
              </w:numPr>
              <w:overflowPunct w:val="0"/>
              <w:autoSpaceDE w:val="0"/>
              <w:autoSpaceDN w:val="0"/>
              <w:adjustRightInd w:val="0"/>
              <w:spacing w:after="120" w:line="252" w:lineRule="auto"/>
              <w:contextualSpacing w:val="0"/>
            </w:pPr>
            <w:r w:rsidRPr="00E06A86">
              <w:rPr>
                <w:bCs/>
                <w:sz w:val="20"/>
                <w:szCs w:val="21"/>
              </w:rPr>
              <w:lastRenderedPageBreak/>
              <w:t>The TCI state switching requirements cover both known and unknown target TCI state cases</w:t>
            </w:r>
          </w:p>
        </w:tc>
      </w:tr>
    </w:tbl>
    <w:p w14:paraId="28C23B89" w14:textId="1ACB7D2D" w:rsidR="00B86D60" w:rsidRDefault="00E06A86" w:rsidP="00B86D60">
      <w:r>
        <w:lastRenderedPageBreak/>
        <w:t>After further check, we think some update is necessary.</w:t>
      </w:r>
    </w:p>
    <w:p w14:paraId="0A155537" w14:textId="29B1655B" w:rsidR="00E06A86" w:rsidRDefault="00E06A86" w:rsidP="00B86D60"/>
    <w:p w14:paraId="53C720B5" w14:textId="6F7D611C" w:rsidR="00E06A86" w:rsidRDefault="006229FE" w:rsidP="00E06A86">
      <w:pPr>
        <w:rPr>
          <w:rFonts w:eastAsia="PMingLiU"/>
        </w:rPr>
      </w:pPr>
      <w:r w:rsidRPr="006229FE">
        <w:t xml:space="preserve">The </w:t>
      </w:r>
      <w:r>
        <w:t>above agreement is reached for</w:t>
      </w:r>
      <w:r w:rsidR="00E06A86">
        <w:t xml:space="preserve"> UE </w:t>
      </w:r>
      <w:r>
        <w:t>in</w:t>
      </w:r>
      <w:r w:rsidR="00E06A86">
        <w:t>capable of simultaneous reception in FR2.</w:t>
      </w:r>
      <w:r w:rsidR="00E06A86">
        <w:rPr>
          <w:rFonts w:eastAsia="PMingLiU"/>
        </w:rPr>
        <w:t xml:space="preserve"> </w:t>
      </w:r>
      <w:r w:rsidR="00E06A86">
        <w:rPr>
          <w:rFonts w:hint="eastAsia"/>
        </w:rPr>
        <w:t>D</w:t>
      </w:r>
      <w:r w:rsidR="00E06A86">
        <w:t xml:space="preserve">ifferent from single TRP, source SSB of </w:t>
      </w:r>
      <w:r w:rsidR="00E06A86">
        <w:rPr>
          <w:rFonts w:cstheme="minorHAnsi"/>
          <w:szCs w:val="24"/>
        </w:rPr>
        <w:t>TRP#1 and TRP#2 may be overlapped or adjacent in time domain. As shown in Fig.1, suppose source SSB of TRP#1 is SSB#1, and source SSB of TRP#2 is SSB#0, due to RTD&gt;CP is also considered in this WI, source SSBs of TRP#1 and TRP#2 are overlap</w:t>
      </w:r>
      <w:r w:rsidR="00E06A86">
        <w:rPr>
          <w:rFonts w:cstheme="minorHAnsi" w:hint="eastAsia"/>
          <w:szCs w:val="24"/>
        </w:rPr>
        <w:t>p</w:t>
      </w:r>
      <w:r w:rsidR="00E06A86">
        <w:rPr>
          <w:rFonts w:cstheme="minorHAnsi"/>
          <w:szCs w:val="24"/>
        </w:rPr>
        <w:t xml:space="preserve">ed in time domain. </w:t>
      </w:r>
      <w:r>
        <w:rPr>
          <w:rFonts w:cstheme="minorHAnsi"/>
          <w:szCs w:val="24"/>
        </w:rPr>
        <w:t>Even RTD within CP, it is possible that the SSB index for two TRPs are the same.</w:t>
      </w:r>
      <w:r>
        <w:rPr>
          <w:rFonts w:hint="eastAsia"/>
        </w:rPr>
        <w:t xml:space="preserve"> </w:t>
      </w:r>
      <w:r>
        <w:rPr>
          <w:rFonts w:eastAsia="PMingLiU"/>
        </w:rPr>
        <w:t>As</w:t>
      </w:r>
      <w:r w:rsidR="00E06A86" w:rsidRPr="006C51F2">
        <w:rPr>
          <w:rFonts w:eastAsia="PMingLiU"/>
        </w:rPr>
        <w:t xml:space="preserve"> UE </w:t>
      </w:r>
      <w:r>
        <w:rPr>
          <w:rFonts w:eastAsia="PMingLiU"/>
        </w:rPr>
        <w:t xml:space="preserve">is </w:t>
      </w:r>
      <w:r w:rsidR="00E06A86" w:rsidRPr="006C51F2">
        <w:rPr>
          <w:rFonts w:eastAsia="PMingLiU"/>
        </w:rPr>
        <w:t xml:space="preserve">not capable of simultaneous reception for FR2, </w:t>
      </w:r>
      <w:r w:rsidR="00E06A86">
        <w:rPr>
          <w:rFonts w:eastAsia="PMingLiU"/>
        </w:rPr>
        <w:t xml:space="preserve">UE can </w:t>
      </w:r>
      <w:r w:rsidR="00E06A86" w:rsidRPr="006C51F2">
        <w:rPr>
          <w:rFonts w:eastAsia="PMingLiU"/>
        </w:rPr>
        <w:t>measure only one RS</w:t>
      </w:r>
      <w:r w:rsidR="00E06A86">
        <w:rPr>
          <w:rFonts w:eastAsia="PMingLiU"/>
        </w:rPr>
        <w:t xml:space="preserve"> if two RSs are overlapped or adjacent in time domain.</w:t>
      </w:r>
      <w:r w:rsidR="00E06A86" w:rsidRPr="008D2962">
        <w:rPr>
          <w:rFonts w:eastAsia="PMingLiU"/>
        </w:rPr>
        <w:t xml:space="preserve"> </w:t>
      </w:r>
      <w:r w:rsidR="00E06A86">
        <w:rPr>
          <w:rFonts w:eastAsia="PMingLiU"/>
        </w:rPr>
        <w:t xml:space="preserve">This is similar as L1-RSRP measurement requirements discussed in R17 ICBM. In R17 ICBM, if SSB of serving cell and non-serving cell are </w:t>
      </w:r>
      <w:r w:rsidR="00E06A86" w:rsidRPr="006C51F2">
        <w:rPr>
          <w:rFonts w:eastAsia="PMingLiU"/>
        </w:rPr>
        <w:t>overlapped or adjacent in time domain</w:t>
      </w:r>
      <w:r w:rsidR="00E06A86">
        <w:rPr>
          <w:rFonts w:eastAsia="PMingLiU"/>
        </w:rPr>
        <w:t xml:space="preserve"> in FR2, </w:t>
      </w:r>
      <w:bookmarkStart w:id="15" w:name="OLE_LINK116"/>
      <w:r w:rsidR="00E06A86">
        <w:rPr>
          <w:rFonts w:eastAsia="PMingLiU"/>
        </w:rPr>
        <w:t>UE is supposed to measure serving cell and non-serving cell in TDM fashion.</w:t>
      </w:r>
    </w:p>
    <w:bookmarkEnd w:id="15"/>
    <w:p w14:paraId="193EA4C3" w14:textId="33A0AC51" w:rsidR="00E06A86" w:rsidRPr="006C51F2" w:rsidRDefault="00E06A86" w:rsidP="00E06A86">
      <w:pPr>
        <w:rPr>
          <w:rFonts w:eastAsia="PMingLiU"/>
        </w:rPr>
      </w:pPr>
      <w:r>
        <w:rPr>
          <w:rFonts w:eastAsia="PMingLiU"/>
        </w:rPr>
        <w:t xml:space="preserve">Similarly, due to </w:t>
      </w:r>
      <w:r w:rsidRPr="006C51F2">
        <w:rPr>
          <w:rFonts w:eastAsia="PMingLiU"/>
        </w:rPr>
        <w:t>UE can measure only one RS but not both RSs associated with dual TCI state at a time</w:t>
      </w:r>
      <w:r>
        <w:rPr>
          <w:rFonts w:eastAsia="PMingLiU"/>
        </w:rPr>
        <w:t>,</w:t>
      </w:r>
      <w:r w:rsidRPr="006C51F2">
        <w:rPr>
          <w:rFonts w:eastAsia="PMingLiU"/>
        </w:rPr>
        <w:t xml:space="preserve"> dual TCI states switch should perform in sequence when their reference signals (SSBs or CSI-RSs) are overlapped or adjacent in time domain</w:t>
      </w:r>
      <w:r>
        <w:rPr>
          <w:rFonts w:eastAsia="PMingLiU"/>
        </w:rPr>
        <w:t xml:space="preserve"> and </w:t>
      </w:r>
      <w:r w:rsidRPr="006C51F2">
        <w:rPr>
          <w:rFonts w:eastAsia="PMingLiU"/>
        </w:rPr>
        <w:t>the delay requirement will be extended.</w:t>
      </w:r>
      <w:r w:rsidR="006229FE">
        <w:rPr>
          <w:rFonts w:eastAsia="PMingLiU"/>
        </w:rPr>
        <w:t xml:space="preserve"> This is applicable to both mDCI and sDCI mTRP.</w:t>
      </w:r>
    </w:p>
    <w:p w14:paraId="13437AA0" w14:textId="77777777" w:rsidR="00E06A86" w:rsidRDefault="00E06A86" w:rsidP="00E06A86"/>
    <w:p w14:paraId="1EC3FEEE" w14:textId="77777777" w:rsidR="00E06A86" w:rsidRDefault="00E06A86" w:rsidP="00E06A86">
      <w:pPr>
        <w:rPr>
          <w:rFonts w:cstheme="minorHAnsi"/>
          <w:szCs w:val="24"/>
        </w:rPr>
      </w:pPr>
      <w:r>
        <w:rPr>
          <w:rFonts w:eastAsia="PMingLiU" w:cstheme="minorHAnsi"/>
          <w:noProof/>
          <w:szCs w:val="24"/>
        </w:rPr>
        <w:drawing>
          <wp:inline distT="0" distB="0" distL="0" distR="0" wp14:anchorId="55F0B7C8" wp14:editId="0EC75F1B">
            <wp:extent cx="5901040" cy="1799111"/>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7039" cy="1810086"/>
                    </a:xfrm>
                    <a:prstGeom prst="rect">
                      <a:avLst/>
                    </a:prstGeom>
                    <a:noFill/>
                  </pic:spPr>
                </pic:pic>
              </a:graphicData>
            </a:graphic>
          </wp:inline>
        </w:drawing>
      </w:r>
    </w:p>
    <w:p w14:paraId="6017A9C8" w14:textId="77777777" w:rsidR="00E06A86" w:rsidRPr="008D2962" w:rsidRDefault="00E06A86" w:rsidP="00E06A86">
      <w:pPr>
        <w:jc w:val="center"/>
        <w:rPr>
          <w:rFonts w:cstheme="minorHAnsi"/>
          <w:szCs w:val="24"/>
        </w:rPr>
      </w:pPr>
      <w:r>
        <w:rPr>
          <w:rFonts w:cstheme="minorHAnsi" w:hint="eastAsia"/>
          <w:szCs w:val="24"/>
        </w:rPr>
        <w:t>F</w:t>
      </w:r>
      <w:r>
        <w:rPr>
          <w:rFonts w:cstheme="minorHAnsi"/>
          <w:szCs w:val="24"/>
        </w:rPr>
        <w:t>ig.1</w:t>
      </w:r>
    </w:p>
    <w:p w14:paraId="7FCA1290" w14:textId="0F1EBD30" w:rsidR="009F203C" w:rsidRPr="009C78D7" w:rsidRDefault="009F203C" w:rsidP="009F203C">
      <w:pPr>
        <w:pStyle w:val="af2"/>
        <w:rPr>
          <w:rFonts w:cstheme="minorHAnsi"/>
          <w:sz w:val="21"/>
          <w:szCs w:val="21"/>
        </w:rPr>
      </w:pPr>
      <w:bookmarkStart w:id="16" w:name="_Ref146710117"/>
      <w:bookmarkStart w:id="17" w:name="_Hlk146658886"/>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Pr="009C78D7">
        <w:rPr>
          <w:rFonts w:cstheme="minorHAnsi"/>
          <w:noProof/>
          <w:sz w:val="21"/>
          <w:szCs w:val="21"/>
        </w:rPr>
        <w:t>6</w:t>
      </w:r>
      <w:r w:rsidRPr="009C78D7">
        <w:rPr>
          <w:rFonts w:cstheme="minorHAnsi"/>
          <w:sz w:val="21"/>
          <w:szCs w:val="21"/>
        </w:rPr>
        <w:fldChar w:fldCharType="end"/>
      </w:r>
      <w:r w:rsidRPr="009C78D7">
        <w:rPr>
          <w:rFonts w:cstheme="minorHAnsi"/>
          <w:sz w:val="21"/>
          <w:szCs w:val="21"/>
        </w:rPr>
        <w:t>: For both mDCI and sDCI mTRP, if UE is not capable of simultaneous reception for FR2 and the source RSs of the dual TCI states are overlapped or adjacent in time domain, the delay requirement for eUTCI will be extended due to UE can measure only one RS but not both RSs associated with dual TCI state at a time.</w:t>
      </w:r>
      <w:bookmarkEnd w:id="16"/>
    </w:p>
    <w:bookmarkEnd w:id="17"/>
    <w:p w14:paraId="615A1005" w14:textId="1A2ABA48" w:rsidR="007141BD" w:rsidRDefault="00407948" w:rsidP="00407948">
      <w:pPr>
        <w:rPr>
          <w:rFonts w:cstheme="minorHAnsi"/>
          <w:szCs w:val="36"/>
        </w:rPr>
      </w:pPr>
      <w:r>
        <w:rPr>
          <w:rFonts w:hint="eastAsia"/>
        </w:rPr>
        <w:t>R</w:t>
      </w:r>
      <w:r>
        <w:t xml:space="preserve">egarding the detail of delay requirements, for both mDCI and sDCI mTRP, we </w:t>
      </w:r>
      <w:r>
        <w:rPr>
          <w:rFonts w:cstheme="minorHAnsi"/>
          <w:szCs w:val="36"/>
        </w:rPr>
        <w:t>propose that</w:t>
      </w:r>
    </w:p>
    <w:p w14:paraId="4DB778E6" w14:textId="12A5FD7A" w:rsidR="00310D5D" w:rsidRDefault="00310D5D" w:rsidP="00407948">
      <w:pPr>
        <w:pStyle w:val="af6"/>
        <w:numPr>
          <w:ilvl w:val="0"/>
          <w:numId w:val="38"/>
        </w:numPr>
      </w:pPr>
      <w:r w:rsidRPr="00E15BB0">
        <w:rPr>
          <w:bCs/>
          <w:lang w:eastAsia="zh-CN"/>
        </w:rPr>
        <w:t>Define</w:t>
      </w:r>
      <w:r w:rsidRPr="00E15BB0">
        <w:t xml:space="preserve"> MAC CE based DL dual TCI state switch the switching delay requirements as:</w:t>
      </w:r>
    </w:p>
    <w:p w14:paraId="51D6386E" w14:textId="457EDC5A" w:rsidR="00310D5D" w:rsidRDefault="00407948" w:rsidP="00310D5D">
      <w:pPr>
        <w:ind w:firstLineChars="200" w:firstLine="420"/>
        <w:rPr>
          <w:lang w:eastAsia="en-US"/>
        </w:rPr>
      </w:pPr>
      <w:r w:rsidRPr="00E15BB0">
        <w:t>T</w:t>
      </w:r>
      <w:r w:rsidRPr="00310D5D">
        <w:rPr>
          <w:vertAlign w:val="subscript"/>
        </w:rPr>
        <w:t>HARQ</w:t>
      </w:r>
      <w:r w:rsidRPr="00E15BB0">
        <w:t xml:space="preserve"> </w:t>
      </w:r>
      <w:r w:rsidR="00DF77E6">
        <w:t>+3ms</w:t>
      </w:r>
      <w:r w:rsidRPr="00E15BB0">
        <w:t>+ max</w:t>
      </w:r>
      <w:r w:rsidR="00DF77E6">
        <w:t xml:space="preserve"> </w:t>
      </w:r>
      <w:r w:rsidRPr="00E15BB0">
        <w:t>{TO</w:t>
      </w:r>
      <w:r w:rsidRPr="00310D5D">
        <w:rPr>
          <w:vertAlign w:val="subscript"/>
        </w:rPr>
        <w:t>k1</w:t>
      </w:r>
      <w:r w:rsidRPr="00E15BB0">
        <w:t>*(T</w:t>
      </w:r>
      <w:r w:rsidRPr="00310D5D">
        <w:rPr>
          <w:vertAlign w:val="subscript"/>
        </w:rPr>
        <w:t>first-SSB1</w:t>
      </w:r>
      <w:r w:rsidRPr="00E15BB0">
        <w:t xml:space="preserve"> + T</w:t>
      </w:r>
      <w:r w:rsidRPr="00310D5D">
        <w:rPr>
          <w:vertAlign w:val="subscript"/>
        </w:rPr>
        <w:t>SSB-proc</w:t>
      </w:r>
      <w:r w:rsidRPr="00E15BB0">
        <w:t>), TO</w:t>
      </w:r>
      <w:r w:rsidRPr="00310D5D">
        <w:rPr>
          <w:vertAlign w:val="subscript"/>
        </w:rPr>
        <w:t>k2</w:t>
      </w:r>
      <w:r w:rsidRPr="00E15BB0">
        <w:t>*(T</w:t>
      </w:r>
      <w:r w:rsidRPr="00310D5D">
        <w:rPr>
          <w:vertAlign w:val="subscript"/>
        </w:rPr>
        <w:t>first-SSB2</w:t>
      </w:r>
      <w:r w:rsidRPr="00E15BB0">
        <w:t xml:space="preserve"> + T</w:t>
      </w:r>
      <w:r w:rsidRPr="00310D5D">
        <w:rPr>
          <w:vertAlign w:val="subscript"/>
        </w:rPr>
        <w:t>SSB-proc</w:t>
      </w:r>
      <w:r w:rsidRPr="00E15BB0">
        <w:t>)}</w:t>
      </w:r>
      <w:r w:rsidR="00310D5D">
        <w:t>, when both TCI states are known.</w:t>
      </w:r>
    </w:p>
    <w:p w14:paraId="6CF1F845" w14:textId="6F1440C0" w:rsidR="00310D5D" w:rsidRDefault="00310D5D" w:rsidP="00310D5D">
      <w:pPr>
        <w:pStyle w:val="af6"/>
        <w:numPr>
          <w:ilvl w:val="0"/>
          <w:numId w:val="38"/>
        </w:numPr>
      </w:pPr>
      <w:r w:rsidRPr="00E15BB0">
        <w:rPr>
          <w:bCs/>
          <w:lang w:eastAsia="zh-CN"/>
        </w:rPr>
        <w:t>Define</w:t>
      </w:r>
      <w:r w:rsidRPr="00E15BB0">
        <w:t xml:space="preserve"> MAC CE based </w:t>
      </w:r>
      <w:r>
        <w:t>U</w:t>
      </w:r>
      <w:r w:rsidRPr="00E15BB0">
        <w:t>L dual TCI state switch the switching delay requirements as:</w:t>
      </w:r>
    </w:p>
    <w:p w14:paraId="3E7A7C0D" w14:textId="3DADF814" w:rsidR="00407948" w:rsidRDefault="00310D5D" w:rsidP="00310D5D">
      <w:pPr>
        <w:pStyle w:val="af6"/>
        <w:ind w:left="420"/>
      </w:pPr>
      <w:r w:rsidRPr="00E15BB0">
        <w:t>T</w:t>
      </w:r>
      <w:r w:rsidRPr="00E15BB0">
        <w:rPr>
          <w:vertAlign w:val="subscript"/>
        </w:rPr>
        <w:t>HARQ</w:t>
      </w:r>
      <w:r w:rsidRPr="00E15BB0">
        <w:t xml:space="preserve"> </w:t>
      </w:r>
      <w:r w:rsidR="00DF77E6">
        <w:t xml:space="preserve">+3ms </w:t>
      </w:r>
      <w:r w:rsidRPr="00E15BB0">
        <w:t xml:space="preserve">+ </w:t>
      </w:r>
      <w:r w:rsidR="00501429" w:rsidRPr="00E15BB0">
        <w:t>max</w:t>
      </w:r>
      <w:r w:rsidR="00501429">
        <w:t xml:space="preserve"> </w:t>
      </w:r>
      <w:r w:rsidR="00501429" w:rsidRPr="00E15BB0">
        <w:t>{NM1* (T</w:t>
      </w:r>
      <w:r w:rsidR="00501429" w:rsidRPr="00E15BB0">
        <w:rPr>
          <w:vertAlign w:val="subscript"/>
        </w:rPr>
        <w:t>first_target-PL-RS1</w:t>
      </w:r>
      <w:r w:rsidR="00501429" w:rsidRPr="00E15BB0">
        <w:t xml:space="preserve"> + 4*T</w:t>
      </w:r>
      <w:r w:rsidR="00501429" w:rsidRPr="00E15BB0">
        <w:rPr>
          <w:vertAlign w:val="subscript"/>
        </w:rPr>
        <w:t>target_PL-RS1</w:t>
      </w:r>
      <w:r w:rsidR="00501429" w:rsidRPr="00E15BB0">
        <w:t xml:space="preserve"> + 2ms), NM2* (T</w:t>
      </w:r>
      <w:r w:rsidR="00501429" w:rsidRPr="00E15BB0">
        <w:rPr>
          <w:vertAlign w:val="subscript"/>
        </w:rPr>
        <w:t>first_target-PL-RS2</w:t>
      </w:r>
      <w:r w:rsidR="00501429" w:rsidRPr="00E15BB0">
        <w:t xml:space="preserve"> + 4*T</w:t>
      </w:r>
      <w:r w:rsidR="00501429" w:rsidRPr="00E15BB0">
        <w:rPr>
          <w:vertAlign w:val="subscript"/>
        </w:rPr>
        <w:t>target_PL-RS 2</w:t>
      </w:r>
      <w:r w:rsidR="00501429" w:rsidRPr="00E15BB0">
        <w:t>+ 2ms</w:t>
      </w:r>
      <w:proofErr w:type="gramStart"/>
      <w:r w:rsidR="00501429" w:rsidRPr="00E15BB0">
        <w:t>) }</w:t>
      </w:r>
      <w:proofErr w:type="gramEnd"/>
      <w:r w:rsidR="00DF77E6">
        <w:t>, when both TCI states are known.</w:t>
      </w:r>
    </w:p>
    <w:p w14:paraId="3B15DC86" w14:textId="2615E8C1" w:rsidR="009F203C" w:rsidRDefault="009F203C" w:rsidP="009F203C">
      <w:pPr>
        <w:spacing w:beforeLines="50" w:before="120" w:afterLines="50" w:after="120"/>
        <w:rPr>
          <w:rFonts w:cstheme="minorHAnsi"/>
          <w:b/>
        </w:rPr>
      </w:pPr>
      <w:bookmarkStart w:id="18" w:name="_Ref146710123"/>
      <w:bookmarkStart w:id="19" w:name="_Hlk146658908"/>
      <w:r w:rsidRPr="009F203C">
        <w:rPr>
          <w:rFonts w:cstheme="minorHAnsi"/>
          <w:b/>
        </w:rPr>
        <w:t xml:space="preserve">Proposal </w:t>
      </w:r>
      <w:r w:rsidRPr="009F203C">
        <w:rPr>
          <w:rFonts w:cstheme="minorHAnsi"/>
          <w:b/>
        </w:rPr>
        <w:fldChar w:fldCharType="begin"/>
      </w:r>
      <w:r w:rsidRPr="009F203C">
        <w:rPr>
          <w:rFonts w:cstheme="minorHAnsi"/>
          <w:b/>
        </w:rPr>
        <w:instrText xml:space="preserve"> SEQ Proposal \* ARABIC </w:instrText>
      </w:r>
      <w:r w:rsidRPr="009F203C">
        <w:rPr>
          <w:rFonts w:cstheme="minorHAnsi"/>
          <w:b/>
        </w:rPr>
        <w:fldChar w:fldCharType="separate"/>
      </w:r>
      <w:r w:rsidRPr="009F203C">
        <w:rPr>
          <w:rFonts w:cstheme="minorHAnsi"/>
          <w:b/>
        </w:rPr>
        <w:t>7</w:t>
      </w:r>
      <w:r w:rsidRPr="009F203C">
        <w:rPr>
          <w:rFonts w:cstheme="minorHAnsi"/>
          <w:b/>
        </w:rPr>
        <w:fldChar w:fldCharType="end"/>
      </w:r>
      <w:r w:rsidRPr="009F203C">
        <w:rPr>
          <w:rFonts w:cstheme="minorHAnsi"/>
          <w:b/>
        </w:rPr>
        <w:t xml:space="preserve">: </w:t>
      </w:r>
      <w:r>
        <w:rPr>
          <w:rFonts w:cstheme="minorHAnsi"/>
          <w:b/>
        </w:rPr>
        <w:t xml:space="preserve">For both mDCI and sDCI mTRP, when TCI state is known, </w:t>
      </w:r>
      <w:r w:rsidRPr="00501429">
        <w:rPr>
          <w:rFonts w:cstheme="minorHAnsi"/>
          <w:b/>
        </w:rPr>
        <w:t>MAC CE based DL dual TCI state switch the switching delay requirement</w:t>
      </w:r>
      <w:r>
        <w:rPr>
          <w:rFonts w:cstheme="minorHAnsi"/>
          <w:b/>
        </w:rPr>
        <w:t xml:space="preserve"> is:</w:t>
      </w:r>
      <w:bookmarkEnd w:id="18"/>
    </w:p>
    <w:p w14:paraId="67FA86BC" w14:textId="63CD0580" w:rsidR="009F203C" w:rsidRPr="009F203C" w:rsidRDefault="009F203C" w:rsidP="009F203C">
      <w:pPr>
        <w:spacing w:beforeLines="50" w:before="120" w:afterLines="50" w:after="120"/>
        <w:ind w:firstLineChars="200" w:firstLine="422"/>
        <w:rPr>
          <w:rFonts w:cstheme="minorHAnsi"/>
          <w:b/>
        </w:rPr>
      </w:pPr>
      <w:bookmarkStart w:id="20" w:name="OLE_LINK120"/>
      <w:r w:rsidRPr="009F203C">
        <w:rPr>
          <w:rFonts w:cstheme="minorHAnsi"/>
          <w:b/>
        </w:rPr>
        <w:t>THARQ +3ms+ max {TOk1*(Tfirst-SSB1 + TSSB-proc), TOk2*(Tfirst-SSB2 + TSSB-proc)}</w:t>
      </w:r>
    </w:p>
    <w:p w14:paraId="6AE83D42" w14:textId="33FB681C" w:rsidR="009F203C" w:rsidRDefault="009F203C" w:rsidP="009F203C">
      <w:pPr>
        <w:spacing w:beforeLines="50" w:before="120" w:afterLines="50" w:after="120"/>
        <w:rPr>
          <w:rFonts w:cstheme="minorHAnsi"/>
          <w:b/>
        </w:rPr>
      </w:pPr>
      <w:bookmarkStart w:id="21" w:name="_Ref146710126"/>
      <w:bookmarkEnd w:id="20"/>
      <w:r w:rsidRPr="009F203C">
        <w:rPr>
          <w:rFonts w:cstheme="minorHAnsi"/>
          <w:b/>
        </w:rPr>
        <w:t xml:space="preserve">Proposal </w:t>
      </w:r>
      <w:r w:rsidRPr="009F203C">
        <w:rPr>
          <w:rFonts w:cstheme="minorHAnsi"/>
          <w:b/>
        </w:rPr>
        <w:fldChar w:fldCharType="begin"/>
      </w:r>
      <w:r w:rsidRPr="009F203C">
        <w:rPr>
          <w:rFonts w:cstheme="minorHAnsi"/>
          <w:b/>
        </w:rPr>
        <w:instrText xml:space="preserve"> SEQ Proposal \* ARABIC </w:instrText>
      </w:r>
      <w:r w:rsidRPr="009F203C">
        <w:rPr>
          <w:rFonts w:cstheme="minorHAnsi"/>
          <w:b/>
        </w:rPr>
        <w:fldChar w:fldCharType="separate"/>
      </w:r>
      <w:r w:rsidRPr="009F203C">
        <w:rPr>
          <w:rFonts w:cstheme="minorHAnsi"/>
          <w:b/>
        </w:rPr>
        <w:t>8</w:t>
      </w:r>
      <w:r w:rsidRPr="009F203C">
        <w:rPr>
          <w:rFonts w:cstheme="minorHAnsi"/>
          <w:b/>
        </w:rPr>
        <w:fldChar w:fldCharType="end"/>
      </w:r>
      <w:r w:rsidRPr="009F203C">
        <w:rPr>
          <w:rFonts w:cstheme="minorHAnsi"/>
          <w:b/>
        </w:rPr>
        <w:t xml:space="preserve">: </w:t>
      </w:r>
      <w:r>
        <w:rPr>
          <w:rFonts w:cstheme="minorHAnsi"/>
          <w:b/>
        </w:rPr>
        <w:t>For both mDCI and sDCI mTRP, when TCI state is known, MAC CE based UL dual TCI state switch the switching delay requirement is:</w:t>
      </w:r>
      <w:bookmarkEnd w:id="21"/>
    </w:p>
    <w:p w14:paraId="6A8304C9" w14:textId="18EA4C4A" w:rsidR="009F203C" w:rsidRPr="009F203C" w:rsidRDefault="009F203C" w:rsidP="009F203C">
      <w:pPr>
        <w:spacing w:beforeLines="50" w:before="120" w:afterLines="50" w:after="120"/>
        <w:ind w:firstLineChars="200" w:firstLine="422"/>
        <w:rPr>
          <w:rFonts w:cstheme="minorHAnsi"/>
          <w:b/>
        </w:rPr>
      </w:pPr>
      <w:bookmarkStart w:id="22" w:name="OLE_LINK121"/>
      <w:r w:rsidRPr="009F203C">
        <w:rPr>
          <w:rFonts w:cstheme="minorHAnsi"/>
          <w:b/>
        </w:rPr>
        <w:t>THARQ +3ms + max {NM1* (Tfirst_target-PL-RS1 + 4*Ttarget_PL-RS1 + 2ms), NM2* (Tfirst_target-PL-RS2 + 4*Ttarget_PL-RS 2+ 2ms)}</w:t>
      </w:r>
    </w:p>
    <w:p w14:paraId="011BED04" w14:textId="77777777" w:rsidR="007F5898" w:rsidRPr="007141BD" w:rsidRDefault="007F5898" w:rsidP="007F5898">
      <w:pPr>
        <w:pStyle w:val="1"/>
        <w:numPr>
          <w:ilvl w:val="0"/>
          <w:numId w:val="1"/>
        </w:numPr>
        <w:jc w:val="both"/>
        <w:rPr>
          <w:rFonts w:asciiTheme="minorHAnsi" w:eastAsia="PMingLiU" w:hAnsiTheme="minorHAnsi" w:cstheme="minorHAnsi"/>
          <w:szCs w:val="36"/>
        </w:rPr>
      </w:pPr>
      <w:bookmarkStart w:id="23" w:name="_Hlk94866332"/>
      <w:bookmarkEnd w:id="19"/>
      <w:bookmarkEnd w:id="22"/>
      <w:r>
        <w:rPr>
          <w:rFonts w:asciiTheme="minorHAnsi" w:hAnsiTheme="minorHAnsi" w:cstheme="minorHAnsi"/>
          <w:szCs w:val="36"/>
        </w:rPr>
        <w:t>Summary</w:t>
      </w:r>
    </w:p>
    <w:p w14:paraId="3994BD3A" w14:textId="7B18655A" w:rsidR="007F5898"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R18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79449F88" w14:textId="0346BDFB" w:rsidR="009F203C" w:rsidRDefault="009B0665" w:rsidP="00501429">
      <w:pPr>
        <w:spacing w:beforeLines="50" w:before="120" w:afterLines="50" w:after="120"/>
        <w:rPr>
          <w:rFonts w:cstheme="minorHAnsi"/>
          <w:b/>
        </w:rPr>
      </w:pPr>
      <w:r>
        <w:rPr>
          <w:rFonts w:cstheme="minorHAnsi"/>
          <w:b/>
        </w:rPr>
        <w:fldChar w:fldCharType="begin"/>
      </w:r>
      <w:r>
        <w:rPr>
          <w:rFonts w:cstheme="minorHAnsi"/>
          <w:b/>
        </w:rPr>
        <w:instrText xml:space="preserve"> REF _Ref146710097 \h  \* MERGEFORMAT </w:instrText>
      </w:r>
      <w:r>
        <w:rPr>
          <w:rFonts w:cstheme="minorHAnsi"/>
          <w:b/>
        </w:rPr>
      </w:r>
      <w:r>
        <w:rPr>
          <w:rFonts w:cstheme="minorHAnsi"/>
          <w:b/>
        </w:rPr>
        <w:fldChar w:fldCharType="separate"/>
      </w:r>
      <w:r w:rsidRPr="009B0665">
        <w:rPr>
          <w:rFonts w:cstheme="minorHAnsi"/>
          <w:b/>
        </w:rPr>
        <w:t>Proposal 1: No need to discuss whether to consider STxMP or not when defining unified TCI state switching delay requirements for mTRP.</w:t>
      </w:r>
      <w:r>
        <w:rPr>
          <w:rFonts w:cstheme="minorHAnsi"/>
          <w:b/>
        </w:rPr>
        <w:fldChar w:fldCharType="end"/>
      </w:r>
    </w:p>
    <w:p w14:paraId="3E23F26F" w14:textId="4BF30340" w:rsidR="009B0665" w:rsidRDefault="009B0665" w:rsidP="00501429">
      <w:pPr>
        <w:spacing w:beforeLines="50" w:before="120" w:afterLines="50" w:after="120"/>
        <w:rPr>
          <w:rFonts w:cstheme="minorHAnsi"/>
          <w:b/>
        </w:rPr>
      </w:pPr>
      <w:r>
        <w:rPr>
          <w:rFonts w:cstheme="minorHAnsi"/>
          <w:b/>
        </w:rPr>
        <w:fldChar w:fldCharType="begin"/>
      </w:r>
      <w:r>
        <w:rPr>
          <w:rFonts w:cstheme="minorHAnsi"/>
          <w:b/>
        </w:rPr>
        <w:instrText xml:space="preserve"> REF _Ref146710100 \h  \* MERGEFORMAT </w:instrText>
      </w:r>
      <w:r>
        <w:rPr>
          <w:rFonts w:cstheme="minorHAnsi"/>
          <w:b/>
        </w:rPr>
      </w:r>
      <w:r>
        <w:rPr>
          <w:rFonts w:cstheme="minorHAnsi"/>
          <w:b/>
        </w:rPr>
        <w:fldChar w:fldCharType="separate"/>
      </w:r>
      <w:r w:rsidRPr="00E70376">
        <w:rPr>
          <w:rFonts w:cstheme="minorHAnsi"/>
          <w:b/>
        </w:rPr>
        <w:t xml:space="preserve">Proposal </w:t>
      </w:r>
      <w:r>
        <w:rPr>
          <w:rFonts w:cstheme="minorHAnsi"/>
          <w:b/>
        </w:rPr>
        <w:t>2</w:t>
      </w:r>
      <w:r w:rsidRPr="00E70376">
        <w:rPr>
          <w:rFonts w:cstheme="minorHAnsi"/>
          <w:b/>
        </w:rPr>
        <w:t xml:space="preserve">: </w:t>
      </w:r>
      <w:r>
        <w:rPr>
          <w:rFonts w:cstheme="minorHAnsi"/>
          <w:b/>
        </w:rPr>
        <w:t>Not to consider simultaneous reception in FR2 for eUTCI</w:t>
      </w:r>
      <w:r w:rsidRPr="00E70376">
        <w:rPr>
          <w:rFonts w:cstheme="minorHAnsi" w:hint="eastAsia"/>
          <w:b/>
        </w:rPr>
        <w:t xml:space="preserve"> i</w:t>
      </w:r>
      <w:r w:rsidRPr="00E70376">
        <w:rPr>
          <w:rFonts w:cstheme="minorHAnsi"/>
          <w:b/>
        </w:rPr>
        <w:t>n this WI</w:t>
      </w:r>
      <w:r>
        <w:rPr>
          <w:rFonts w:cstheme="minorHAnsi"/>
          <w:b/>
        </w:rPr>
        <w:t>.</w:t>
      </w:r>
      <w:r>
        <w:rPr>
          <w:rFonts w:cstheme="minorHAnsi"/>
          <w:b/>
        </w:rPr>
        <w:fldChar w:fldCharType="end"/>
      </w:r>
    </w:p>
    <w:p w14:paraId="207EF3B6" w14:textId="44D08984" w:rsidR="009B0665" w:rsidRDefault="009B0665" w:rsidP="00501429">
      <w:pPr>
        <w:spacing w:beforeLines="50" w:before="120" w:afterLines="50" w:after="120"/>
        <w:rPr>
          <w:rFonts w:cstheme="minorHAnsi"/>
          <w:b/>
        </w:rPr>
      </w:pPr>
      <w:r>
        <w:rPr>
          <w:rFonts w:cstheme="minorHAnsi"/>
          <w:b/>
        </w:rPr>
        <w:lastRenderedPageBreak/>
        <w:fldChar w:fldCharType="begin"/>
      </w:r>
      <w:r>
        <w:rPr>
          <w:rFonts w:cstheme="minorHAnsi"/>
          <w:b/>
        </w:rPr>
        <w:instrText xml:space="preserve"> REF _Ref146710105 \h  \* MERGEFORMAT </w:instrText>
      </w:r>
      <w:r>
        <w:rPr>
          <w:rFonts w:cstheme="minorHAnsi"/>
          <w:b/>
        </w:rPr>
      </w:r>
      <w:r>
        <w:rPr>
          <w:rFonts w:cstheme="minorHAnsi"/>
          <w:b/>
        </w:rPr>
        <w:fldChar w:fldCharType="separate"/>
      </w:r>
      <w:r w:rsidRPr="009B0665">
        <w:rPr>
          <w:rFonts w:cstheme="minorHAnsi"/>
          <w:b/>
        </w:rPr>
        <w:t>Proposal 3:</w:t>
      </w:r>
      <w:r w:rsidRPr="00E70376">
        <w:rPr>
          <w:rFonts w:cstheme="minorHAnsi"/>
          <w:b/>
        </w:rPr>
        <w:t xml:space="preserve"> Not to define RRC based TCI state switch delay requirements for sDCI mTRP.</w:t>
      </w:r>
      <w:r>
        <w:rPr>
          <w:rFonts w:cstheme="minorHAnsi"/>
          <w:b/>
        </w:rPr>
        <w:fldChar w:fldCharType="end"/>
      </w:r>
    </w:p>
    <w:p w14:paraId="3AC677C4" w14:textId="0F386094" w:rsidR="009B0665" w:rsidRDefault="009B0665" w:rsidP="00501429">
      <w:pPr>
        <w:spacing w:beforeLines="50" w:before="120" w:afterLines="50" w:after="120"/>
        <w:rPr>
          <w:rFonts w:cstheme="minorHAnsi"/>
          <w:b/>
        </w:rPr>
      </w:pPr>
      <w:r>
        <w:rPr>
          <w:rFonts w:cstheme="minorHAnsi"/>
          <w:b/>
        </w:rPr>
        <w:fldChar w:fldCharType="begin"/>
      </w:r>
      <w:r>
        <w:rPr>
          <w:rFonts w:cstheme="minorHAnsi"/>
          <w:b/>
        </w:rPr>
        <w:instrText xml:space="preserve"> REF _Ref146710108 \h  \* MERGEFORMAT </w:instrText>
      </w:r>
      <w:r>
        <w:rPr>
          <w:rFonts w:cstheme="minorHAnsi"/>
          <w:b/>
        </w:rPr>
      </w:r>
      <w:r>
        <w:rPr>
          <w:rFonts w:cstheme="minorHAnsi"/>
          <w:b/>
        </w:rPr>
        <w:fldChar w:fldCharType="separate"/>
      </w:r>
      <w:r w:rsidRPr="009B0665">
        <w:rPr>
          <w:rFonts w:cstheme="minorHAnsi"/>
          <w:b/>
        </w:rPr>
        <w:t>Proposal 4:</w:t>
      </w:r>
      <w:r w:rsidRPr="00E70376">
        <w:rPr>
          <w:rFonts w:cstheme="minorHAnsi"/>
          <w:b/>
        </w:rPr>
        <w:t xml:space="preserve"> Not to define TCI state switch delay requirements for known + unknown TCI state for sDCI mTRP.</w:t>
      </w:r>
      <w:r>
        <w:rPr>
          <w:rFonts w:cstheme="minorHAnsi"/>
          <w:b/>
        </w:rPr>
        <w:fldChar w:fldCharType="end"/>
      </w:r>
    </w:p>
    <w:p w14:paraId="1D779F43" w14:textId="77777777" w:rsidR="00447DA1" w:rsidRPr="009C78D7" w:rsidRDefault="00447DA1" w:rsidP="00447DA1">
      <w:pPr>
        <w:pStyle w:val="af2"/>
        <w:rPr>
          <w:rFonts w:cstheme="minorHAnsi"/>
          <w:sz w:val="21"/>
          <w:szCs w:val="21"/>
        </w:rPr>
      </w:pPr>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Pr="009C78D7">
        <w:rPr>
          <w:rFonts w:cstheme="minorHAnsi"/>
          <w:noProof/>
          <w:sz w:val="21"/>
          <w:szCs w:val="21"/>
        </w:rPr>
        <w:t>5</w:t>
      </w:r>
      <w:r w:rsidRPr="009C78D7">
        <w:rPr>
          <w:rFonts w:cstheme="minorHAnsi"/>
          <w:sz w:val="21"/>
          <w:szCs w:val="21"/>
        </w:rPr>
        <w:fldChar w:fldCharType="end"/>
      </w:r>
      <w:r w:rsidRPr="009C78D7">
        <w:rPr>
          <w:rFonts w:cstheme="minorHAnsi"/>
          <w:sz w:val="21"/>
          <w:szCs w:val="21"/>
        </w:rPr>
        <w:t xml:space="preserve">: </w:t>
      </w:r>
      <w:r>
        <w:rPr>
          <w:rFonts w:cstheme="minorHAnsi"/>
          <w:sz w:val="21"/>
          <w:szCs w:val="21"/>
        </w:rPr>
        <w:t>TCI state is known if the following conditions are met:</w:t>
      </w:r>
    </w:p>
    <w:p w14:paraId="11257D5F" w14:textId="77777777" w:rsidR="00447DA1" w:rsidRPr="009C78D7" w:rsidRDefault="00447DA1" w:rsidP="00447DA1">
      <w:pPr>
        <w:pStyle w:val="af2"/>
        <w:numPr>
          <w:ilvl w:val="0"/>
          <w:numId w:val="34"/>
        </w:numPr>
        <w:rPr>
          <w:rFonts w:cstheme="minorHAnsi"/>
          <w:sz w:val="21"/>
          <w:szCs w:val="21"/>
        </w:rPr>
      </w:pPr>
      <w:r w:rsidRPr="009C78D7">
        <w:rPr>
          <w:rFonts w:cstheme="minorHAnsi"/>
          <w:sz w:val="21"/>
          <w:szCs w:val="21"/>
        </w:rPr>
        <w:t>L1-RSRP report within [1280] ms when receive TCI switch command.</w:t>
      </w:r>
    </w:p>
    <w:p w14:paraId="6647698B" w14:textId="77777777" w:rsidR="00447DA1" w:rsidRPr="009C78D7" w:rsidRDefault="00447DA1" w:rsidP="00447DA1">
      <w:pPr>
        <w:pStyle w:val="af2"/>
        <w:numPr>
          <w:ilvl w:val="0"/>
          <w:numId w:val="34"/>
        </w:numPr>
        <w:rPr>
          <w:rFonts w:cstheme="minorHAnsi"/>
          <w:sz w:val="21"/>
          <w:szCs w:val="21"/>
        </w:rPr>
      </w:pPr>
      <w:r w:rsidRPr="009C78D7">
        <w:rPr>
          <w:rFonts w:cstheme="minorHAnsi"/>
          <w:sz w:val="21"/>
          <w:szCs w:val="21"/>
        </w:rPr>
        <w:t xml:space="preserve">SSB associate with TCI remain detectable (SNR &gt;= [-3] dB) during switching period. </w:t>
      </w:r>
    </w:p>
    <w:p w14:paraId="225F5377" w14:textId="0FC7B5AD" w:rsidR="009B0665" w:rsidRDefault="009B0665" w:rsidP="00501429">
      <w:pPr>
        <w:spacing w:beforeLines="50" w:before="120" w:afterLines="50" w:after="120"/>
        <w:rPr>
          <w:rFonts w:cstheme="minorHAnsi"/>
          <w:b/>
        </w:rPr>
      </w:pPr>
      <w:r>
        <w:rPr>
          <w:rFonts w:cstheme="minorHAnsi"/>
          <w:b/>
        </w:rPr>
        <w:fldChar w:fldCharType="begin"/>
      </w:r>
      <w:r>
        <w:rPr>
          <w:rFonts w:cstheme="minorHAnsi"/>
          <w:b/>
        </w:rPr>
        <w:instrText xml:space="preserve"> REF _Ref146710117 \h  \* MERGEFORMAT </w:instrText>
      </w:r>
      <w:r>
        <w:rPr>
          <w:rFonts w:cstheme="minorHAnsi"/>
          <w:b/>
        </w:rPr>
      </w:r>
      <w:r>
        <w:rPr>
          <w:rFonts w:cstheme="minorHAnsi"/>
          <w:b/>
        </w:rPr>
        <w:fldChar w:fldCharType="separate"/>
      </w:r>
      <w:r w:rsidRPr="009B0665">
        <w:rPr>
          <w:rFonts w:cstheme="minorHAnsi"/>
          <w:b/>
        </w:rPr>
        <w:t>Proposal 6: For both mDCI and sDCI mTRP, if UE is not capable of simultaneous reception for FR2 and the source RSs of the dual TCI states are overlapped or adjacent in time domain, the delay requirement for eUTCI will be extended due to UE can measure only one RS but not both RSs associated with dual TCI state at a time.</w:t>
      </w:r>
      <w:r>
        <w:rPr>
          <w:rFonts w:cstheme="minorHAnsi"/>
          <w:b/>
        </w:rPr>
        <w:fldChar w:fldCharType="end"/>
      </w:r>
    </w:p>
    <w:p w14:paraId="76214701" w14:textId="660E259D" w:rsidR="009B0665" w:rsidRDefault="009B0665" w:rsidP="00501429">
      <w:pPr>
        <w:spacing w:beforeLines="50" w:before="120" w:afterLines="50" w:after="120"/>
        <w:rPr>
          <w:rFonts w:cstheme="minorHAnsi"/>
          <w:b/>
        </w:rPr>
      </w:pPr>
      <w:r>
        <w:rPr>
          <w:rFonts w:cstheme="minorHAnsi"/>
          <w:b/>
        </w:rPr>
        <w:fldChar w:fldCharType="begin"/>
      </w:r>
      <w:r>
        <w:rPr>
          <w:rFonts w:cstheme="minorHAnsi"/>
          <w:b/>
        </w:rPr>
        <w:instrText xml:space="preserve"> REF _Ref146710123 \h </w:instrText>
      </w:r>
      <w:r>
        <w:rPr>
          <w:rFonts w:cstheme="minorHAnsi"/>
          <w:b/>
        </w:rPr>
      </w:r>
      <w:r>
        <w:rPr>
          <w:rFonts w:cstheme="minorHAnsi"/>
          <w:b/>
        </w:rPr>
        <w:fldChar w:fldCharType="separate"/>
      </w:r>
      <w:r w:rsidRPr="009F203C">
        <w:rPr>
          <w:rFonts w:cstheme="minorHAnsi"/>
          <w:b/>
        </w:rPr>
        <w:t xml:space="preserve">Proposal 7: </w:t>
      </w:r>
      <w:r>
        <w:rPr>
          <w:rFonts w:cstheme="minorHAnsi"/>
          <w:b/>
        </w:rPr>
        <w:t xml:space="preserve">For both mDCI and sDCI mTRP, when TCI state is known, </w:t>
      </w:r>
      <w:r w:rsidRPr="00501429">
        <w:rPr>
          <w:rFonts w:cstheme="minorHAnsi"/>
          <w:b/>
        </w:rPr>
        <w:t>MAC CE based DL dual TCI state switch the switching delay requirement</w:t>
      </w:r>
      <w:r>
        <w:rPr>
          <w:rFonts w:cstheme="minorHAnsi"/>
          <w:b/>
        </w:rPr>
        <w:t xml:space="preserve"> is:</w:t>
      </w:r>
      <w:r>
        <w:rPr>
          <w:rFonts w:cstheme="minorHAnsi"/>
          <w:b/>
        </w:rPr>
        <w:fldChar w:fldCharType="end"/>
      </w:r>
    </w:p>
    <w:p w14:paraId="47C5E0DC" w14:textId="5E66B147" w:rsidR="009B0665" w:rsidRPr="009B0665" w:rsidRDefault="009B0665" w:rsidP="009B0665">
      <w:pPr>
        <w:spacing w:beforeLines="50" w:before="120" w:afterLines="50" w:after="120"/>
        <w:ind w:firstLineChars="200" w:firstLine="422"/>
        <w:rPr>
          <w:rFonts w:eastAsia="PMingLiU" w:cstheme="minorHAnsi"/>
          <w:b/>
        </w:rPr>
      </w:pPr>
      <w:r>
        <w:rPr>
          <w:rFonts w:cstheme="minorHAnsi"/>
          <w:b/>
        </w:rPr>
        <w:t>THARQ +3ms+ max {TOk1*(Tfirst-SSB1 + TSSB-proc), TOk2*(Tfirst-SSB2 + TSSB-proc)}</w:t>
      </w:r>
    </w:p>
    <w:p w14:paraId="4C37CD7C" w14:textId="7CE9C64D" w:rsidR="009B0665" w:rsidRDefault="009B0665" w:rsidP="00501429">
      <w:pPr>
        <w:spacing w:beforeLines="50" w:before="120" w:afterLines="50" w:after="120"/>
        <w:rPr>
          <w:rFonts w:cstheme="minorHAnsi"/>
          <w:b/>
        </w:rPr>
      </w:pPr>
      <w:r>
        <w:rPr>
          <w:rFonts w:cstheme="minorHAnsi"/>
          <w:b/>
        </w:rPr>
        <w:fldChar w:fldCharType="begin"/>
      </w:r>
      <w:r>
        <w:rPr>
          <w:rFonts w:cstheme="minorHAnsi"/>
          <w:b/>
        </w:rPr>
        <w:instrText xml:space="preserve"> REF _Ref146710126 \h </w:instrText>
      </w:r>
      <w:r>
        <w:rPr>
          <w:rFonts w:cstheme="minorHAnsi"/>
          <w:b/>
        </w:rPr>
      </w:r>
      <w:r>
        <w:rPr>
          <w:rFonts w:cstheme="minorHAnsi"/>
          <w:b/>
        </w:rPr>
        <w:fldChar w:fldCharType="separate"/>
      </w:r>
      <w:r w:rsidRPr="009F203C">
        <w:rPr>
          <w:rFonts w:cstheme="minorHAnsi"/>
          <w:b/>
        </w:rPr>
        <w:t xml:space="preserve">Proposal 8: </w:t>
      </w:r>
      <w:r>
        <w:rPr>
          <w:rFonts w:cstheme="minorHAnsi"/>
          <w:b/>
        </w:rPr>
        <w:t>For both mDCI and sDCI mTRP, when TCI state is known, MAC CE based UL dual TCI state switch the switching delay requirement is:</w:t>
      </w:r>
      <w:r>
        <w:rPr>
          <w:rFonts w:cstheme="minorHAnsi"/>
          <w:b/>
        </w:rPr>
        <w:fldChar w:fldCharType="end"/>
      </w:r>
    </w:p>
    <w:p w14:paraId="2F69709C" w14:textId="0850A583" w:rsidR="009B0665" w:rsidRPr="009B0665" w:rsidRDefault="009B0665" w:rsidP="009B0665">
      <w:pPr>
        <w:spacing w:beforeLines="50" w:before="120" w:afterLines="50" w:after="120"/>
        <w:ind w:firstLineChars="200" w:firstLine="422"/>
        <w:rPr>
          <w:rFonts w:eastAsia="PMingLiU" w:cstheme="minorHAnsi"/>
          <w:b/>
        </w:rPr>
      </w:pPr>
      <w:r>
        <w:rPr>
          <w:rFonts w:cstheme="minorHAnsi"/>
          <w:b/>
        </w:rPr>
        <w:t>THARQ +3ms + max {NM1* (Tfirst_target-PL-RS1 + 4*Ttarget_PL-RS1 + 2ms), NM2* (Tfirst_target-PL-RS2 + 4*Ttarget_PL-RS 2+ 2ms)}</w:t>
      </w:r>
    </w:p>
    <w:p w14:paraId="1ECB9334" w14:textId="7B856655"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573519CB" w14:textId="3201F8B4" w:rsidR="00410BAC" w:rsidRPr="00410BAC" w:rsidRDefault="00410BAC" w:rsidP="00410BAC">
      <w:pPr>
        <w:spacing w:beforeLines="50" w:before="120"/>
        <w:rPr>
          <w:rFonts w:cstheme="minorHAnsi"/>
          <w:szCs w:val="24"/>
          <w:lang w:val="en-GB"/>
        </w:rPr>
      </w:pPr>
      <w:bookmarkStart w:id="24" w:name="_Ref141379500"/>
      <w:r>
        <w:t>[</w:t>
      </w:r>
      <w:fldSimple w:instr=" SEQ [ \* ARABIC ">
        <w:r>
          <w:rPr>
            <w:noProof/>
          </w:rPr>
          <w:t>1</w:t>
        </w:r>
      </w:fldSimple>
      <w:r>
        <w:t xml:space="preserve">] </w:t>
      </w:r>
      <w:r w:rsidRPr="00410BAC">
        <w:rPr>
          <w:rFonts w:cstheme="minorHAnsi"/>
          <w:szCs w:val="24"/>
          <w:lang w:val="en-GB"/>
        </w:rPr>
        <w:t>R4-231</w:t>
      </w:r>
      <w:r w:rsidR="00D81452">
        <w:rPr>
          <w:rFonts w:cstheme="minorHAnsi"/>
          <w:szCs w:val="24"/>
          <w:lang w:val="en-GB"/>
        </w:rPr>
        <w:t>4347</w:t>
      </w:r>
      <w:r w:rsidRPr="00410BAC">
        <w:rPr>
          <w:rFonts w:cstheme="minorHAnsi"/>
          <w:szCs w:val="24"/>
          <w:lang w:val="en-GB"/>
        </w:rPr>
        <w:t>, WF on R18 NR MIMO RRM requirements, Samsung, RAN#10</w:t>
      </w:r>
      <w:bookmarkEnd w:id="24"/>
      <w:r w:rsidR="00D81452">
        <w:rPr>
          <w:rFonts w:cstheme="minorHAnsi"/>
          <w:szCs w:val="24"/>
          <w:lang w:val="en-GB"/>
        </w:rPr>
        <w:t>8</w:t>
      </w:r>
    </w:p>
    <w:p w14:paraId="208A92A7" w14:textId="74329293" w:rsidR="00EE7F0C" w:rsidRPr="008D2962" w:rsidRDefault="00410BAC" w:rsidP="008D2962">
      <w:pPr>
        <w:spacing w:beforeLines="50" w:before="120"/>
      </w:pPr>
      <w:bookmarkStart w:id="25" w:name="_Ref141379531"/>
      <w:r w:rsidRPr="008D2962">
        <w:t>[</w:t>
      </w:r>
      <w:fldSimple w:instr=" SEQ [ \* ARABIC ">
        <w:r w:rsidRPr="008D2962">
          <w:t>2</w:t>
        </w:r>
      </w:fldSimple>
      <w:r w:rsidRPr="008D2962">
        <w:t>] R4-23</w:t>
      </w:r>
      <w:r w:rsidR="00D81452">
        <w:t>14173</w:t>
      </w:r>
      <w:r w:rsidRPr="008D2962">
        <w:t>, Topic summary for [10</w:t>
      </w:r>
      <w:r w:rsidR="00D81452">
        <w:t>8</w:t>
      </w:r>
      <w:r w:rsidRPr="008D2962">
        <w:t>][228] NR_MIMO_evo_DL_UL, Samsung, RAN#10</w:t>
      </w:r>
      <w:bookmarkEnd w:id="23"/>
      <w:bookmarkEnd w:id="25"/>
      <w:r w:rsidR="00D81452">
        <w:t>8</w:t>
      </w:r>
    </w:p>
    <w:sectPr w:rsidR="00EE7F0C" w:rsidRPr="008D296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4D648" w14:textId="77777777" w:rsidR="00FF15DB" w:rsidRDefault="00FF15DB">
      <w:r>
        <w:separator/>
      </w:r>
    </w:p>
  </w:endnote>
  <w:endnote w:type="continuationSeparator" w:id="0">
    <w:p w14:paraId="71E7070F" w14:textId="77777777" w:rsidR="00FF15DB" w:rsidRDefault="00FF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9A78" w14:textId="77777777" w:rsidR="00FF15DB" w:rsidRDefault="00FF15DB">
      <w:r>
        <w:separator/>
      </w:r>
    </w:p>
  </w:footnote>
  <w:footnote w:type="continuationSeparator" w:id="0">
    <w:p w14:paraId="7AE5FF32" w14:textId="77777777" w:rsidR="00FF15DB" w:rsidRDefault="00FF1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55C"/>
    <w:multiLevelType w:val="multilevel"/>
    <w:tmpl w:val="F6305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2071F"/>
    <w:multiLevelType w:val="multilevel"/>
    <w:tmpl w:val="DABCE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A3DFF"/>
    <w:multiLevelType w:val="hybridMultilevel"/>
    <w:tmpl w:val="ABCE7144"/>
    <w:lvl w:ilvl="0" w:tplc="256C0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343578"/>
    <w:multiLevelType w:val="hybridMultilevel"/>
    <w:tmpl w:val="EBF6BC2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DA662F"/>
    <w:multiLevelType w:val="multilevel"/>
    <w:tmpl w:val="AFC84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8E06CA2"/>
    <w:multiLevelType w:val="hybridMultilevel"/>
    <w:tmpl w:val="FEDCF5B6"/>
    <w:lvl w:ilvl="0" w:tplc="99B64E4A">
      <w:start w:val="2"/>
      <w:numFmt w:val="bullet"/>
      <w:lvlText w:val=""/>
      <w:lvlJc w:val="left"/>
      <w:pPr>
        <w:ind w:left="360" w:hanging="360"/>
      </w:pPr>
      <w:rPr>
        <w:rFonts w:ascii="Wingdings" w:eastAsia="PMingLiU" w:hAnsi="Wingdings"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202911"/>
    <w:multiLevelType w:val="multilevel"/>
    <w:tmpl w:val="55F2B44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17057"/>
    <w:multiLevelType w:val="hybridMultilevel"/>
    <w:tmpl w:val="6F80011C"/>
    <w:lvl w:ilvl="0" w:tplc="6C3A83E4">
      <w:start w:val="3"/>
      <w:numFmt w:val="bullet"/>
      <w:lvlText w:val="-"/>
      <w:lvlJc w:val="left"/>
      <w:pPr>
        <w:ind w:left="764" w:hanging="480"/>
      </w:pPr>
      <w:rPr>
        <w:rFonts w:ascii="Times New Roman" w:eastAsia="宋体" w:hAnsi="Times New Roman" w:cs="Times New Roman"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3" w15:restartNumberingAfterBreak="0">
    <w:nsid w:val="277C69B4"/>
    <w:multiLevelType w:val="multilevel"/>
    <w:tmpl w:val="C9928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074118"/>
    <w:multiLevelType w:val="hybridMultilevel"/>
    <w:tmpl w:val="EA847316"/>
    <w:lvl w:ilvl="0" w:tplc="5A667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61404"/>
    <w:multiLevelType w:val="multilevel"/>
    <w:tmpl w:val="439AF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A33AE7"/>
    <w:multiLevelType w:val="hybridMultilevel"/>
    <w:tmpl w:val="F5B4B8AC"/>
    <w:lvl w:ilvl="0" w:tplc="5AAC12E2">
      <w:start w:val="302"/>
      <w:numFmt w:val="bullet"/>
      <w:lvlText w:val="-"/>
      <w:lvlJc w:val="left"/>
      <w:pPr>
        <w:ind w:left="764" w:hanging="480"/>
      </w:pPr>
      <w:rPr>
        <w:rFonts w:ascii="Times New Roman" w:hAnsi="Times New Roman" w:hint="default"/>
        <w:sz w:val="24"/>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DA5603"/>
    <w:multiLevelType w:val="hybridMultilevel"/>
    <w:tmpl w:val="09205434"/>
    <w:lvl w:ilvl="0" w:tplc="DB60718C">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87C7795"/>
    <w:multiLevelType w:val="hybridMultilevel"/>
    <w:tmpl w:val="61848F5E"/>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F315488"/>
    <w:multiLevelType w:val="multilevel"/>
    <w:tmpl w:val="48DA2D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50941248"/>
    <w:multiLevelType w:val="multilevel"/>
    <w:tmpl w:val="2BE2F6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1707AF5"/>
    <w:multiLevelType w:val="hybridMultilevel"/>
    <w:tmpl w:val="7FE84C4C"/>
    <w:lvl w:ilvl="0" w:tplc="3E08245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602C3B9C"/>
    <w:multiLevelType w:val="hybridMultilevel"/>
    <w:tmpl w:val="454CCBF2"/>
    <w:lvl w:ilvl="0" w:tplc="6C3A83E4">
      <w:start w:val="3"/>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8A4768"/>
    <w:multiLevelType w:val="hybridMultilevel"/>
    <w:tmpl w:val="40661A1C"/>
    <w:lvl w:ilvl="0" w:tplc="CE02CAF8">
      <w:numFmt w:val="bullet"/>
      <w:lvlText w:val="-"/>
      <w:lvlJc w:val="left"/>
      <w:pPr>
        <w:ind w:left="720" w:hanging="480"/>
      </w:pPr>
      <w:rPr>
        <w:rFonts w:ascii="Times New Roman" w:eastAsia="Calibri" w:hAnsi="Times New Roman" w:cs="Times New Roman"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8" w15:restartNumberingAfterBreak="0">
    <w:nsid w:val="6D786A8D"/>
    <w:multiLevelType w:val="multilevel"/>
    <w:tmpl w:val="F0FC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D5232C"/>
    <w:multiLevelType w:val="hybridMultilevel"/>
    <w:tmpl w:val="FA3802B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7E2A81"/>
    <w:multiLevelType w:val="hybridMultilevel"/>
    <w:tmpl w:val="877039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5A2126F"/>
    <w:multiLevelType w:val="hybridMultilevel"/>
    <w:tmpl w:val="A42249B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7A7934CA"/>
    <w:multiLevelType w:val="multilevel"/>
    <w:tmpl w:val="EB04B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6C0372"/>
    <w:multiLevelType w:val="hybridMultilevel"/>
    <w:tmpl w:val="EF702B3C"/>
    <w:lvl w:ilvl="0" w:tplc="FD16F1C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EE55FCB"/>
    <w:multiLevelType w:val="hybridMultilevel"/>
    <w:tmpl w:val="57C47CE0"/>
    <w:lvl w:ilvl="0" w:tplc="838C222A">
      <w:start w:val="3"/>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44075915">
    <w:abstractNumId w:val="29"/>
  </w:num>
  <w:num w:numId="2" w16cid:durableId="1388339009">
    <w:abstractNumId w:val="17"/>
  </w:num>
  <w:num w:numId="3" w16cid:durableId="1283462846">
    <w:abstractNumId w:val="2"/>
  </w:num>
  <w:num w:numId="4" w16cid:durableId="284388055">
    <w:abstractNumId w:val="1"/>
  </w:num>
  <w:num w:numId="5" w16cid:durableId="1824664424">
    <w:abstractNumId w:val="24"/>
  </w:num>
  <w:num w:numId="6" w16cid:durableId="1094592318">
    <w:abstractNumId w:val="7"/>
  </w:num>
  <w:num w:numId="7" w16cid:durableId="757748475">
    <w:abstractNumId w:val="35"/>
  </w:num>
  <w:num w:numId="8" w16cid:durableId="589585599">
    <w:abstractNumId w:val="19"/>
  </w:num>
  <w:num w:numId="9" w16cid:durableId="1213344458">
    <w:abstractNumId w:val="13"/>
  </w:num>
  <w:num w:numId="10" w16cid:durableId="1839076609">
    <w:abstractNumId w:val="31"/>
  </w:num>
  <w:num w:numId="11" w16cid:durableId="1599411996">
    <w:abstractNumId w:val="32"/>
  </w:num>
  <w:num w:numId="12" w16cid:durableId="1715228896">
    <w:abstractNumId w:val="18"/>
  </w:num>
  <w:num w:numId="13" w16cid:durableId="1608348497">
    <w:abstractNumId w:val="29"/>
  </w:num>
  <w:num w:numId="14" w16cid:durableId="2141144310">
    <w:abstractNumId w:val="5"/>
  </w:num>
  <w:num w:numId="15" w16cid:durableId="2064138986">
    <w:abstractNumId w:val="14"/>
  </w:num>
  <w:num w:numId="16" w16cid:durableId="1583492966">
    <w:abstractNumId w:val="8"/>
  </w:num>
  <w:num w:numId="17" w16cid:durableId="1376932963">
    <w:abstractNumId w:val="10"/>
  </w:num>
  <w:num w:numId="18" w16cid:durableId="189530849">
    <w:abstractNumId w:val="23"/>
  </w:num>
  <w:num w:numId="19" w16cid:durableId="308176211">
    <w:abstractNumId w:val="33"/>
  </w:num>
  <w:num w:numId="20" w16cid:durableId="104347281">
    <w:abstractNumId w:val="15"/>
  </w:num>
  <w:num w:numId="21" w16cid:durableId="570240466">
    <w:abstractNumId w:val="6"/>
  </w:num>
  <w:num w:numId="22" w16cid:durableId="1671593834">
    <w:abstractNumId w:val="0"/>
  </w:num>
  <w:num w:numId="23" w16cid:durableId="1097366592">
    <w:abstractNumId w:val="3"/>
  </w:num>
  <w:num w:numId="24" w16cid:durableId="1606956173">
    <w:abstractNumId w:val="28"/>
  </w:num>
  <w:num w:numId="25" w16cid:durableId="1345551055">
    <w:abstractNumId w:val="4"/>
  </w:num>
  <w:num w:numId="26" w16cid:durableId="1079213656">
    <w:abstractNumId w:val="34"/>
  </w:num>
  <w:num w:numId="27" w16cid:durableId="1598714719">
    <w:abstractNumId w:val="22"/>
  </w:num>
  <w:num w:numId="28" w16cid:durableId="431316203">
    <w:abstractNumId w:val="26"/>
  </w:num>
  <w:num w:numId="29" w16cid:durableId="903835969">
    <w:abstractNumId w:val="20"/>
  </w:num>
  <w:num w:numId="30" w16cid:durableId="106199264">
    <w:abstractNumId w:val="9"/>
  </w:num>
  <w:num w:numId="31" w16cid:durableId="1170947094">
    <w:abstractNumId w:val="25"/>
  </w:num>
  <w:num w:numId="32" w16cid:durableId="1133598396">
    <w:abstractNumId w:val="27"/>
  </w:num>
  <w:num w:numId="33" w16cid:durableId="629285886">
    <w:abstractNumId w:val="21"/>
  </w:num>
  <w:num w:numId="34" w16cid:durableId="1533764938">
    <w:abstractNumId w:val="16"/>
  </w:num>
  <w:num w:numId="35" w16cid:durableId="955452631">
    <w:abstractNumId w:val="36"/>
  </w:num>
  <w:num w:numId="36" w16cid:durableId="1977487221">
    <w:abstractNumId w:val="12"/>
  </w:num>
  <w:num w:numId="37" w16cid:durableId="554319918">
    <w:abstractNumId w:val="11"/>
  </w:num>
  <w:num w:numId="38" w16cid:durableId="756682058">
    <w:abstractNumId w:val="30"/>
  </w:num>
  <w:num w:numId="39" w16cid:durableId="827210929">
    <w:abstractNumId w:val="24"/>
  </w:num>
  <w:num w:numId="40" w16cid:durableId="1610888456">
    <w:abstractNumId w:val="26"/>
  </w:num>
  <w:num w:numId="41" w16cid:durableId="53320187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766"/>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358"/>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E1B"/>
    <w:rsid w:val="0062215F"/>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59B"/>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32B"/>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97C6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55F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C55F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C55F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10</cp:revision>
  <dcterms:created xsi:type="dcterms:W3CDTF">2023-09-27T03:47:00Z</dcterms:created>
  <dcterms:modified xsi:type="dcterms:W3CDTF">2023-09-27T15:32:00Z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