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325C26" w14:textId="3AF69C4F" w:rsidR="00841BCD" w:rsidRPr="008C39F7"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C39F7">
        <w:rPr>
          <w:rFonts w:ascii="Arial" w:eastAsia="SimSun" w:hAnsi="Arial" w:cs="Times New Roman"/>
          <w:b/>
          <w:bCs/>
          <w:sz w:val="24"/>
          <w:szCs w:val="20"/>
        </w:rPr>
        <w:t>3GPP T</w:t>
      </w:r>
      <w:bookmarkStart w:id="2" w:name="_Ref452454252"/>
      <w:bookmarkEnd w:id="2"/>
      <w:r w:rsidRPr="008C39F7">
        <w:rPr>
          <w:rFonts w:ascii="Arial" w:eastAsia="SimSun" w:hAnsi="Arial" w:cs="Times New Roman"/>
          <w:b/>
          <w:bCs/>
          <w:sz w:val="24"/>
          <w:szCs w:val="20"/>
        </w:rPr>
        <w:t xml:space="preserve">SG-RAN </w:t>
      </w:r>
      <w:r w:rsidR="00ED7600" w:rsidRPr="008C39F7">
        <w:rPr>
          <w:rFonts w:ascii="Arial" w:eastAsia="SimSun" w:hAnsi="Arial" w:cs="Times New Roman"/>
          <w:b/>
          <w:sz w:val="24"/>
          <w:szCs w:val="20"/>
        </w:rPr>
        <w:t>WG4 Meeting #</w:t>
      </w:r>
      <w:r w:rsidR="002B69F3">
        <w:rPr>
          <w:rFonts w:ascii="Arial" w:eastAsia="SimSun" w:hAnsi="Arial" w:cs="Times New Roman"/>
          <w:b/>
          <w:sz w:val="24"/>
          <w:szCs w:val="20"/>
        </w:rPr>
        <w:t xml:space="preserve"> </w:t>
      </w:r>
      <w:r w:rsidR="001868EE" w:rsidRPr="008C39F7">
        <w:rPr>
          <w:rFonts w:ascii="Arial" w:eastAsia="SimSun" w:hAnsi="Arial" w:cs="Times New Roman"/>
          <w:b/>
          <w:sz w:val="24"/>
          <w:szCs w:val="20"/>
        </w:rPr>
        <w:t>10</w:t>
      </w:r>
      <w:r w:rsidR="003509DF">
        <w:rPr>
          <w:rFonts w:ascii="Arial" w:eastAsia="SimSun" w:hAnsi="Arial" w:cs="Times New Roman"/>
          <w:b/>
          <w:sz w:val="24"/>
          <w:szCs w:val="20"/>
        </w:rPr>
        <w:t>8</w:t>
      </w:r>
      <w:r w:rsidR="002B69F3">
        <w:rPr>
          <w:rFonts w:ascii="Arial" w:eastAsia="SimSun" w:hAnsi="Arial" w:cs="Times New Roman"/>
          <w:b/>
          <w:sz w:val="24"/>
          <w:szCs w:val="20"/>
        </w:rPr>
        <w:t>bis</w:t>
      </w:r>
      <w:r w:rsidRPr="008C39F7">
        <w:rPr>
          <w:rFonts w:ascii="Arial" w:eastAsia="SimSun" w:hAnsi="Arial" w:cs="Times New Roman"/>
          <w:b/>
          <w:bCs/>
          <w:sz w:val="24"/>
          <w:szCs w:val="20"/>
        </w:rPr>
        <w:tab/>
      </w:r>
      <w:r w:rsidRPr="008E768B">
        <w:rPr>
          <w:rFonts w:ascii="Arial" w:eastAsia="SimSun" w:hAnsi="Arial" w:cs="Times New Roman"/>
          <w:b/>
          <w:sz w:val="24"/>
          <w:szCs w:val="20"/>
        </w:rPr>
        <w:t>R4-</w:t>
      </w:r>
      <w:r w:rsidR="008E768B" w:rsidRPr="008E768B">
        <w:rPr>
          <w:rFonts w:ascii="Arial" w:eastAsia="SimSun" w:hAnsi="Arial" w:cs="Times New Roman"/>
          <w:b/>
          <w:bCs/>
          <w:sz w:val="24"/>
          <w:szCs w:val="20"/>
        </w:rPr>
        <w:t>2316401</w:t>
      </w:r>
      <w:r w:rsidR="008E768B" w:rsidRPr="008E768B" w:rsidDel="008E768B">
        <w:rPr>
          <w:rFonts w:ascii="Arial" w:eastAsia="SimSun" w:hAnsi="Arial" w:cs="Times New Roman"/>
          <w:b/>
          <w:bCs/>
          <w:sz w:val="24"/>
          <w:szCs w:val="20"/>
          <w:highlight w:val="yellow"/>
        </w:rPr>
        <w:t xml:space="preserve"> </w:t>
      </w:r>
    </w:p>
    <w:p w14:paraId="2105E43D" w14:textId="77777777" w:rsidR="00841BCD" w:rsidRPr="002B69F3" w:rsidRDefault="002B69F3"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r w:rsidRPr="002B69F3">
        <w:rPr>
          <w:rFonts w:ascii="Arial" w:eastAsia="SimSun" w:hAnsi="Arial" w:cs="Times New Roman"/>
          <w:b/>
          <w:sz w:val="24"/>
          <w:szCs w:val="20"/>
        </w:rPr>
        <w:t>Xiamen, China, October 09 – October 13, 2023</w:t>
      </w:r>
    </w:p>
    <w:bookmarkEnd w:id="0"/>
    <w:bookmarkEnd w:id="1"/>
    <w:p w14:paraId="7A11C81B" w14:textId="77777777" w:rsidR="00841BCD" w:rsidRPr="008C39F7"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1736ACBF" w14:textId="77777777" w:rsidR="00841BCD" w:rsidRPr="008C39F7" w:rsidRDefault="00841BCD" w:rsidP="00841BCD">
      <w:pPr>
        <w:tabs>
          <w:tab w:val="left" w:pos="1985"/>
        </w:tabs>
        <w:ind w:left="1985" w:hanging="1985"/>
        <w:rPr>
          <w:rFonts w:ascii="Arial" w:eastAsia="Calibri" w:hAnsi="Arial" w:cs="Arial"/>
          <w:b/>
          <w:bCs/>
          <w:sz w:val="24"/>
        </w:rPr>
      </w:pPr>
      <w:r w:rsidRPr="008C39F7">
        <w:rPr>
          <w:rFonts w:ascii="Arial" w:eastAsia="Calibri" w:hAnsi="Arial" w:cs="Arial"/>
          <w:b/>
          <w:bCs/>
          <w:sz w:val="24"/>
        </w:rPr>
        <w:t>Source:</w:t>
      </w:r>
      <w:r w:rsidRPr="008C39F7">
        <w:rPr>
          <w:rFonts w:ascii="Arial" w:eastAsia="Calibri" w:hAnsi="Arial" w:cs="Arial"/>
          <w:b/>
          <w:bCs/>
          <w:sz w:val="24"/>
        </w:rPr>
        <w:tab/>
        <w:t xml:space="preserve">Nokia, </w:t>
      </w:r>
      <w:r w:rsidR="0043750A" w:rsidRPr="008C39F7">
        <w:rPr>
          <w:rFonts w:ascii="Arial" w:eastAsia="Calibri" w:hAnsi="Arial" w:cs="Arial"/>
          <w:b/>
          <w:bCs/>
          <w:sz w:val="24"/>
        </w:rPr>
        <w:t>Nokia</w:t>
      </w:r>
      <w:r w:rsidRPr="008C39F7">
        <w:rPr>
          <w:rFonts w:ascii="Arial" w:eastAsia="Calibri" w:hAnsi="Arial" w:cs="Arial"/>
          <w:b/>
          <w:bCs/>
          <w:sz w:val="24"/>
        </w:rPr>
        <w:t xml:space="preserve"> Shanghai Bell</w:t>
      </w:r>
    </w:p>
    <w:p w14:paraId="278DD575" w14:textId="2C63ADB5" w:rsidR="00841BCD" w:rsidRPr="008C39F7" w:rsidRDefault="00841BCD" w:rsidP="00841BCD">
      <w:pPr>
        <w:ind w:left="1985" w:hanging="1985"/>
        <w:rPr>
          <w:rFonts w:ascii="Arial" w:eastAsia="Calibri" w:hAnsi="Arial" w:cs="Arial"/>
          <w:b/>
          <w:bCs/>
          <w:sz w:val="24"/>
        </w:rPr>
      </w:pPr>
      <w:r w:rsidRPr="008C39F7">
        <w:rPr>
          <w:rFonts w:ascii="Arial" w:eastAsia="Calibri" w:hAnsi="Arial" w:cs="Arial"/>
          <w:b/>
          <w:bCs/>
          <w:sz w:val="24"/>
        </w:rPr>
        <w:t>Title:</w:t>
      </w:r>
      <w:r w:rsidRPr="008C39F7">
        <w:rPr>
          <w:rFonts w:ascii="Arial" w:eastAsia="Calibri" w:hAnsi="Arial" w:cs="Arial"/>
          <w:b/>
          <w:bCs/>
          <w:sz w:val="24"/>
        </w:rPr>
        <w:tab/>
      </w:r>
      <w:r w:rsidR="004610AC" w:rsidRPr="00796A38">
        <w:rPr>
          <w:rFonts w:ascii="Arial" w:eastAsia="Calibri" w:hAnsi="Arial" w:cs="Arial"/>
          <w:b/>
          <w:bCs/>
          <w:sz w:val="24"/>
        </w:rPr>
        <w:t xml:space="preserve">Discussion on </w:t>
      </w:r>
      <w:r w:rsidR="00C52088">
        <w:rPr>
          <w:rFonts w:ascii="Arial" w:eastAsia="Calibri" w:hAnsi="Arial" w:cs="Arial"/>
          <w:b/>
          <w:bCs/>
          <w:sz w:val="24"/>
        </w:rPr>
        <w:t xml:space="preserve">the </w:t>
      </w:r>
      <w:r w:rsidR="004610AC" w:rsidRPr="00796A38">
        <w:rPr>
          <w:rFonts w:ascii="Arial" w:eastAsia="Calibri" w:hAnsi="Arial" w:cs="Arial"/>
          <w:b/>
          <w:bCs/>
          <w:sz w:val="24"/>
        </w:rPr>
        <w:t>TDCP measurement accuracy requirements</w:t>
      </w:r>
    </w:p>
    <w:p w14:paraId="0742BA95" w14:textId="070BC256" w:rsidR="00841BCD" w:rsidRPr="008C39F7" w:rsidRDefault="00841BCD" w:rsidP="00841BCD">
      <w:pPr>
        <w:tabs>
          <w:tab w:val="left" w:pos="1985"/>
        </w:tabs>
        <w:spacing w:after="120" w:line="240" w:lineRule="auto"/>
        <w:rPr>
          <w:rFonts w:ascii="Arial" w:eastAsia="MS Mincho" w:hAnsi="Arial" w:cs="Arial"/>
          <w:b/>
          <w:bCs/>
          <w:sz w:val="24"/>
          <w:szCs w:val="20"/>
        </w:rPr>
      </w:pPr>
      <w:r w:rsidRPr="008C39F7">
        <w:rPr>
          <w:rFonts w:ascii="Arial" w:eastAsia="MS Mincho" w:hAnsi="Arial" w:cs="Arial"/>
          <w:b/>
          <w:bCs/>
          <w:sz w:val="24"/>
          <w:szCs w:val="20"/>
        </w:rPr>
        <w:t>Agenda item:</w:t>
      </w:r>
      <w:r w:rsidRPr="008C39F7">
        <w:rPr>
          <w:rFonts w:ascii="Arial" w:eastAsia="MS Mincho" w:hAnsi="Arial" w:cs="Arial"/>
          <w:b/>
          <w:bCs/>
          <w:sz w:val="24"/>
          <w:szCs w:val="20"/>
        </w:rPr>
        <w:tab/>
      </w:r>
      <w:r w:rsidR="00442CE0" w:rsidRPr="00796A38">
        <w:rPr>
          <w:rFonts w:ascii="Arial" w:eastAsia="MS Mincho" w:hAnsi="Arial" w:cs="Arial"/>
          <w:b/>
          <w:bCs/>
          <w:sz w:val="24"/>
          <w:szCs w:val="20"/>
        </w:rPr>
        <w:t>5.29.</w:t>
      </w:r>
      <w:r w:rsidR="00D8409D" w:rsidRPr="00796A38">
        <w:rPr>
          <w:rFonts w:ascii="Arial" w:eastAsia="MS Mincho" w:hAnsi="Arial" w:cs="Arial"/>
          <w:b/>
          <w:bCs/>
          <w:sz w:val="24"/>
          <w:szCs w:val="20"/>
        </w:rPr>
        <w:t>2.1</w:t>
      </w:r>
    </w:p>
    <w:p w14:paraId="25FC87C6" w14:textId="77777777" w:rsidR="00D66188" w:rsidRPr="008C39F7" w:rsidRDefault="00841BCD" w:rsidP="00841BCD">
      <w:pPr>
        <w:tabs>
          <w:tab w:val="left" w:pos="1985"/>
        </w:tabs>
        <w:rPr>
          <w:rFonts w:ascii="Arial" w:eastAsia="Calibri" w:hAnsi="Arial" w:cs="Arial"/>
          <w:b/>
          <w:bCs/>
          <w:sz w:val="24"/>
        </w:rPr>
      </w:pPr>
      <w:r w:rsidRPr="008C39F7">
        <w:rPr>
          <w:rFonts w:ascii="Arial" w:eastAsia="Calibri" w:hAnsi="Arial" w:cs="Arial"/>
          <w:b/>
          <w:bCs/>
          <w:sz w:val="24"/>
        </w:rPr>
        <w:t>Document for:</w:t>
      </w:r>
      <w:r w:rsidRPr="008C39F7">
        <w:rPr>
          <w:rFonts w:ascii="Arial" w:eastAsia="Calibri" w:hAnsi="Arial" w:cs="Arial"/>
          <w:b/>
          <w:bCs/>
          <w:sz w:val="24"/>
        </w:rPr>
        <w:tab/>
      </w:r>
      <w:r w:rsidR="00AE6D09" w:rsidRPr="008C39F7">
        <w:rPr>
          <w:rFonts w:ascii="Arial" w:eastAsia="Calibri" w:hAnsi="Arial" w:cs="Arial"/>
          <w:b/>
          <w:bCs/>
          <w:sz w:val="24"/>
        </w:rPr>
        <w:t>Discussion</w:t>
      </w:r>
    </w:p>
    <w:p w14:paraId="63F17FC2" w14:textId="77777777" w:rsidR="00E323E9" w:rsidRPr="008C39F7" w:rsidRDefault="00E323E9" w:rsidP="00841BCD">
      <w:pPr>
        <w:tabs>
          <w:tab w:val="left" w:pos="1985"/>
        </w:tabs>
        <w:rPr>
          <w:rFonts w:ascii="Arial" w:eastAsia="Calibri" w:hAnsi="Arial" w:cs="Arial"/>
          <w:b/>
          <w:bCs/>
          <w:sz w:val="24"/>
        </w:rPr>
      </w:pPr>
    </w:p>
    <w:p w14:paraId="42BF2498" w14:textId="77777777" w:rsidR="00841BCD" w:rsidRPr="008C39F7" w:rsidRDefault="00841BCD" w:rsidP="00A37002">
      <w:pPr>
        <w:pStyle w:val="RAN4H1"/>
      </w:pPr>
      <w:bookmarkStart w:id="3" w:name="_Toc116995841"/>
      <w:r w:rsidRPr="008C39F7">
        <w:t>Intro</w:t>
      </w:r>
      <w:r w:rsidRPr="008C39F7">
        <w:rPr>
          <w:rStyle w:val="RAN4H1Char"/>
          <w:lang w:val="en-US"/>
        </w:rPr>
        <w:t>ductio</w:t>
      </w:r>
      <w:r w:rsidRPr="008C39F7">
        <w:t>n</w:t>
      </w:r>
      <w:bookmarkEnd w:id="3"/>
    </w:p>
    <w:p w14:paraId="1E80C51C" w14:textId="4B4D3D5D" w:rsidR="00A520D9" w:rsidRPr="008C39F7" w:rsidRDefault="009D69CE" w:rsidP="005C23A4">
      <w:r w:rsidRPr="000B30AE">
        <w:t>In RAN4#10</w:t>
      </w:r>
      <w:r>
        <w:t>8</w:t>
      </w:r>
      <w:r w:rsidRPr="000B30AE">
        <w:t xml:space="preserve">, the following agreements were made regarding the scope </w:t>
      </w:r>
      <w:r w:rsidR="00510239">
        <w:t>of</w:t>
      </w:r>
      <w:r w:rsidRPr="000B30AE">
        <w:t xml:space="preserve"> the MIMO_evo_DL_UL </w:t>
      </w:r>
      <w:r w:rsidR="00510239">
        <w:t xml:space="preserve">(TDCP) </w:t>
      </w:r>
      <w:r w:rsidRPr="000B30AE">
        <w:t xml:space="preserve">work in RAN4 </w:t>
      </w:r>
      <w:bookmarkStart w:id="4" w:name="_Hlk146733845"/>
      <w:r w:rsidRPr="000B30AE">
        <w:t>R4-231</w:t>
      </w:r>
      <w:r>
        <w:t>4347</w:t>
      </w:r>
      <w:r w:rsidRPr="000B30AE">
        <w:t xml:space="preserve"> [</w:t>
      </w:r>
      <w:r w:rsidR="001205D4">
        <w:t>1</w:t>
      </w:r>
      <w:r w:rsidRPr="000B30AE">
        <w:t>]</w:t>
      </w:r>
      <w:bookmarkEnd w:id="4"/>
    </w:p>
    <w:tbl>
      <w:tblPr>
        <w:tblStyle w:val="TableGrid"/>
        <w:tblW w:w="0" w:type="auto"/>
        <w:tblLook w:val="04A0" w:firstRow="1" w:lastRow="0" w:firstColumn="1" w:lastColumn="0" w:noHBand="0" w:noVBand="1"/>
      </w:tblPr>
      <w:tblGrid>
        <w:gridCol w:w="9617"/>
      </w:tblGrid>
      <w:tr w:rsidR="00622657" w14:paraId="61D8D583" w14:textId="77777777" w:rsidTr="00622657">
        <w:tc>
          <w:tcPr>
            <w:tcW w:w="9617" w:type="dxa"/>
          </w:tcPr>
          <w:p w14:paraId="5254D30B" w14:textId="77777777" w:rsidR="00622657" w:rsidRDefault="00622657" w:rsidP="00622657">
            <w:pPr>
              <w:rPr>
                <w:b/>
                <w:lang w:eastAsia="zh-CN"/>
              </w:rPr>
            </w:pPr>
            <w:r>
              <w:rPr>
                <w:b/>
                <w:u w:val="single"/>
                <w:lang w:eastAsia="ko-KR"/>
              </w:rPr>
              <w:t>Issue 1-1-1: Whether to define TDCP measurement delay requirements?</w:t>
            </w:r>
          </w:p>
          <w:p w14:paraId="1B313B5E" w14:textId="77777777" w:rsidR="00622657" w:rsidRDefault="00622657" w:rsidP="00622657">
            <w:pPr>
              <w:rPr>
                <w:lang w:eastAsia="zh-CN"/>
              </w:rPr>
            </w:pPr>
            <w:r>
              <w:rPr>
                <w:b/>
                <w:lang w:eastAsia="zh-CN"/>
              </w:rPr>
              <w:t>Agreement</w:t>
            </w:r>
            <w:r>
              <w:rPr>
                <w:lang w:eastAsia="zh-CN"/>
              </w:rPr>
              <w:t xml:space="preserve">: </w:t>
            </w:r>
          </w:p>
          <w:p w14:paraId="4ABF4DFA" w14:textId="157731B3" w:rsidR="00622657" w:rsidRDefault="00622657" w:rsidP="00622657">
            <w:pPr>
              <w:pStyle w:val="ListParagraph"/>
              <w:numPr>
                <w:ilvl w:val="1"/>
                <w:numId w:val="27"/>
              </w:numPr>
              <w:spacing w:after="120" w:line="252" w:lineRule="auto"/>
              <w:contextualSpacing w:val="0"/>
              <w:rPr>
                <w:lang w:eastAsia="zh-CN"/>
              </w:rPr>
            </w:pPr>
            <w:r>
              <w:rPr>
                <w:bCs/>
              </w:rPr>
              <w:t>Do not define TDCP measurement delay requirements</w:t>
            </w:r>
            <w:r w:rsidR="000E063C">
              <w:rPr>
                <w:bCs/>
              </w:rPr>
              <w:t>.</w:t>
            </w:r>
          </w:p>
          <w:p w14:paraId="281F5EF1" w14:textId="77777777" w:rsidR="00622657" w:rsidRDefault="00622657" w:rsidP="00622657">
            <w:pPr>
              <w:pStyle w:val="B1"/>
              <w:ind w:left="0" w:firstLine="0"/>
              <w:rPr>
                <w:b/>
                <w:u w:val="single"/>
              </w:rPr>
            </w:pPr>
          </w:p>
          <w:p w14:paraId="568A0556" w14:textId="77777777" w:rsidR="00622657" w:rsidRDefault="00622657" w:rsidP="00622657">
            <w:pPr>
              <w:pStyle w:val="B1"/>
              <w:ind w:left="0" w:firstLine="0"/>
              <w:rPr>
                <w:b/>
                <w:u w:val="single"/>
              </w:rPr>
            </w:pPr>
            <w:r>
              <w:rPr>
                <w:b/>
                <w:u w:val="single"/>
              </w:rPr>
              <w:t>Issue 1-1-2: Whether to define TDCP measurement accuracy requirements?</w:t>
            </w:r>
          </w:p>
          <w:p w14:paraId="07FBA084" w14:textId="77777777" w:rsidR="00622657" w:rsidRDefault="00622657" w:rsidP="00622657">
            <w:pPr>
              <w:pStyle w:val="B1"/>
              <w:ind w:left="0" w:firstLine="0"/>
              <w:rPr>
                <w:lang w:eastAsia="zh-CN"/>
              </w:rPr>
            </w:pPr>
            <w:r>
              <w:rPr>
                <w:b/>
                <w:lang w:eastAsia="zh-CN"/>
              </w:rPr>
              <w:t>Agreement</w:t>
            </w:r>
            <w:r>
              <w:rPr>
                <w:lang w:eastAsia="zh-CN"/>
              </w:rPr>
              <w:t>:</w:t>
            </w:r>
          </w:p>
          <w:p w14:paraId="5B49AD7C" w14:textId="4BA43DA0" w:rsidR="00622657" w:rsidRDefault="00622657" w:rsidP="00622657">
            <w:pPr>
              <w:pStyle w:val="ListParagraph"/>
              <w:numPr>
                <w:ilvl w:val="1"/>
                <w:numId w:val="27"/>
              </w:numPr>
              <w:spacing w:after="120" w:line="252" w:lineRule="auto"/>
              <w:contextualSpacing w:val="0"/>
              <w:rPr>
                <w:bCs/>
              </w:rPr>
            </w:pPr>
            <w:r>
              <w:rPr>
                <w:bCs/>
              </w:rPr>
              <w:t>Further identify feasibility of methodology and test setup to define TDCP accuracy requirements including at least ideal TDCP definition, channel models</w:t>
            </w:r>
            <w:r w:rsidR="000E063C">
              <w:rPr>
                <w:bCs/>
              </w:rPr>
              <w:t>.</w:t>
            </w:r>
          </w:p>
          <w:p w14:paraId="34915D77" w14:textId="76DCF385" w:rsidR="00622657" w:rsidRDefault="00622657" w:rsidP="00622657">
            <w:pPr>
              <w:pStyle w:val="ListParagraph"/>
              <w:numPr>
                <w:ilvl w:val="1"/>
                <w:numId w:val="27"/>
              </w:numPr>
              <w:spacing w:after="120" w:line="252" w:lineRule="auto"/>
              <w:contextualSpacing w:val="0"/>
              <w:rPr>
                <w:bCs/>
              </w:rPr>
            </w:pPr>
            <w:r>
              <w:rPr>
                <w:bCs/>
              </w:rPr>
              <w:t>Define TDCP accuracy requirements subject to conclusions of feasibility analysis</w:t>
            </w:r>
            <w:r w:rsidR="000E063C">
              <w:rPr>
                <w:bCs/>
              </w:rPr>
              <w:t>.</w:t>
            </w:r>
          </w:p>
          <w:p w14:paraId="47BB7BE4" w14:textId="77777777" w:rsidR="00622657" w:rsidRDefault="00622657" w:rsidP="00622657">
            <w:pPr>
              <w:pStyle w:val="B1"/>
              <w:ind w:left="0" w:firstLine="0"/>
              <w:rPr>
                <w:rFonts w:eastAsiaTheme="minorEastAsia"/>
                <w:lang w:eastAsia="zh-CN"/>
              </w:rPr>
            </w:pPr>
          </w:p>
          <w:p w14:paraId="7E8CB59D" w14:textId="77777777" w:rsidR="00622657" w:rsidRDefault="00622657" w:rsidP="00622657">
            <w:pPr>
              <w:pStyle w:val="B1"/>
              <w:ind w:left="0" w:firstLine="0"/>
              <w:rPr>
                <w:b/>
                <w:u w:val="single"/>
                <w:lang w:eastAsia="ko-KR"/>
              </w:rPr>
            </w:pPr>
            <w:r>
              <w:rPr>
                <w:b/>
                <w:u w:val="single"/>
                <w:lang w:eastAsia="ko-KR"/>
              </w:rPr>
              <w:t>Issue 1-1-5: Besides RAN1’s definition, for TDCP calculation, whether to define additional information for averaging across RX ports?</w:t>
            </w:r>
          </w:p>
          <w:p w14:paraId="7720356D" w14:textId="77777777" w:rsidR="00622657" w:rsidRDefault="00622657" w:rsidP="00622657">
            <w:pPr>
              <w:rPr>
                <w:lang w:eastAsia="zh-CN"/>
              </w:rPr>
            </w:pPr>
            <w:r>
              <w:rPr>
                <w:b/>
                <w:lang w:eastAsia="zh-CN"/>
              </w:rPr>
              <w:t>Agreement</w:t>
            </w:r>
            <w:r>
              <w:rPr>
                <w:lang w:eastAsia="zh-CN"/>
              </w:rPr>
              <w:t>:</w:t>
            </w:r>
          </w:p>
          <w:p w14:paraId="29AE9E4B" w14:textId="77777777" w:rsidR="00622657" w:rsidRDefault="00622657" w:rsidP="00622657">
            <w:pPr>
              <w:pStyle w:val="ListParagraph"/>
              <w:numPr>
                <w:ilvl w:val="1"/>
                <w:numId w:val="27"/>
              </w:numPr>
              <w:spacing w:after="120" w:line="252" w:lineRule="auto"/>
              <w:contextualSpacing w:val="0"/>
              <w:rPr>
                <w:bCs/>
              </w:rPr>
            </w:pPr>
            <w:r>
              <w:rPr>
                <w:bCs/>
              </w:rPr>
              <w:t>For TDCP measurement averaging across RX ports should be left to UE implementation.</w:t>
            </w:r>
          </w:p>
          <w:p w14:paraId="07B264FC" w14:textId="47A3F37C" w:rsidR="00622657" w:rsidRDefault="00622657" w:rsidP="00796A38">
            <w:pPr>
              <w:pStyle w:val="ListParagraph"/>
              <w:numPr>
                <w:ilvl w:val="2"/>
                <w:numId w:val="27"/>
              </w:numPr>
              <w:spacing w:after="120" w:line="252" w:lineRule="auto"/>
              <w:contextualSpacing w:val="0"/>
            </w:pPr>
            <w:r>
              <w:rPr>
                <w:bCs/>
              </w:rPr>
              <w:t>The reported TDCP amplitude is expected to between the minimum and maximum measured values across the Rx branches if receiver diversity is used.</w:t>
            </w:r>
          </w:p>
        </w:tc>
      </w:tr>
    </w:tbl>
    <w:p w14:paraId="4D167573" w14:textId="77777777" w:rsidR="0060543D" w:rsidRPr="008C39F7" w:rsidRDefault="0060543D" w:rsidP="005C23A4"/>
    <w:p w14:paraId="71A4920B" w14:textId="77777777" w:rsidR="003B659E" w:rsidRDefault="003B659E" w:rsidP="00AE56B1">
      <w:pPr>
        <w:pStyle w:val="RAN4H1"/>
      </w:pPr>
      <w:bookmarkStart w:id="5" w:name="_Toc116995842"/>
      <w:r w:rsidRPr="008C39F7">
        <w:t>Discussion</w:t>
      </w:r>
      <w:bookmarkEnd w:id="5"/>
    </w:p>
    <w:p w14:paraId="135FFB48" w14:textId="5596B8C4" w:rsidR="002F2062" w:rsidRPr="00796A38" w:rsidRDefault="00001101" w:rsidP="00796A38">
      <w:pPr>
        <w:pStyle w:val="Title"/>
        <w:rPr>
          <w:b/>
          <w:bCs/>
          <w:sz w:val="28"/>
          <w:szCs w:val="28"/>
        </w:rPr>
      </w:pPr>
      <w:r w:rsidRPr="00796A38">
        <w:rPr>
          <w:b/>
          <w:bCs/>
          <w:sz w:val="28"/>
          <w:szCs w:val="28"/>
        </w:rPr>
        <w:t xml:space="preserve">TDCP </w:t>
      </w:r>
      <w:r w:rsidR="00D37294" w:rsidRPr="00796A38">
        <w:rPr>
          <w:b/>
          <w:bCs/>
          <w:sz w:val="28"/>
          <w:szCs w:val="28"/>
        </w:rPr>
        <w:t>Overview</w:t>
      </w:r>
    </w:p>
    <w:p w14:paraId="5CA80D5A" w14:textId="77777777" w:rsidR="00802B62" w:rsidRDefault="00830A39" w:rsidP="00802B62">
      <w:pPr>
        <w:rPr>
          <w:lang w:val="en-GB"/>
        </w:rPr>
      </w:pPr>
      <w:r w:rsidRPr="00245F91">
        <w:rPr>
          <w:lang w:val="en-GB"/>
        </w:rPr>
        <w:t>Time Domain Channel Property (TDCP) indicator focuse</w:t>
      </w:r>
      <w:r w:rsidR="00BF117D">
        <w:rPr>
          <w:lang w:val="en-GB"/>
        </w:rPr>
        <w:t>s</w:t>
      </w:r>
      <w:r w:rsidRPr="00245F91">
        <w:rPr>
          <w:lang w:val="en-GB"/>
        </w:rPr>
        <w:t xml:space="preserve"> on providing the BS radio physical interface with new CSI information regarding the relative mobility of the UE and associated Doppler characteristics of the link with the serving BS. </w:t>
      </w:r>
      <w:r w:rsidR="0017131A">
        <w:rPr>
          <w:lang w:val="en-GB"/>
        </w:rPr>
        <w:t>In the specification</w:t>
      </w:r>
      <w:r w:rsidR="003C59FE">
        <w:rPr>
          <w:lang w:val="en-GB"/>
        </w:rPr>
        <w:t>,</w:t>
      </w:r>
      <w:r w:rsidR="0017131A">
        <w:rPr>
          <w:lang w:val="en-GB"/>
        </w:rPr>
        <w:t xml:space="preserve"> </w:t>
      </w:r>
      <w:r w:rsidR="0017131A" w:rsidRPr="005A47EC">
        <w:t xml:space="preserve">Time domain channel property (TDCP) is defined as wideband normalized correlation between two CSI-RS transmission occasions, corresponding to CSI-RS resourece(s) from </w:t>
      </w:r>
      <w:r w:rsidR="0017131A" w:rsidRPr="005A47EC">
        <w:rPr>
          <w:i/>
          <w:iCs/>
        </w:rPr>
        <w:t>NZP-CSI-RS-ResourceSet(s)</w:t>
      </w:r>
      <w:r w:rsidR="0017131A" w:rsidRPr="005A47EC">
        <w:t xml:space="preserve"> configured with higher layer parameter </w:t>
      </w:r>
      <w:r w:rsidR="0017131A" w:rsidRPr="005A47EC">
        <w:rPr>
          <w:i/>
          <w:iCs/>
        </w:rPr>
        <w:t>trs-info</w:t>
      </w:r>
      <w:r w:rsidR="0017131A" w:rsidRPr="005A47EC">
        <w:t xml:space="preserve">, that are separated by </w:t>
      </w:r>
      <w:r w:rsidR="0017131A" w:rsidRPr="005A47EC">
        <w:rPr>
          <w:i/>
          <w:iCs/>
        </w:rPr>
        <w:t>D</w:t>
      </w:r>
      <w:r w:rsidR="0017131A" w:rsidRPr="005A47EC">
        <w:rPr>
          <w:i/>
          <w:iCs/>
          <w:vertAlign w:val="subscript"/>
        </w:rPr>
        <w:t>n</w:t>
      </w:r>
      <w:r w:rsidR="0017131A" w:rsidRPr="005A47EC">
        <w:t xml:space="preserve"> symbols or slots, depending on the configuration, where </w:t>
      </w:r>
      <w:r w:rsidR="0017131A" w:rsidRPr="005A47EC">
        <w:rPr>
          <w:i/>
          <w:iCs/>
        </w:rPr>
        <w:t>D</w:t>
      </w:r>
      <w:r w:rsidR="0017131A" w:rsidRPr="005A47EC">
        <w:rPr>
          <w:i/>
          <w:iCs/>
          <w:vertAlign w:val="subscript"/>
        </w:rPr>
        <w:t>n</w:t>
      </w:r>
      <w:r w:rsidR="0017131A" w:rsidRPr="005A47EC">
        <w:t xml:space="preserve"> is the n-th delay configured value among [</w:t>
      </w:r>
      <w:r w:rsidR="0017131A" w:rsidRPr="005A47EC">
        <w:rPr>
          <w:i/>
          <w:iCs/>
        </w:rPr>
        <w:t>placeHolderForRrcParameter-D</w:t>
      </w:r>
      <w:r w:rsidR="0017131A" w:rsidRPr="005A47EC">
        <w:t>] configured delay values {</w:t>
      </w:r>
      <w:r w:rsidR="0017131A" w:rsidRPr="005A47EC">
        <w:rPr>
          <w:i/>
          <w:iCs/>
        </w:rPr>
        <w:t>D</w:t>
      </w:r>
      <w:r w:rsidR="0017131A" w:rsidRPr="005A47EC">
        <w:rPr>
          <w:vertAlign w:val="subscript"/>
        </w:rPr>
        <w:t>1</w:t>
      </w:r>
      <w:r w:rsidR="0017131A" w:rsidRPr="005A47EC">
        <w:t xml:space="preserve">, …, </w:t>
      </w:r>
      <w:r w:rsidR="0017131A" w:rsidRPr="005A47EC">
        <w:rPr>
          <w:i/>
          <w:iCs/>
        </w:rPr>
        <w:t>D</w:t>
      </w:r>
      <w:r w:rsidR="0017131A" w:rsidRPr="005A47EC">
        <w:rPr>
          <w:vertAlign w:val="subscript"/>
        </w:rPr>
        <w:t>Y</w:t>
      </w:r>
      <w:r w:rsidR="0017131A" w:rsidRPr="005A47EC">
        <w:t>} and Y is number of configured delay values.</w:t>
      </w:r>
      <w:r w:rsidR="00802B62">
        <w:t xml:space="preserve"> </w:t>
      </w:r>
      <w:r w:rsidR="00802B62" w:rsidRPr="00245F91">
        <w:rPr>
          <w:lang w:val="en-GB"/>
        </w:rPr>
        <w:t>This indicator is useful for specific reconfiguration uses cases, like CSI codebook type switching (Type-</w:t>
      </w:r>
      <w:r w:rsidR="00802B62">
        <w:rPr>
          <w:lang w:val="en-GB"/>
        </w:rPr>
        <w:t>I</w:t>
      </w:r>
      <w:r w:rsidR="00802B62" w:rsidRPr="00245F91">
        <w:rPr>
          <w:lang w:val="en-GB"/>
        </w:rPr>
        <w:t>I to Type-I switching based on the channel conditions or channel variability with time information; if the channel varies faster than a certain threshold then a Type-II to Type-I switch occurs) and reference signal reconfiguration (e.g., SRS).</w:t>
      </w:r>
    </w:p>
    <w:p w14:paraId="7D6AFF34" w14:textId="019C293E" w:rsidR="00296460" w:rsidRDefault="00296460" w:rsidP="00296460">
      <w:pPr>
        <w:jc w:val="both"/>
        <w:rPr>
          <w:rFonts w:cs="Times New Roman"/>
          <w:szCs w:val="20"/>
        </w:rPr>
      </w:pPr>
      <w:r w:rsidRPr="002C7F06">
        <w:rPr>
          <w:rFonts w:cs="Times New Roman"/>
          <w:szCs w:val="20"/>
        </w:rPr>
        <w:t xml:space="preserve">Let </w:t>
      </w:r>
      <m:oMath>
        <m:sSub>
          <m:sSubPr>
            <m:ctrlPr>
              <w:rPr>
                <w:rFonts w:ascii="Cambria Math" w:hAnsi="Cambria Math" w:cs="Times New Roman"/>
                <w:szCs w:val="20"/>
              </w:rPr>
            </m:ctrlPr>
          </m:sSubPr>
          <m:e>
            <m:r>
              <w:rPr>
                <w:rFonts w:ascii="Cambria Math" w:hAnsi="Cambria Math" w:cs="Times New Roman"/>
                <w:szCs w:val="20"/>
              </w:rPr>
              <m:t>h</m:t>
            </m:r>
          </m:e>
          <m:sub>
            <m:r>
              <w:rPr>
                <w:rFonts w:ascii="Cambria Math" w:hAnsi="Cambria Math" w:cs="Times New Roman"/>
                <w:szCs w:val="20"/>
              </w:rPr>
              <m:t>n</m:t>
            </m:r>
          </m:sub>
        </m:sSub>
        <m:r>
          <m:rPr>
            <m:sty m:val="p"/>
          </m:rPr>
          <w:rPr>
            <w:rFonts w:ascii="Cambria Math" w:hAnsi="Cambria Math" w:cs="Times New Roman"/>
            <w:szCs w:val="20"/>
          </w:rPr>
          <m:t>(</m:t>
        </m:r>
        <m:r>
          <w:rPr>
            <w:rFonts w:ascii="Cambria Math" w:hAnsi="Cambria Math" w:cs="Times New Roman"/>
            <w:szCs w:val="20"/>
          </w:rPr>
          <m:t>k</m:t>
        </m:r>
        <m:r>
          <m:rPr>
            <m:sty m:val="p"/>
          </m:rPr>
          <w:rPr>
            <w:rFonts w:ascii="Cambria Math" w:hAnsi="Cambria Math" w:cs="Times New Roman"/>
            <w:szCs w:val="20"/>
          </w:rPr>
          <m:t>)</m:t>
        </m:r>
      </m:oMath>
      <w:r w:rsidRPr="002C7F06">
        <w:rPr>
          <w:rFonts w:cs="Times New Roman"/>
          <w:szCs w:val="20"/>
        </w:rPr>
        <w:t xml:space="preserve"> be the Tracking Reference Signal</w:t>
      </w:r>
      <w:r w:rsidRPr="002C7F06" w:rsidDel="0007543D">
        <w:rPr>
          <w:rFonts w:cs="Times New Roman"/>
          <w:szCs w:val="20"/>
        </w:rPr>
        <w:t xml:space="preserve"> </w:t>
      </w:r>
      <w:r w:rsidRPr="002C7F06">
        <w:rPr>
          <w:rFonts w:cs="Times New Roman"/>
          <w:szCs w:val="20"/>
        </w:rPr>
        <w:t xml:space="preserve">(TRS) channel measured at subcarrier </w:t>
      </w:r>
      <m:oMath>
        <m:r>
          <w:rPr>
            <w:rFonts w:ascii="Cambria Math" w:hAnsi="Cambria Math" w:cs="Times New Roman"/>
            <w:szCs w:val="20"/>
          </w:rPr>
          <m:t>n</m:t>
        </m:r>
      </m:oMath>
      <w:r w:rsidRPr="002C7F06">
        <w:rPr>
          <w:rFonts w:cs="Times New Roman"/>
          <w:szCs w:val="20"/>
        </w:rPr>
        <w:t xml:space="preserve">, with </w:t>
      </w:r>
      <m:oMath>
        <m:r>
          <w:rPr>
            <w:rFonts w:ascii="Cambria Math" w:hAnsi="Cambria Math" w:cs="Times New Roman"/>
            <w:szCs w:val="20"/>
          </w:rPr>
          <m:t>n</m:t>
        </m:r>
        <m:r>
          <m:rPr>
            <m:sty m:val="p"/>
          </m:rPr>
          <w:rPr>
            <w:rFonts w:ascii="Cambria Math" w:hAnsi="Cambria Math" w:cs="Times New Roman"/>
            <w:szCs w:val="20"/>
          </w:rPr>
          <m:t>=0,…,</m:t>
        </m:r>
        <m:r>
          <w:rPr>
            <w:rFonts w:ascii="Cambria Math" w:hAnsi="Cambria Math" w:cs="Times New Roman"/>
            <w:szCs w:val="20"/>
          </w:rPr>
          <m:t>N</m:t>
        </m:r>
        <m:r>
          <m:rPr>
            <m:sty m:val="p"/>
          </m:rPr>
          <w:rPr>
            <w:rFonts w:ascii="Cambria Math" w:hAnsi="Cambria Math" w:cs="Times New Roman"/>
            <w:szCs w:val="20"/>
          </w:rPr>
          <m:t>-1</m:t>
        </m:r>
      </m:oMath>
      <w:r w:rsidRPr="002C7F06">
        <w:rPr>
          <w:rFonts w:cs="Times New Roman"/>
          <w:szCs w:val="20"/>
        </w:rPr>
        <w:t xml:space="preserve">, and time </w:t>
      </w:r>
      <m:oMath>
        <m:r>
          <w:rPr>
            <w:rFonts w:ascii="Cambria Math" w:hAnsi="Cambria Math" w:cs="Times New Roman"/>
            <w:szCs w:val="20"/>
          </w:rPr>
          <m:t>k</m:t>
        </m:r>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where </w:t>
      </w:r>
      <m:oMath>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is the time interval between two consecutive TRS measurement occasions. Let us assume a UE takes </w:t>
      </w:r>
      <m:oMath>
        <m:r>
          <w:rPr>
            <w:rFonts w:ascii="Cambria Math" w:hAnsi="Cambria Math" w:cs="Times New Roman"/>
            <w:szCs w:val="20"/>
          </w:rPr>
          <m:t>B</m:t>
        </m:r>
      </m:oMath>
      <w:r w:rsidRPr="00121A1B">
        <w:rPr>
          <w:rFonts w:cs="Times New Roman"/>
          <w:szCs w:val="20"/>
        </w:rPr>
        <w:t xml:space="preserve"> repetitions of</w:t>
      </w:r>
      <w:r w:rsidRPr="002C7F06">
        <w:rPr>
          <w:rFonts w:cs="Times New Roman"/>
          <w:szCs w:val="20"/>
        </w:rPr>
        <w:t xml:space="preserve"> such TRS measurements at time </w:t>
      </w:r>
      <m:oMath>
        <m:sSub>
          <m:sSubPr>
            <m:ctrlPr>
              <w:rPr>
                <w:rFonts w:ascii="Cambria Math" w:hAnsi="Cambria Math" w:cs="Times New Roman"/>
                <w:szCs w:val="20"/>
              </w:rPr>
            </m:ctrlPr>
          </m:sSubPr>
          <m:e>
            <m:r>
              <w:rPr>
                <w:rFonts w:ascii="Cambria Math" w:hAnsi="Cambria Math" w:cs="Times New Roman"/>
                <w:szCs w:val="20"/>
              </w:rPr>
              <m:t>k</m:t>
            </m:r>
          </m:e>
          <m:sub>
            <m:r>
              <m:rPr>
                <m:sty m:val="p"/>
              </m:rPr>
              <w:rPr>
                <w:rFonts w:ascii="Cambria Math" w:hAnsi="Cambria Math" w:cs="Times New Roman"/>
                <w:szCs w:val="20"/>
              </w:rPr>
              <m:t>0</m:t>
            </m:r>
          </m:sub>
        </m:sSub>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r>
          <m:rPr>
            <m:sty m:val="p"/>
          </m:rPr>
          <w:rPr>
            <w:rFonts w:ascii="Cambria Math" w:hAnsi="Cambria Math" w:cs="Times New Roman"/>
            <w:szCs w:val="20"/>
          </w:rPr>
          <m:t>,</m:t>
        </m:r>
        <m:d>
          <m:dPr>
            <m:ctrlPr>
              <w:rPr>
                <w:rFonts w:ascii="Cambria Math" w:hAnsi="Cambria Math" w:cs="Times New Roman"/>
                <w:szCs w:val="20"/>
              </w:rPr>
            </m:ctrlPr>
          </m:dPr>
          <m:e>
            <m:sSub>
              <m:sSubPr>
                <m:ctrlPr>
                  <w:rPr>
                    <w:rFonts w:ascii="Cambria Math" w:hAnsi="Cambria Math" w:cs="Times New Roman"/>
                    <w:szCs w:val="20"/>
                  </w:rPr>
                </m:ctrlPr>
              </m:sSubPr>
              <m:e>
                <m:r>
                  <w:rPr>
                    <w:rFonts w:ascii="Cambria Math" w:hAnsi="Cambria Math" w:cs="Times New Roman"/>
                    <w:szCs w:val="20"/>
                  </w:rPr>
                  <m:t>k</m:t>
                </m:r>
              </m:e>
              <m:sub>
                <m:r>
                  <m:rPr>
                    <m:sty m:val="p"/>
                  </m:rPr>
                  <w:rPr>
                    <w:rFonts w:ascii="Cambria Math" w:hAnsi="Cambria Math" w:cs="Times New Roman"/>
                    <w:szCs w:val="20"/>
                  </w:rPr>
                  <m:t>0</m:t>
                </m:r>
              </m:sub>
            </m:sSub>
            <m:r>
              <m:rPr>
                <m:sty m:val="p"/>
              </m:rPr>
              <w:rPr>
                <w:rFonts w:ascii="Cambria Math" w:hAnsi="Cambria Math" w:cs="Times New Roman"/>
                <w:szCs w:val="20"/>
              </w:rPr>
              <m:t>+1</m:t>
            </m:r>
          </m:e>
        </m:d>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r>
          <m:rPr>
            <m:sty m:val="p"/>
          </m:rPr>
          <w:rPr>
            <w:rFonts w:ascii="Cambria Math" w:hAnsi="Cambria Math" w:cs="Times New Roman"/>
            <w:szCs w:val="20"/>
          </w:rPr>
          <m:t>,…,</m:t>
        </m:r>
        <m:d>
          <m:dPr>
            <m:ctrlPr>
              <w:rPr>
                <w:rFonts w:ascii="Cambria Math" w:hAnsi="Cambria Math" w:cs="Times New Roman"/>
                <w:szCs w:val="20"/>
              </w:rPr>
            </m:ctrlPr>
          </m:dPr>
          <m:e>
            <m:sSub>
              <m:sSubPr>
                <m:ctrlPr>
                  <w:rPr>
                    <w:rFonts w:ascii="Cambria Math" w:hAnsi="Cambria Math" w:cs="Times New Roman"/>
                    <w:szCs w:val="20"/>
                  </w:rPr>
                </m:ctrlPr>
              </m:sSubPr>
              <m:e>
                <m:r>
                  <w:rPr>
                    <w:rFonts w:ascii="Cambria Math" w:hAnsi="Cambria Math" w:cs="Times New Roman"/>
                    <w:szCs w:val="20"/>
                  </w:rPr>
                  <m:t>k</m:t>
                </m:r>
              </m:e>
              <m:sub>
                <m:r>
                  <m:rPr>
                    <m:sty m:val="p"/>
                  </m:rPr>
                  <w:rPr>
                    <w:rFonts w:ascii="Cambria Math" w:hAnsi="Cambria Math" w:cs="Times New Roman"/>
                    <w:szCs w:val="20"/>
                  </w:rPr>
                  <m:t>0</m:t>
                </m:r>
              </m:sub>
            </m:sSub>
            <m:r>
              <m:rPr>
                <m:sty m:val="p"/>
              </m:rPr>
              <w:rPr>
                <w:rFonts w:ascii="Cambria Math" w:hAnsi="Cambria Math" w:cs="Times New Roman"/>
                <w:szCs w:val="20"/>
              </w:rPr>
              <m:t>+</m:t>
            </m:r>
            <m:r>
              <w:rPr>
                <w:rFonts w:ascii="Cambria Math" w:hAnsi="Cambria Math" w:cs="Times New Roman"/>
                <w:szCs w:val="20"/>
              </w:rPr>
              <m:t>B</m:t>
            </m:r>
            <m:r>
              <m:rPr>
                <m:sty m:val="p"/>
              </m:rPr>
              <w:rPr>
                <w:rFonts w:ascii="Cambria Math" w:hAnsi="Cambria Math" w:cs="Times New Roman"/>
                <w:szCs w:val="20"/>
              </w:rPr>
              <m:t>-1</m:t>
            </m:r>
          </m:e>
        </m:d>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The normalized wideband time-</w:t>
      </w:r>
      <w:r w:rsidRPr="002C7F06">
        <w:rPr>
          <w:rFonts w:cs="Times New Roman"/>
          <w:szCs w:val="20"/>
        </w:rPr>
        <w:lastRenderedPageBreak/>
        <w:t xml:space="preserve">correlation function </w:t>
      </w:r>
      <w:r w:rsidRPr="002C7F06">
        <w:rPr>
          <w:rFonts w:cs="Times New Roman"/>
          <w:szCs w:val="20"/>
        </w:rPr>
        <w:fldChar w:fldCharType="begin"/>
      </w:r>
      <w:r w:rsidRPr="002C7F06">
        <w:rPr>
          <w:rFonts w:cs="Times New Roman"/>
          <w:szCs w:val="20"/>
        </w:rPr>
        <w:instrText xml:space="preserve"> REF _Ref114500673 \r \h  \* MERGEFORMAT </w:instrText>
      </w:r>
      <w:r w:rsidRPr="002C7F06">
        <w:rPr>
          <w:rFonts w:cs="Times New Roman"/>
          <w:szCs w:val="20"/>
        </w:rPr>
      </w:r>
      <w:r w:rsidRPr="002C7F06">
        <w:rPr>
          <w:rFonts w:cs="Times New Roman"/>
          <w:szCs w:val="20"/>
        </w:rPr>
        <w:fldChar w:fldCharType="separate"/>
      </w:r>
      <w:r>
        <w:rPr>
          <w:rFonts w:cs="Times New Roman"/>
          <w:szCs w:val="20"/>
        </w:rPr>
        <w:t>[1]</w:t>
      </w:r>
      <w:r w:rsidRPr="002C7F06">
        <w:rPr>
          <w:rFonts w:cs="Times New Roman"/>
          <w:szCs w:val="20"/>
        </w:rPr>
        <w:fldChar w:fldCharType="end"/>
      </w:r>
      <w:r w:rsidRPr="002C7F06">
        <w:rPr>
          <w:rFonts w:cs="Times New Roman"/>
          <w:szCs w:val="20"/>
        </w:rPr>
        <w:t xml:space="preserve"> at lag </w:t>
      </w:r>
      <m:oMath>
        <m:r>
          <w:rPr>
            <w:rFonts w:ascii="Cambria Math" w:hAnsi="Cambria Math" w:cs="Times New Roman"/>
            <w:szCs w:val="20"/>
          </w:rPr>
          <m:t>l</m:t>
        </m:r>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averaged over the </w:t>
      </w:r>
      <m:oMath>
        <m:r>
          <w:rPr>
            <w:rFonts w:ascii="Cambria Math" w:hAnsi="Cambria Math" w:cs="Times New Roman"/>
            <w:szCs w:val="20"/>
          </w:rPr>
          <m:t>N</m:t>
        </m:r>
      </m:oMath>
      <w:r w:rsidRPr="002C7F06">
        <w:rPr>
          <w:rFonts w:cs="Times New Roman"/>
          <w:szCs w:val="20"/>
        </w:rPr>
        <w:t xml:space="preserve"> subcarriers, is given by </w:t>
      </w:r>
      <m:oMath>
        <m:r>
          <w:rPr>
            <w:rFonts w:ascii="Cambria Math" w:hAnsi="Cambria Math" w:cs="Times New Roman"/>
            <w:szCs w:val="20"/>
          </w:rPr>
          <m:t>A</m:t>
        </m:r>
        <m:r>
          <m:rPr>
            <m:sty m:val="p"/>
          </m:rPr>
          <w:rPr>
            <w:rFonts w:ascii="Cambria Math" w:hAnsi="Cambria Math" w:cs="Times New Roman"/>
            <w:szCs w:val="20"/>
          </w:rPr>
          <m:t>(</m:t>
        </m:r>
        <m:r>
          <w:rPr>
            <w:rFonts w:ascii="Cambria Math" w:hAnsi="Cambria Math" w:cs="Times New Roman"/>
            <w:szCs w:val="20"/>
          </w:rPr>
          <m:t>l</m:t>
        </m:r>
        <m:r>
          <m:rPr>
            <m:sty m:val="p"/>
          </m:rPr>
          <w:rPr>
            <w:rFonts w:ascii="Cambria Math" w:hAnsi="Cambria Math" w:cs="Times New Roman"/>
            <w:szCs w:val="20"/>
          </w:rPr>
          <m:t>)</m:t>
        </m:r>
      </m:oMath>
      <w:r w:rsidRPr="002C7F06">
        <w:rPr>
          <w:rFonts w:cs="Times New Roman"/>
          <w:szCs w:val="20"/>
        </w:rPr>
        <w:t xml:space="preserve">, given by equations </w:t>
      </w:r>
      <w:r>
        <w:fldChar w:fldCharType="begin"/>
      </w:r>
      <w:r>
        <w:instrText xml:space="preserve"> REF _Ref141948025 \h </w:instrText>
      </w:r>
      <w:r>
        <w:fldChar w:fldCharType="separate"/>
      </w:r>
      <w:r>
        <w:t>(</w:t>
      </w:r>
      <w:r>
        <w:rPr>
          <w:noProof/>
        </w:rPr>
        <w:t>1</w:t>
      </w:r>
      <w:r>
        <w:t>)</w:t>
      </w:r>
      <w:r>
        <w:fldChar w:fldCharType="end"/>
      </w:r>
      <w:r w:rsidRPr="006D3D20">
        <w:t xml:space="preserve"> and </w:t>
      </w:r>
      <w:r>
        <w:fldChar w:fldCharType="begin"/>
      </w:r>
      <w:r>
        <w:instrText xml:space="preserve"> REF _Ref141948032 \h </w:instrText>
      </w:r>
      <w:r>
        <w:fldChar w:fldCharType="separate"/>
      </w:r>
      <w:r>
        <w:t>(</w:t>
      </w:r>
      <w:r>
        <w:rPr>
          <w:noProof/>
        </w:rPr>
        <w:t>2</w:t>
      </w:r>
      <w:r>
        <w:t>)</w:t>
      </w:r>
      <w:r>
        <w:fldChar w:fldCharType="end"/>
      </w:r>
      <w:r w:rsidRPr="006D3D20">
        <w:t xml:space="preserve">. </w:t>
      </w:r>
      <w:r>
        <w:fldChar w:fldCharType="begin"/>
      </w:r>
      <w:r>
        <w:instrText xml:space="preserve"> REF _Ref141947818 \h </w:instrText>
      </w:r>
      <w:r>
        <w:fldChar w:fldCharType="separate"/>
      </w:r>
      <w:r>
        <w:t xml:space="preserve">Figure </w:t>
      </w:r>
      <w:r>
        <w:rPr>
          <w:noProof/>
        </w:rPr>
        <w:t>1</w:t>
      </w:r>
      <w:r>
        <w:fldChar w:fldCharType="end"/>
      </w:r>
      <w:r>
        <w:t xml:space="preserve"> </w:t>
      </w:r>
      <w:r w:rsidRPr="002C7F06">
        <w:rPr>
          <w:rFonts w:cs="Times New Roman"/>
          <w:szCs w:val="20"/>
        </w:rPr>
        <w:t>shows an illustration of the time correlation calculation for TDCP across multiple TRS.</w:t>
      </w:r>
      <w:r>
        <w:rPr>
          <w:rFonts w:cs="Times New Roman"/>
          <w:szCs w:val="20"/>
        </w:rPr>
        <w:t xml:space="preserve"> </w:t>
      </w:r>
      <w:r w:rsidRPr="001851C1">
        <w:rPr>
          <w:rFonts w:cs="Times New Roman"/>
          <w:szCs w:val="20"/>
        </w:rPr>
        <w:t>It is worth noting that this method provides reduced variability in TDCP amplitudes with the same number of TRSs and requires uniform spreading of delays, i.e., D</w:t>
      </w:r>
      <w:r w:rsidRPr="001851C1">
        <w:rPr>
          <w:rFonts w:cs="Times New Roman"/>
          <w:szCs w:val="20"/>
          <w:vertAlign w:val="subscript"/>
        </w:rPr>
        <w:t>k</w:t>
      </w:r>
      <w:r w:rsidRPr="001851C1">
        <w:rPr>
          <w:rFonts w:cs="Times New Roman"/>
          <w:szCs w:val="20"/>
        </w:rPr>
        <w:t>=k∙D</w:t>
      </w:r>
      <w:r w:rsidRPr="001851C1">
        <w:rPr>
          <w:rFonts w:cs="Times New Roman"/>
          <w:szCs w:val="20"/>
          <w:vertAlign w:val="subscript"/>
        </w:rPr>
        <w:t xml:space="preserve">1 </w:t>
      </w:r>
      <w:r w:rsidRPr="001851C1">
        <w:rPr>
          <w:rFonts w:cs="Times New Roman"/>
          <w:szCs w:val="20"/>
        </w:rPr>
        <w:t xml:space="preserve">(see </w:t>
      </w:r>
      <w:r w:rsidRPr="001851C1">
        <w:rPr>
          <w:rFonts w:cs="Times New Roman"/>
          <w:szCs w:val="20"/>
        </w:rPr>
        <w:fldChar w:fldCharType="begin"/>
      </w:r>
      <w:r w:rsidRPr="001851C1">
        <w:rPr>
          <w:rFonts w:cs="Times New Roman"/>
          <w:szCs w:val="20"/>
        </w:rPr>
        <w:instrText xml:space="preserve"> REF _Ref142654008 \h </w:instrText>
      </w:r>
      <w:r>
        <w:rPr>
          <w:rFonts w:cs="Times New Roman"/>
          <w:szCs w:val="20"/>
        </w:rPr>
        <w:instrText xml:space="preserve"> \* MERGEFORMAT </w:instrText>
      </w:r>
      <w:r w:rsidRPr="001851C1">
        <w:rPr>
          <w:rFonts w:cs="Times New Roman"/>
          <w:szCs w:val="20"/>
        </w:rPr>
      </w:r>
      <w:r w:rsidRPr="001851C1">
        <w:rPr>
          <w:rFonts w:cs="Times New Roman"/>
          <w:szCs w:val="20"/>
        </w:rPr>
        <w:fldChar w:fldCharType="separate"/>
      </w:r>
      <w:r w:rsidR="000E063C" w:rsidRPr="003C6AC7">
        <w:rPr>
          <w:rFonts w:ascii="Arial" w:hAnsi="Arial"/>
          <w:i/>
          <w:sz w:val="18"/>
          <w:szCs w:val="18"/>
        </w:rPr>
        <w:t xml:space="preserve">Figure </w:t>
      </w:r>
      <w:r w:rsidR="000E063C">
        <w:rPr>
          <w:rFonts w:ascii="Arial" w:hAnsi="Arial"/>
          <w:i/>
          <w:sz w:val="18"/>
          <w:szCs w:val="18"/>
        </w:rPr>
        <w:t>2</w:t>
      </w:r>
      <w:r w:rsidRPr="001851C1">
        <w:rPr>
          <w:rFonts w:cs="Times New Roman"/>
          <w:szCs w:val="20"/>
        </w:rPr>
        <w:fldChar w:fldCharType="end"/>
      </w:r>
      <w:r w:rsidRPr="001851C1">
        <w:rPr>
          <w:rFonts w:cs="Times New Roman"/>
          <w:szCs w:val="20"/>
        </w:rPr>
        <w:t>).</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296460" w14:paraId="7A15D9CB" w14:textId="77777777" w:rsidTr="00C32A6B">
        <w:tc>
          <w:tcPr>
            <w:tcW w:w="8926" w:type="dxa"/>
          </w:tcPr>
          <w:p w14:paraId="0CCD6CAC" w14:textId="77777777" w:rsidR="00296460" w:rsidRDefault="00296460" w:rsidP="00C32A6B">
            <w:pPr>
              <w:jc w:val="both"/>
            </w:pPr>
            <m:oMathPara>
              <m:oMath>
                <m:r>
                  <w:rPr>
                    <w:rFonts w:ascii="Cambria Math" w:hAnsi="Cambria Math"/>
                  </w:rPr>
                  <m:t>c</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ctrlPr>
                      <w:rPr>
                        <w:rFonts w:ascii="Cambria Math" w:hAnsi="Cambria Math"/>
                        <w:i/>
                      </w:rPr>
                    </m:ctrlPr>
                  </m:naryPr>
                  <m:sub>
                    <m:r>
                      <w:rPr>
                        <w:rFonts w:ascii="Cambria Math" w:hAnsi="Cambria Math"/>
                      </w:rPr>
                      <m:t>n=0</m:t>
                    </m:r>
                  </m:sub>
                  <m:sup>
                    <m:r>
                      <w:rPr>
                        <w:rFonts w:ascii="Cambria Math" w:hAnsi="Cambria Math"/>
                      </w:rPr>
                      <m:t>N-1</m:t>
                    </m:r>
                  </m:sup>
                  <m:e>
                    <m:f>
                      <m:fPr>
                        <m:ctrlPr>
                          <w:rPr>
                            <w:rFonts w:ascii="Cambria Math" w:hAnsi="Cambria Math"/>
                            <w:i/>
                          </w:rPr>
                        </m:ctrlPr>
                      </m:fPr>
                      <m:num>
                        <m:r>
                          <w:rPr>
                            <w:rFonts w:ascii="Cambria Math" w:hAnsi="Cambria Math"/>
                          </w:rPr>
                          <m:t>1</m:t>
                        </m:r>
                      </m:num>
                      <m:den>
                        <m:r>
                          <w:rPr>
                            <w:rFonts w:ascii="Cambria Math" w:hAnsi="Cambria Math"/>
                          </w:rPr>
                          <m:t>B-l</m:t>
                        </m:r>
                      </m:den>
                    </m:f>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+B-1-l</m:t>
                        </m:r>
                      </m:sup>
                      <m:e>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r>
                              <w:rPr>
                                <w:rFonts w:ascii="Cambria Math" w:hAnsi="Cambria Math"/>
                              </w:rPr>
                              <m:t>h</m:t>
                            </m:r>
                          </m:e>
                          <m:sub>
                            <m:r>
                              <w:rPr>
                                <w:rFonts w:ascii="Cambria Math" w:hAnsi="Cambria Math"/>
                              </w:rPr>
                              <m:t>n</m:t>
                            </m:r>
                          </m:sub>
                          <m:sup>
                            <m:r>
                              <w:rPr>
                                <w:rFonts w:ascii="Cambria Math" w:hAnsi="Cambria Math"/>
                              </w:rPr>
                              <m:t>*</m:t>
                            </m:r>
                          </m:sup>
                        </m:sSubSup>
                        <m:r>
                          <w:rPr>
                            <w:rFonts w:ascii="Cambria Math" w:hAnsi="Cambria Math"/>
                          </w:rPr>
                          <m:t>(k)</m:t>
                        </m:r>
                      </m:e>
                    </m:nary>
                  </m:e>
                </m:nary>
                <m:r>
                  <w:rPr>
                    <w:rFonts w:ascii="Cambria Math" w:hAnsi="Cambria Math"/>
                  </w:rPr>
                  <m:t>,    l=0,…,B-1</m:t>
                </m:r>
              </m:oMath>
            </m:oMathPara>
          </w:p>
        </w:tc>
        <w:tc>
          <w:tcPr>
            <w:tcW w:w="691" w:type="dxa"/>
          </w:tcPr>
          <w:p w14:paraId="3FCEC2D9" w14:textId="77777777" w:rsidR="00296460" w:rsidRDefault="00296460" w:rsidP="00C32A6B">
            <w:pPr>
              <w:jc w:val="both"/>
            </w:pPr>
            <w:bookmarkStart w:id="6" w:name="_Ref141948025"/>
            <w:r>
              <w:t>(</w:t>
            </w:r>
            <w:r w:rsidR="00736AA6">
              <w:fldChar w:fldCharType="begin"/>
            </w:r>
            <w:r w:rsidR="00736AA6">
              <w:instrText xml:space="preserve"> SEQ Equation \* ARABIC </w:instrText>
            </w:r>
            <w:r w:rsidR="00736AA6">
              <w:fldChar w:fldCharType="separate"/>
            </w:r>
            <w:r>
              <w:rPr>
                <w:noProof/>
              </w:rPr>
              <w:t>1</w:t>
            </w:r>
            <w:r w:rsidR="00736AA6">
              <w:rPr>
                <w:noProof/>
              </w:rPr>
              <w:fldChar w:fldCharType="end"/>
            </w:r>
            <w:r>
              <w:t>)</w:t>
            </w:r>
            <w:bookmarkEnd w:id="6"/>
          </w:p>
        </w:tc>
      </w:tr>
    </w:tbl>
    <w:p w14:paraId="33512E38" w14:textId="77777777" w:rsidR="00296460" w:rsidRDefault="00296460" w:rsidP="00296460">
      <w:r w:rsidRPr="006D3D20">
        <w:t xml:space="preserve">The wideband time-correlation function  </w:t>
      </w:r>
      <m:oMath>
        <m:r>
          <w:rPr>
            <w:rFonts w:ascii="Cambria Math" w:hAnsi="Cambria Math"/>
          </w:rPr>
          <m:t>c(l)</m:t>
        </m:r>
      </m:oMath>
      <w:r w:rsidRPr="006D3D20">
        <w:t xml:space="preserve"> is th</w:t>
      </w:r>
      <w:r>
        <w:t>e</w:t>
      </w:r>
      <w:r w:rsidRPr="006D3D20">
        <w:t xml:space="preserve">n normalized by the time-correlation function with lag 0, </w:t>
      </w:r>
      <m:oMath>
        <m:r>
          <w:rPr>
            <w:rFonts w:ascii="Cambria Math" w:hAnsi="Cambria Math"/>
          </w:rPr>
          <m:t>c(0)</m:t>
        </m:r>
      </m:oMath>
      <w:r w:rsidRPr="006D3D20">
        <w: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296460" w14:paraId="738A6F8B" w14:textId="77777777" w:rsidTr="00C32A6B">
        <w:tc>
          <w:tcPr>
            <w:tcW w:w="8926" w:type="dxa"/>
          </w:tcPr>
          <w:p w14:paraId="4C66DC5B" w14:textId="77777777" w:rsidR="00296460" w:rsidRDefault="00296460" w:rsidP="00C32A6B">
            <w:pPr>
              <w:jc w:val="both"/>
            </w:pPr>
            <m:oMathPara>
              <m:oMath>
                <m:r>
                  <w:rPr>
                    <w:rFonts w:ascii="Cambria Math" w:hAnsi="Cambria Math"/>
                  </w:rPr>
                  <m:t>A</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c(l)</m:t>
                    </m:r>
                  </m:num>
                  <m:den>
                    <m:r>
                      <w:rPr>
                        <w:rFonts w:ascii="Cambria Math" w:hAnsi="Cambria Math"/>
                      </w:rPr>
                      <m:t>c(0)</m:t>
                    </m:r>
                  </m:den>
                </m:f>
              </m:oMath>
            </m:oMathPara>
          </w:p>
        </w:tc>
        <w:tc>
          <w:tcPr>
            <w:tcW w:w="691" w:type="dxa"/>
          </w:tcPr>
          <w:p w14:paraId="212069E0" w14:textId="77777777" w:rsidR="00296460" w:rsidRDefault="00296460" w:rsidP="00C32A6B">
            <w:pPr>
              <w:jc w:val="both"/>
            </w:pPr>
            <w:bookmarkStart w:id="7" w:name="_Ref141948032"/>
            <w:r>
              <w:t>(</w:t>
            </w:r>
            <w:r w:rsidR="00736AA6">
              <w:fldChar w:fldCharType="begin"/>
            </w:r>
            <w:r w:rsidR="00736AA6">
              <w:instrText xml:space="preserve"> SEQ Equation \* ARABIC </w:instrText>
            </w:r>
            <w:r w:rsidR="00736AA6">
              <w:fldChar w:fldCharType="separate"/>
            </w:r>
            <w:r>
              <w:rPr>
                <w:noProof/>
              </w:rPr>
              <w:t>2</w:t>
            </w:r>
            <w:r w:rsidR="00736AA6">
              <w:rPr>
                <w:noProof/>
              </w:rPr>
              <w:fldChar w:fldCharType="end"/>
            </w:r>
            <w:r>
              <w:t>)</w:t>
            </w:r>
            <w:bookmarkEnd w:id="7"/>
          </w:p>
        </w:tc>
      </w:tr>
    </w:tbl>
    <w:p w14:paraId="20E6180A" w14:textId="77777777" w:rsidR="00296460" w:rsidRDefault="00296460" w:rsidP="00296460"/>
    <w:p w14:paraId="36350AE1" w14:textId="77777777" w:rsidR="00296460" w:rsidRDefault="00296460" w:rsidP="00296460">
      <w:pPr>
        <w:jc w:val="center"/>
      </w:pPr>
      <w:r>
        <w:rPr>
          <w:noProof/>
        </w:rPr>
        <w:drawing>
          <wp:inline distT="0" distB="0" distL="0" distR="0" wp14:anchorId="4B5C891F" wp14:editId="3D234266">
            <wp:extent cx="3672572" cy="1528234"/>
            <wp:effectExtent l="0" t="0" r="4445" b="0"/>
            <wp:docPr id="4" name="Picture 4" descr="A diagram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signal&#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37385" cy="1596816"/>
                    </a:xfrm>
                    <a:prstGeom prst="rect">
                      <a:avLst/>
                    </a:prstGeom>
                    <a:noFill/>
                    <a:ln>
                      <a:noFill/>
                    </a:ln>
                  </pic:spPr>
                </pic:pic>
              </a:graphicData>
            </a:graphic>
          </wp:inline>
        </w:drawing>
      </w:r>
    </w:p>
    <w:p w14:paraId="2BEF2C03" w14:textId="77777777" w:rsidR="00296460" w:rsidRDefault="00296460" w:rsidP="00296460">
      <w:pPr>
        <w:keepNext/>
        <w:jc w:val="center"/>
      </w:pPr>
      <w:bookmarkStart w:id="8" w:name="_Ref141947818"/>
      <w:r>
        <w:t xml:space="preserve">Figure </w:t>
      </w:r>
      <w:r w:rsidR="00736AA6">
        <w:fldChar w:fldCharType="begin"/>
      </w:r>
      <w:r w:rsidR="00736AA6">
        <w:instrText xml:space="preserve"> SEQ Figure \* ARABIC </w:instrText>
      </w:r>
      <w:r w:rsidR="00736AA6">
        <w:fldChar w:fldCharType="separate"/>
      </w:r>
      <w:r>
        <w:rPr>
          <w:noProof/>
        </w:rPr>
        <w:t>1</w:t>
      </w:r>
      <w:r w:rsidR="00736AA6">
        <w:rPr>
          <w:noProof/>
        </w:rPr>
        <w:fldChar w:fldCharType="end"/>
      </w:r>
      <w:bookmarkEnd w:id="8"/>
      <w:r>
        <w:t xml:space="preserve">. </w:t>
      </w:r>
      <w:r w:rsidRPr="008B2B61">
        <w:t>Illustration of the Time Correlation Calculation for TDCP</w:t>
      </w:r>
      <w:r>
        <w:t>.</w:t>
      </w:r>
    </w:p>
    <w:tbl>
      <w:tblPr>
        <w:tblStyle w:val="TableGrid"/>
        <w:tblW w:w="0" w:type="auto"/>
        <w:tblLook w:val="04A0" w:firstRow="1" w:lastRow="0" w:firstColumn="1" w:lastColumn="0" w:noHBand="0" w:noVBand="1"/>
      </w:tblPr>
      <w:tblGrid>
        <w:gridCol w:w="9617"/>
      </w:tblGrid>
      <w:tr w:rsidR="00DE2646" w14:paraId="5A033F47" w14:textId="77777777" w:rsidTr="00C32A6B">
        <w:tc>
          <w:tcPr>
            <w:tcW w:w="9617" w:type="dxa"/>
          </w:tcPr>
          <w:p w14:paraId="27D68CD2" w14:textId="77777777" w:rsidR="00DE2646" w:rsidRPr="000D3AEF" w:rsidRDefault="00DE2646" w:rsidP="00C32A6B">
            <w:pPr>
              <w:jc w:val="both"/>
            </w:pPr>
            <w:r w:rsidRPr="000D3AEF">
              <w:t>In RAN1#112 meeting, alternative B (i.e., Time domain correlation profile) was down selected as the TDCP value out of a set of other alternatives.</w:t>
            </w:r>
          </w:p>
          <w:tbl>
            <w:tblPr>
              <w:tblStyle w:val="TableGrid"/>
              <w:tblW w:w="9634" w:type="dxa"/>
              <w:jc w:val="center"/>
              <w:tblLook w:val="04A0" w:firstRow="1" w:lastRow="0" w:firstColumn="1" w:lastColumn="0" w:noHBand="0" w:noVBand="1"/>
            </w:tblPr>
            <w:tblGrid>
              <w:gridCol w:w="1129"/>
              <w:gridCol w:w="2977"/>
              <w:gridCol w:w="5528"/>
            </w:tblGrid>
            <w:tr w:rsidR="00DE2646" w:rsidRPr="00DC279D" w14:paraId="3F8C340E" w14:textId="77777777" w:rsidTr="00C32A6B">
              <w:trPr>
                <w:jc w:val="center"/>
              </w:trPr>
              <w:tc>
                <w:tcPr>
                  <w:tcW w:w="1129" w:type="dxa"/>
                </w:tcPr>
                <w:p w14:paraId="6CE51A1F" w14:textId="77777777" w:rsidR="00DE2646" w:rsidRPr="00DC279D" w:rsidRDefault="00DE2646" w:rsidP="00C32A6B">
                  <w:pPr>
                    <w:snapToGrid w:val="0"/>
                    <w:rPr>
                      <w:lang w:val="en-GB"/>
                    </w:rPr>
                  </w:pPr>
                  <w:r w:rsidRPr="00DC279D">
                    <w:rPr>
                      <w:lang w:val="en-GB"/>
                    </w:rPr>
                    <w:t xml:space="preserve">B. Time-domain </w:t>
                  </w:r>
                  <w:r w:rsidRPr="00DC279D">
                    <w:rPr>
                      <w:rFonts w:eastAsia="Malgun Gothic"/>
                      <w:lang w:val="en-GB"/>
                    </w:rPr>
                    <w:t xml:space="preserve">correlation profile </w:t>
                  </w:r>
                </w:p>
              </w:tc>
              <w:tc>
                <w:tcPr>
                  <w:tcW w:w="2977" w:type="dxa"/>
                </w:tcPr>
                <w:p w14:paraId="2C27FC31" w14:textId="77777777" w:rsidR="00DE2646" w:rsidRPr="00DC279D" w:rsidRDefault="00DE2646" w:rsidP="00C32A6B">
                  <w:pPr>
                    <w:snapToGrid w:val="0"/>
                    <w:rPr>
                      <w:rFonts w:eastAsia="Malgun Gothic"/>
                      <w:lang w:val="en-GB"/>
                    </w:rPr>
                  </w:pPr>
                  <w:r w:rsidRPr="00DC279D">
                    <w:rPr>
                      <w:rFonts w:eastAsia="Malgun Gothic"/>
                      <w:lang w:val="en-GB"/>
                    </w:rPr>
                    <w:t xml:space="preserve">Non-zero quantized version of amplitude </w:t>
                  </w:r>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oMath>
                  <w:r w:rsidRPr="00DC279D">
                    <w:rPr>
                      <w:rFonts w:eastAsia="Malgun Gothic"/>
                      <w:lang w:val="en-GB"/>
                    </w:rPr>
                    <w:t xml:space="preserve"> for a number of delay values </w:t>
                  </w:r>
                  <m:oMath>
                    <m:r>
                      <w:rPr>
                        <w:rFonts w:ascii="Cambria Math" w:hAnsi="Cambria Math"/>
                        <w:lang w:val="en-GB"/>
                      </w:rPr>
                      <m:t>τ</m:t>
                    </m:r>
                  </m:oMath>
                  <w:r w:rsidRPr="00DC279D">
                    <w:rPr>
                      <w:rFonts w:eastAsia="Malgun Gothic"/>
                      <w:lang w:val="en-GB"/>
                    </w:rPr>
                    <w:t xml:space="preserve"> (quantized amplitude vs delay)</w:t>
                  </w:r>
                </w:p>
                <w:p w14:paraId="1502B10E" w14:textId="77777777" w:rsidR="00DE2646" w:rsidRPr="00DC279D" w:rsidRDefault="00DE2646" w:rsidP="00C32A6B">
                  <w:pPr>
                    <w:snapToGrid w:val="0"/>
                    <w:rPr>
                      <w:rFonts w:eastAsia="Malgun Gothic"/>
                      <w:lang w:val="en-GB"/>
                    </w:rPr>
                  </w:pPr>
                </w:p>
                <w:p w14:paraId="234F23FB" w14:textId="77777777" w:rsidR="00DE2646" w:rsidRPr="00DC279D" w:rsidRDefault="00DE2646" w:rsidP="00C32A6B">
                  <w:pPr>
                    <w:snapToGrid w:val="0"/>
                    <w:rPr>
                      <w:lang w:val="en-GB"/>
                    </w:rPr>
                  </w:pPr>
                  <w:r w:rsidRPr="00DC279D">
                    <w:rPr>
                      <w:lang w:val="en-GB"/>
                    </w:rPr>
                    <w:t xml:space="preserve">Example equation </w:t>
                  </w:r>
                </w:p>
                <w:p w14:paraId="2E240902" w14:textId="77777777" w:rsidR="00DE2646" w:rsidRPr="00DC279D" w:rsidRDefault="00DE2646" w:rsidP="00C32A6B">
                  <w:pPr>
                    <w:jc w:val="both"/>
                    <w:rPr>
                      <w:lang w:val="en-GB"/>
                    </w:rPr>
                  </w:pPr>
                  <m:oMathPara>
                    <m:oMathParaPr>
                      <m:jc m:val="left"/>
                    </m:oMathParaPr>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c</m:t>
                              </m:r>
                              <m:d>
                                <m:dPr>
                                  <m:ctrlPr>
                                    <w:rPr>
                                      <w:rFonts w:ascii="Cambria Math" w:hAnsi="Cambria Math"/>
                                      <w:lang w:val="en-GB"/>
                                    </w:rPr>
                                  </m:ctrlPr>
                                </m:dPr>
                                <m:e>
                                  <m:r>
                                    <w:rPr>
                                      <w:rFonts w:ascii="Cambria Math" w:hAnsi="Cambria Math"/>
                                      <w:lang w:val="en-GB"/>
                                    </w:rPr>
                                    <m:t>t,τ</m:t>
                                  </m:r>
                                </m:e>
                              </m:d>
                            </m:num>
                            <m:den>
                              <m:r>
                                <w:rPr>
                                  <w:rFonts w:ascii="Cambria Math" w:hAnsi="Cambria Math"/>
                                  <w:lang w:val="en-GB"/>
                                </w:rPr>
                                <m:t>c</m:t>
                              </m:r>
                              <m:d>
                                <m:dPr>
                                  <m:ctrlPr>
                                    <w:rPr>
                                      <w:rFonts w:ascii="Cambria Math" w:hAnsi="Cambria Math"/>
                                      <w:lang w:val="en-GB"/>
                                    </w:rPr>
                                  </m:ctrlPr>
                                </m:dPr>
                                <m:e>
                                  <m:r>
                                    <w:rPr>
                                      <w:rFonts w:ascii="Cambria Math" w:hAnsi="Cambria Math"/>
                                      <w:lang w:val="en-GB"/>
                                    </w:rPr>
                                    <m:t>t,0</m:t>
                                  </m:r>
                                </m:e>
                              </m:d>
                            </m:den>
                          </m:f>
                        </m:e>
                      </m:d>
                    </m:oMath>
                  </m:oMathPara>
                </w:p>
                <w:p w14:paraId="377A6DBD" w14:textId="77777777" w:rsidR="00DE2646" w:rsidRPr="00DC279D" w:rsidRDefault="00DE2646" w:rsidP="00C32A6B">
                  <w:pPr>
                    <w:keepLines/>
                    <w:tabs>
                      <w:tab w:val="left" w:pos="2552"/>
                      <w:tab w:val="left" w:pos="3856"/>
                      <w:tab w:val="left" w:pos="5216"/>
                      <w:tab w:val="left" w:pos="6464"/>
                      <w:tab w:val="left" w:pos="7768"/>
                      <w:tab w:val="left" w:pos="9072"/>
                      <w:tab w:val="left" w:pos="9639"/>
                    </w:tabs>
                    <w:spacing w:before="240"/>
                    <w:rPr>
                      <w:rFonts w:eastAsia="Malgun Gothic"/>
                      <w:spacing w:val="2"/>
                      <w:lang w:val="en-GB"/>
                    </w:rPr>
                  </w:pPr>
                  <w:r w:rsidRPr="00DC279D">
                    <w:rPr>
                      <w:rFonts w:eastAsia="Malgun Gothic"/>
                      <w:spacing w:val="2"/>
                      <w:lang w:val="en-GB"/>
                    </w:rPr>
                    <w:t>where</w:t>
                  </w:r>
                </w:p>
                <w:p w14:paraId="6ED0C798" w14:textId="77777777" w:rsidR="00DE2646" w:rsidRPr="00DC279D" w:rsidRDefault="00DE2646" w:rsidP="00C32A6B">
                  <w:pPr>
                    <w:jc w:val="both"/>
                    <w:rPr>
                      <w:lang w:val="en-GB"/>
                    </w:rPr>
                  </w:pPr>
                  <m:oMathPara>
                    <m:oMathParaPr>
                      <m:jc m:val="left"/>
                    </m:oMathParaPr>
                    <m:oMath>
                      <m:r>
                        <w:rPr>
                          <w:rFonts w:ascii="Cambria Math" w:hAnsi="Cambria Math"/>
                          <w:lang w:val="en-GB"/>
                        </w:rPr>
                        <m:t>c</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sSub>
                            <m:sSubPr>
                              <m:ctrlPr>
                                <w:rPr>
                                  <w:rFonts w:ascii="Cambria Math" w:hAnsi="Cambria Math"/>
                                  <w:lang w:val="en-GB"/>
                                </w:rPr>
                              </m:ctrlPr>
                            </m:sSubPr>
                            <m:e>
                              <m:r>
                                <w:rPr>
                                  <w:rFonts w:ascii="Cambria Math" w:hAnsi="Cambria Math"/>
                                  <w:lang w:val="en-GB"/>
                                </w:rPr>
                                <m:t>h</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h</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e>
                      </m:nary>
                    </m:oMath>
                  </m:oMathPara>
                </w:p>
                <w:p w14:paraId="5A860D8D" w14:textId="77777777" w:rsidR="00DE2646" w:rsidRPr="00DC279D" w:rsidRDefault="00DE2646" w:rsidP="00C32A6B">
                  <w:pPr>
                    <w:keepLines/>
                    <w:tabs>
                      <w:tab w:val="left" w:pos="2552"/>
                      <w:tab w:val="left" w:pos="3856"/>
                      <w:tab w:val="left" w:pos="5216"/>
                      <w:tab w:val="left" w:pos="6464"/>
                      <w:tab w:val="left" w:pos="7768"/>
                      <w:tab w:val="left" w:pos="9072"/>
                      <w:tab w:val="left" w:pos="9639"/>
                    </w:tabs>
                    <w:spacing w:before="240"/>
                    <w:rPr>
                      <w:rFonts w:eastAsia="Malgun Gothic"/>
                      <w:spacing w:val="2"/>
                    </w:rPr>
                  </w:pPr>
                  <w:r w:rsidRPr="00DC279D">
                    <w:rPr>
                      <w:rFonts w:eastAsia="Malgun Gothic"/>
                      <w:spacing w:val="2"/>
                      <w:lang w:val="en-GB"/>
                    </w:rPr>
                    <w:t xml:space="preserve">and </w:t>
                  </w:r>
                  <m:oMath>
                    <m:sSub>
                      <m:sSubPr>
                        <m:ctrlPr>
                          <w:rPr>
                            <w:rFonts w:ascii="Cambria Math" w:hAnsi="Cambria Math"/>
                            <w:spacing w:val="2"/>
                          </w:rPr>
                        </m:ctrlPr>
                      </m:sSubPr>
                      <m:e>
                        <m:r>
                          <w:rPr>
                            <w:rFonts w:ascii="Cambria Math" w:hAnsi="Cambria Math"/>
                            <w:spacing w:val="2"/>
                          </w:rPr>
                          <m:t>h</m:t>
                        </m:r>
                      </m:e>
                      <m:sub>
                        <m:r>
                          <w:rPr>
                            <w:rFonts w:ascii="Cambria Math" w:hAnsi="Cambria Math"/>
                            <w:spacing w:val="2"/>
                          </w:rPr>
                          <m:t>n</m:t>
                        </m:r>
                      </m:sub>
                    </m:sSub>
                  </m:oMath>
                  <w:r w:rsidRPr="00DC279D">
                    <w:rPr>
                      <w:rFonts w:eastAsia="Malgun Gothic"/>
                      <w:spacing w:val="2"/>
                    </w:rPr>
                    <w:t xml:space="preserve"> is the channel for subcarrier n.</w:t>
                  </w:r>
                </w:p>
                <w:p w14:paraId="63C2B376" w14:textId="77777777" w:rsidR="00DE2646" w:rsidRPr="00DC279D" w:rsidRDefault="00DE2646" w:rsidP="00C32A6B">
                  <w:pPr>
                    <w:snapToGrid w:val="0"/>
                    <w:rPr>
                      <w:lang w:val="en-GB"/>
                    </w:rPr>
                  </w:pPr>
                </w:p>
              </w:tc>
              <w:tc>
                <w:tcPr>
                  <w:tcW w:w="5528" w:type="dxa"/>
                </w:tcPr>
                <w:p w14:paraId="3F6B9C85" w14:textId="77777777" w:rsidR="00DE2646" w:rsidRPr="00906510" w:rsidRDefault="00DE2646" w:rsidP="00DE2646">
                  <w:pPr>
                    <w:numPr>
                      <w:ilvl w:val="0"/>
                      <w:numId w:val="30"/>
                    </w:numPr>
                    <w:shd w:val="clear" w:color="auto" w:fill="FFFFFF"/>
                    <w:spacing w:after="120"/>
                    <w:contextualSpacing/>
                    <w:jc w:val="both"/>
                    <w:rPr>
                      <w:rFonts w:cs="Times New Roman"/>
                    </w:rPr>
                  </w:pPr>
                  <w:r w:rsidRPr="00906510">
                    <w:rPr>
                      <w:rFonts w:cs="Times New Roman"/>
                    </w:rPr>
                    <w:t>Normalized auto-correlation of a time series measured from a TRS resource.</w:t>
                  </w:r>
                </w:p>
                <w:p w14:paraId="1E606E50" w14:textId="77777777" w:rsidR="00DE2646" w:rsidRPr="00906510" w:rsidRDefault="00DE2646" w:rsidP="00DE2646">
                  <w:pPr>
                    <w:numPr>
                      <w:ilvl w:val="0"/>
                      <w:numId w:val="30"/>
                    </w:numPr>
                    <w:shd w:val="clear" w:color="auto" w:fill="FFFFFF"/>
                    <w:spacing w:after="120"/>
                    <w:contextualSpacing/>
                    <w:jc w:val="both"/>
                    <w:rPr>
                      <w:rFonts w:cs="Times New Roman"/>
                    </w:rPr>
                  </w:pPr>
                  <w:r w:rsidRPr="00906510">
                    <w:rPr>
                      <w:rFonts w:cs="Times New Roman"/>
                    </w:rPr>
                    <w:t>Multiple auto-correlation values can be calculated from different lags of the same resource or different resources</w:t>
                  </w:r>
                </w:p>
                <w:p w14:paraId="7474BE4A" w14:textId="77777777" w:rsidR="00DE2646" w:rsidRPr="00906510" w:rsidRDefault="00DE2646" w:rsidP="00DE2646">
                  <w:pPr>
                    <w:numPr>
                      <w:ilvl w:val="0"/>
                      <w:numId w:val="30"/>
                    </w:numPr>
                    <w:shd w:val="clear" w:color="auto" w:fill="FFFFFF"/>
                    <w:spacing w:after="120"/>
                    <w:contextualSpacing/>
                    <w:jc w:val="both"/>
                    <w:rPr>
                      <w:rFonts w:cs="Times New Roman"/>
                    </w:rPr>
                  </w:pPr>
                  <w:r w:rsidRPr="00906510">
                    <w:rPr>
                      <w:rFonts w:cs="Times New Roman"/>
                    </w:rPr>
                    <w:t xml:space="preserve">The autocorrelation can be estimated by replacing the channel </w:t>
                  </w:r>
                  <m:oMath>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n</m:t>
                        </m:r>
                      </m:sub>
                    </m:sSub>
                  </m:oMath>
                  <w:r w:rsidRPr="00906510">
                    <w:rPr>
                      <w:rFonts w:cs="Times New Roman"/>
                    </w:rPr>
                    <w:t xml:space="preserve"> for subcarrier </w:t>
                  </w:r>
                  <w:r w:rsidRPr="00906510">
                    <w:rPr>
                      <w:rFonts w:cs="Times New Roman"/>
                      <w:i/>
                    </w:rPr>
                    <w:t>n</w:t>
                  </w:r>
                  <w:r w:rsidRPr="00906510">
                    <w:rPr>
                      <w:rFonts w:cs="Times New Roman"/>
                    </w:rPr>
                    <w:t xml:space="preserve"> in the defining formula in column 2, with the matched filter subcarrier components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S</m:t>
                        </m:r>
                      </m:e>
                      <m:sub>
                        <m:r>
                          <w:rPr>
                            <w:rFonts w:ascii="Cambria Math" w:hAnsi="Cambria Math" w:cs="Times New Roman"/>
                          </w:rPr>
                          <m:t>n</m:t>
                        </m:r>
                      </m:sub>
                      <m:sup>
                        <m:r>
                          <w:rPr>
                            <w:rFonts w:ascii="Cambria Math" w:hAnsi="Cambria Math" w:cs="Times New Roman"/>
                          </w:rPr>
                          <m:t>*</m:t>
                        </m:r>
                      </m:sup>
                    </m:sSubSup>
                  </m:oMath>
                  <w:r w:rsidRPr="00906510">
                    <w:rPr>
                      <w:rFonts w:cs="Times New Roman"/>
                    </w:rPr>
                    <w:t xml:space="preserve">  of the received signal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oMath>
                  <w:r w:rsidRPr="00906510">
                    <w:rPr>
                      <w:rFonts w:cs="Times New Roman"/>
                    </w:rPr>
                    <w:t xml:space="preserve"> where </w:t>
                  </w:r>
                  <m:oMath>
                    <m:sSubSup>
                      <m:sSubSupPr>
                        <m:ctrlPr>
                          <w:rPr>
                            <w:rFonts w:ascii="Cambria Math" w:hAnsi="Cambria Math" w:cs="Times New Roman"/>
                            <w:i/>
                          </w:rPr>
                        </m:ctrlPr>
                      </m:sSubSupPr>
                      <m:e>
                        <m:r>
                          <w:rPr>
                            <w:rFonts w:ascii="Cambria Math" w:hAnsi="Cambria Math" w:cs="Times New Roman"/>
                          </w:rPr>
                          <m:t>S</m:t>
                        </m:r>
                      </m:e>
                      <m:sub>
                        <m:r>
                          <w:rPr>
                            <w:rFonts w:ascii="Cambria Math" w:hAnsi="Cambria Math" w:cs="Times New Roman"/>
                          </w:rPr>
                          <m:t>n</m:t>
                        </m:r>
                      </m:sub>
                      <m:sup>
                        <m:r>
                          <w:rPr>
                            <w:rFonts w:ascii="Cambria Math" w:hAnsi="Cambria Math" w:cs="Times New Roman"/>
                          </w:rPr>
                          <m:t>*</m:t>
                        </m:r>
                      </m:sup>
                    </m:sSubSup>
                  </m:oMath>
                  <w:r w:rsidRPr="00906510">
                    <w:rPr>
                      <w:rFonts w:cs="Times New Roman"/>
                    </w:rPr>
                    <w:t xml:space="preserve"> is the complex conjugate of the known transmitted TRS signal. For </w:t>
                  </w:r>
                  <m:oMath>
                    <m:r>
                      <w:rPr>
                        <w:rFonts w:ascii="Cambria Math" w:hAnsi="Cambria Math" w:cs="Times New Roman"/>
                      </w:rPr>
                      <m:t>c</m:t>
                    </m:r>
                    <m:d>
                      <m:dPr>
                        <m:ctrlPr>
                          <w:rPr>
                            <w:rFonts w:ascii="Cambria Math" w:hAnsi="Cambria Math" w:cs="Times New Roman"/>
                          </w:rPr>
                        </m:ctrlPr>
                      </m:dPr>
                      <m:e>
                        <m:r>
                          <w:rPr>
                            <w:rFonts w:ascii="Cambria Math" w:hAnsi="Cambria Math" w:cs="Times New Roman"/>
                          </w:rPr>
                          <m:t>t,0</m:t>
                        </m:r>
                      </m:e>
                    </m:d>
                  </m:oMath>
                  <w:r w:rsidRPr="00906510">
                    <w:rPr>
                      <w:rFonts w:cs="Times New Roman"/>
                    </w:rPr>
                    <w:t xml:space="preserve"> one can use the arithmetic average over the two TRS symbols separated by the time </w:t>
                  </w:r>
                  <m:oMath>
                    <m:r>
                      <w:rPr>
                        <w:rFonts w:ascii="Cambria Math" w:hAnsi="Cambria Math" w:cs="Times New Roman"/>
                      </w:rPr>
                      <m:t>τ</m:t>
                    </m:r>
                  </m:oMath>
                  <w:r w:rsidRPr="00906510">
                    <w:rPr>
                      <w:rFonts w:cs="Times New Roman"/>
                    </w:rPr>
                    <w:t xml:space="preserve"> , i.e.</w:t>
                  </w:r>
                </w:p>
                <w:p w14:paraId="3DB504CF" w14:textId="77777777" w:rsidR="00DE2646" w:rsidRPr="00DC279D" w:rsidRDefault="00DE2646" w:rsidP="00C32A6B">
                  <w:pPr>
                    <w:snapToGrid w:val="0"/>
                    <w:rPr>
                      <w:lang w:val="en-GB"/>
                    </w:rPr>
                  </w:pPr>
                  <m:oMathPara>
                    <m:oMathParaPr>
                      <m:jc m:val="left"/>
                    </m:oMathParaPr>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f>
                        <m:fPr>
                          <m:ctrlPr>
                            <w:rPr>
                              <w:rFonts w:ascii="Cambria Math" w:hAnsi="Cambria Math"/>
                              <w:lang w:val="en-GB"/>
                            </w:rPr>
                          </m:ctrlPr>
                        </m:fPr>
                        <m:num>
                          <m:d>
                            <m:dPr>
                              <m:begChr m:val="|"/>
                              <m:endChr m:val="|"/>
                              <m:ctrlPr>
                                <w:rPr>
                                  <w:rFonts w:ascii="Cambria Math" w:hAnsi="Cambria Math"/>
                                  <w:i/>
                                  <w:lang w:val="en-GB"/>
                                </w:rPr>
                              </m:ctrlPr>
                            </m:dPr>
                            <m:e>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e>
                              </m:nary>
                            </m:e>
                          </m:d>
                        </m:num>
                        <m:den>
                          <m:f>
                            <m:fPr>
                              <m:ctrlPr>
                                <w:rPr>
                                  <w:rFonts w:ascii="Cambria Math" w:hAnsi="Cambria Math"/>
                                  <w:lang w:val="en-GB"/>
                                </w:rPr>
                              </m:ctrlPr>
                            </m:fPr>
                            <m:num>
                              <m:r>
                                <w:rPr>
                                  <w:rFonts w:ascii="Cambria Math" w:hAnsi="Cambria Math"/>
                                  <w:lang w:val="en-GB"/>
                                </w:rPr>
                                <m:t>1</m:t>
                              </m:r>
                            </m:num>
                            <m:den>
                              <m:r>
                                <w:rPr>
                                  <w:rFonts w:ascii="Cambria Math" w:hAnsi="Cambria Math"/>
                                  <w:lang w:val="en-GB"/>
                                </w:rPr>
                                <m:t>2</m:t>
                              </m:r>
                            </m:den>
                          </m:f>
                          <m:r>
                            <w:rPr>
                              <w:rFonts w:ascii="Cambria Math" w:hAnsi="Cambria Math"/>
                              <w:lang w:val="en-GB"/>
                            </w:rPr>
                            <m:t>∙</m:t>
                          </m:r>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d>
                                <m:dPr>
                                  <m:ctrlPr>
                                    <w:rPr>
                                      <w:rFonts w:ascii="Cambria Math" w:hAnsi="Cambria Math"/>
                                      <w:lang w:val="en-GB"/>
                                    </w:rPr>
                                  </m:ctrlPr>
                                </m:dPr>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r>
                                    <w:rPr>
                                      <w:rFonts w:ascii="Cambria Math" w:hAnsi="Cambria Math"/>
                                      <w:lang w:val="en-GB"/>
                                    </w:rPr>
                                    <m:t>+</m:t>
                                  </m:r>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t+τ</m:t>
                                      </m:r>
                                    </m:e>
                                  </m:d>
                                </m:e>
                              </m:d>
                            </m:e>
                          </m:nary>
                        </m:den>
                      </m:f>
                    </m:oMath>
                  </m:oMathPara>
                </w:p>
                <w:p w14:paraId="648650A3" w14:textId="77777777" w:rsidR="00DE2646" w:rsidRPr="00DC279D" w:rsidRDefault="00DE2646" w:rsidP="00C32A6B">
                  <w:pPr>
                    <w:snapToGrid w:val="0"/>
                    <w:rPr>
                      <w:lang w:val="en-GB"/>
                    </w:rPr>
                  </w:pPr>
                </w:p>
                <w:p w14:paraId="0FD07C72" w14:textId="77777777" w:rsidR="00DE2646" w:rsidRPr="00DC279D" w:rsidRDefault="00DE2646" w:rsidP="00C32A6B">
                  <w:pPr>
                    <w:snapToGrid w:val="0"/>
                    <w:rPr>
                      <w:lang w:val="en-GB"/>
                    </w:rPr>
                  </w:pPr>
                  <w:r w:rsidRPr="00DC279D">
                    <w:rPr>
                      <w:lang w:val="en-GB"/>
                    </w:rPr>
                    <w:t xml:space="preserve">Or, alternatively, one may use the geometric average for </w:t>
                  </w:r>
                  <m:oMath>
                    <m:r>
                      <w:rPr>
                        <w:rFonts w:ascii="Cambria Math" w:hAnsi="Cambria Math"/>
                        <w:lang w:val="en-GB"/>
                      </w:rPr>
                      <m:t>c</m:t>
                    </m:r>
                    <m:d>
                      <m:dPr>
                        <m:ctrlPr>
                          <w:rPr>
                            <w:rFonts w:ascii="Cambria Math" w:hAnsi="Cambria Math"/>
                            <w:lang w:val="en-GB"/>
                          </w:rPr>
                        </m:ctrlPr>
                      </m:dPr>
                      <m:e>
                        <m:r>
                          <w:rPr>
                            <w:rFonts w:ascii="Cambria Math" w:hAnsi="Cambria Math"/>
                            <w:lang w:val="en-GB"/>
                          </w:rPr>
                          <m:t>t,0</m:t>
                        </m:r>
                      </m:e>
                    </m:d>
                  </m:oMath>
                  <w:r w:rsidRPr="00DC279D">
                    <w:rPr>
                      <w:lang w:val="en-GB"/>
                    </w:rPr>
                    <w:t xml:space="preserve">, i.e. </w:t>
                  </w:r>
                </w:p>
                <w:p w14:paraId="4C42E539" w14:textId="77777777" w:rsidR="00DE2646" w:rsidRPr="00DC279D" w:rsidRDefault="00DE2646" w:rsidP="00C32A6B">
                  <w:pPr>
                    <w:snapToGrid w:val="0"/>
                    <w:rPr>
                      <w:lang w:val="en-GB"/>
                    </w:rPr>
                  </w:pPr>
                  <m:oMathPara>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f>
                        <m:fPr>
                          <m:ctrlPr>
                            <w:rPr>
                              <w:rFonts w:ascii="Cambria Math" w:hAnsi="Cambria Math"/>
                              <w:lang w:val="en-GB"/>
                            </w:rPr>
                          </m:ctrlPr>
                        </m:fPr>
                        <m:num>
                          <m:d>
                            <m:dPr>
                              <m:begChr m:val="|"/>
                              <m:endChr m:val="|"/>
                              <m:ctrlPr>
                                <w:rPr>
                                  <w:rFonts w:ascii="Cambria Math" w:hAnsi="Cambria Math"/>
                                  <w:lang w:val="en-GB"/>
                                </w:rPr>
                              </m:ctrlPr>
                            </m:dPr>
                            <m:e>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e>
                              </m:nary>
                            </m:e>
                          </m:d>
                        </m:num>
                        <m:den>
                          <m:rad>
                            <m:radPr>
                              <m:degHide m:val="1"/>
                              <m:ctrlPr>
                                <w:rPr>
                                  <w:rFonts w:ascii="Cambria Math" w:hAnsi="Cambria Math"/>
                                  <w:b/>
                                  <w:i/>
                                  <w:lang w:val="en-GB"/>
                                </w:rPr>
                              </m:ctrlPr>
                            </m:radPr>
                            <m:deg/>
                            <m:e>
                              <m:nary>
                                <m:naryPr>
                                  <m:chr m:val="∑"/>
                                  <m:limLoc m:val="subSup"/>
                                  <m:supHide m:val="1"/>
                                  <m:ctrlPr>
                                    <w:rPr>
                                      <w:rFonts w:ascii="Cambria Math" w:hAnsi="Cambria Math"/>
                                      <w:b/>
                                      <w:i/>
                                      <w:lang w:val="en-GB"/>
                                    </w:rPr>
                                  </m:ctrlPr>
                                </m:naryPr>
                                <m:sub>
                                  <m:r>
                                    <m:rPr>
                                      <m:sty m:val="bi"/>
                                    </m:rPr>
                                    <w:rPr>
                                      <w:rFonts w:ascii="Cambria Math" w:hAnsi="Cambria Math"/>
                                      <w:lang w:val="en-GB"/>
                                    </w:rPr>
                                    <m:t>n</m:t>
                                  </m:r>
                                </m:sub>
                                <m:sup/>
                                <m:e>
                                  <m:sSup>
                                    <m:sSupPr>
                                      <m:ctrlPr>
                                        <w:rPr>
                                          <w:rFonts w:ascii="Cambria Math" w:hAnsi="Cambria Math"/>
                                          <w:b/>
                                          <w:i/>
                                          <w:lang w:val="en-GB"/>
                                        </w:rPr>
                                      </m:ctrlPr>
                                    </m:sSupPr>
                                    <m:e>
                                      <m:d>
                                        <m:dPr>
                                          <m:begChr m:val="|"/>
                                          <m:endChr m:val="|"/>
                                          <m:ctrlPr>
                                            <w:rPr>
                                              <w:rFonts w:ascii="Cambria Math" w:hAnsi="Cambria Math"/>
                                              <w:b/>
                                              <w:i/>
                                              <w:lang w:val="en-GB"/>
                                            </w:rPr>
                                          </m:ctrlPr>
                                        </m:dPr>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e>
                                      </m:d>
                                    </m:e>
                                    <m:sup>
                                      <m:r>
                                        <m:rPr>
                                          <m:sty m:val="bi"/>
                                        </m:rPr>
                                        <w:rPr>
                                          <w:rFonts w:ascii="Cambria Math" w:hAnsi="Cambria Math"/>
                                          <w:lang w:val="en-GB"/>
                                        </w:rPr>
                                        <m:t>2</m:t>
                                      </m:r>
                                    </m:sup>
                                  </m:sSup>
                                </m:e>
                              </m:nary>
                            </m:e>
                          </m:rad>
                          <m:rad>
                            <m:radPr>
                              <m:degHide m:val="1"/>
                              <m:ctrlPr>
                                <w:rPr>
                                  <w:rFonts w:ascii="Cambria Math" w:hAnsi="Cambria Math"/>
                                  <w:b/>
                                  <w:i/>
                                  <w:lang w:val="en-GB"/>
                                </w:rPr>
                              </m:ctrlPr>
                            </m:radPr>
                            <m:deg/>
                            <m:e>
                              <m:nary>
                                <m:naryPr>
                                  <m:chr m:val="∑"/>
                                  <m:limLoc m:val="subSup"/>
                                  <m:supHide m:val="1"/>
                                  <m:ctrlPr>
                                    <w:rPr>
                                      <w:rFonts w:ascii="Cambria Math" w:hAnsi="Cambria Math"/>
                                      <w:b/>
                                      <w:i/>
                                      <w:lang w:val="en-GB"/>
                                    </w:rPr>
                                  </m:ctrlPr>
                                </m:naryPr>
                                <m:sub>
                                  <m:r>
                                    <m:rPr>
                                      <m:sty m:val="bi"/>
                                    </m:rPr>
                                    <w:rPr>
                                      <w:rFonts w:ascii="Cambria Math" w:hAnsi="Cambria Math"/>
                                      <w:lang w:val="en-GB"/>
                                    </w:rPr>
                                    <m:t>n</m:t>
                                  </m:r>
                                </m:sub>
                                <m:sup/>
                                <m:e>
                                  <m:sSup>
                                    <m:sSupPr>
                                      <m:ctrlPr>
                                        <w:rPr>
                                          <w:rFonts w:ascii="Cambria Math" w:hAnsi="Cambria Math"/>
                                          <w:b/>
                                          <w:i/>
                                          <w:lang w:val="en-GB"/>
                                        </w:rPr>
                                      </m:ctrlPr>
                                    </m:sSupPr>
                                    <m:e>
                                      <m:d>
                                        <m:dPr>
                                          <m:begChr m:val="|"/>
                                          <m:endChr m:val="|"/>
                                          <m:ctrlPr>
                                            <w:rPr>
                                              <w:rFonts w:ascii="Cambria Math" w:hAnsi="Cambria Math"/>
                                              <w:b/>
                                              <w:i/>
                                              <w:lang w:val="en-GB"/>
                                            </w:rPr>
                                          </m:ctrlPr>
                                        </m:dPr>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m:t>
                                              </m:r>
                                            </m:e>
                                          </m:d>
                                        </m:e>
                                      </m:d>
                                    </m:e>
                                    <m:sup>
                                      <m:r>
                                        <m:rPr>
                                          <m:sty m:val="bi"/>
                                        </m:rPr>
                                        <w:rPr>
                                          <w:rFonts w:ascii="Cambria Math" w:hAnsi="Cambria Math"/>
                                          <w:lang w:val="en-GB"/>
                                        </w:rPr>
                                        <m:t>2</m:t>
                                      </m:r>
                                    </m:sup>
                                  </m:sSup>
                                </m:e>
                              </m:nary>
                            </m:e>
                          </m:rad>
                        </m:den>
                      </m:f>
                    </m:oMath>
                  </m:oMathPara>
                </w:p>
                <w:p w14:paraId="3D60A44F" w14:textId="77777777" w:rsidR="00DE2646" w:rsidRPr="00DC279D" w:rsidRDefault="00DE2646" w:rsidP="00C32A6B">
                  <w:pPr>
                    <w:snapToGrid w:val="0"/>
                    <w:rPr>
                      <w:lang w:val="en-GB"/>
                    </w:rPr>
                  </w:pPr>
                  <w:r w:rsidRPr="00DC279D">
                    <w:rPr>
                      <w:lang w:val="en-GB"/>
                    </w:rPr>
                    <w:t>Further methods to remove noise bias and to suppress noise can be used.</w:t>
                  </w:r>
                </w:p>
              </w:tc>
            </w:tr>
          </w:tbl>
          <w:p w14:paraId="00B5D043" w14:textId="77777777" w:rsidR="00DE2646" w:rsidRDefault="00DE2646" w:rsidP="00C32A6B">
            <w:pPr>
              <w:rPr>
                <w:lang w:val="en-GB"/>
              </w:rPr>
            </w:pPr>
          </w:p>
        </w:tc>
      </w:tr>
    </w:tbl>
    <w:p w14:paraId="43A113BD" w14:textId="77777777" w:rsidR="00DE2646" w:rsidRPr="00CD0130" w:rsidRDefault="00DE2646" w:rsidP="00296460">
      <w:pPr>
        <w:keepNext/>
        <w:jc w:val="center"/>
      </w:pPr>
    </w:p>
    <w:p w14:paraId="0CCE9C55" w14:textId="11783381" w:rsidR="0017131A" w:rsidRDefault="00296460" w:rsidP="00296460">
      <w:pPr>
        <w:pStyle w:val="RAN4observation0"/>
      </w:pPr>
      <w:bookmarkStart w:id="9" w:name="_Toc142669934"/>
      <w:bookmarkStart w:id="10" w:name="_Toc146734747"/>
      <w:r>
        <w:t>TDCP is calculated as the normalized time correlation function from 2 or more channel measurements estimated based on TRS.</w:t>
      </w:r>
      <w:bookmarkEnd w:id="9"/>
      <w:bookmarkEnd w:id="10"/>
    </w:p>
    <w:p w14:paraId="263025C0" w14:textId="77777777" w:rsidR="00D91089" w:rsidRDefault="00D91089" w:rsidP="00D91089">
      <w:pPr>
        <w:pStyle w:val="RAN4observation0"/>
        <w:ind w:left="360" w:hanging="360"/>
      </w:pPr>
      <w:bookmarkStart w:id="11" w:name="_Toc142669935"/>
      <w:bookmarkStart w:id="12" w:name="_Toc146733089"/>
      <w:bookmarkStart w:id="13" w:name="_Toc146734748"/>
      <w:bookmarkStart w:id="14" w:name="_Hlk146733249"/>
      <w:r>
        <w:t>The normalized TDCP coefficient for delay (</w:t>
      </w:r>
      <m:oMath>
        <m:r>
          <w:rPr>
            <w:rFonts w:ascii="Cambria Math" w:hAnsi="Cambria Math"/>
          </w:rPr>
          <m:t>l</m:t>
        </m:r>
      </m:oMath>
      <w:r>
        <w:t>) from multiple TRS transmissions may be calculated as</w:t>
      </w:r>
      <w:bookmarkEnd w:id="11"/>
      <w:bookmarkEnd w:id="12"/>
      <w:bookmarkEnd w:id="13"/>
      <w:r>
        <w:t xml:space="preserve"> </w:t>
      </w:r>
    </w:p>
    <w:p w14:paraId="2024FA56" w14:textId="77777777" w:rsidR="00D91089" w:rsidRPr="00301FC5" w:rsidRDefault="00D91089" w:rsidP="00D91089">
      <w:pPr>
        <w:pStyle w:val="RAN4observation0"/>
        <w:numPr>
          <w:ilvl w:val="1"/>
          <w:numId w:val="6"/>
        </w:numPr>
        <w:rPr>
          <w:rFonts w:eastAsiaTheme="minorEastAsia"/>
        </w:rPr>
      </w:pPr>
      <w:bookmarkStart w:id="15" w:name="_Toc142669936"/>
      <w:bookmarkStart w:id="16" w:name="_Toc146733090"/>
      <w:bookmarkStart w:id="17" w:name="_Toc146734749"/>
      <m:oMath>
        <m:r>
          <w:rPr>
            <w:rFonts w:ascii="Cambria Math" w:hAnsi="Cambria Math"/>
          </w:rPr>
          <m:t>A</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c</m:t>
            </m:r>
            <m:d>
              <m:dPr>
                <m:ctrlPr>
                  <w:rPr>
                    <w:rFonts w:ascii="Cambria Math" w:hAnsi="Cambria Math"/>
                    <w:i/>
                  </w:rPr>
                </m:ctrlPr>
              </m:dPr>
              <m:e>
                <m:r>
                  <w:rPr>
                    <w:rFonts w:ascii="Cambria Math" w:hAnsi="Cambria Math"/>
                  </w:rPr>
                  <m:t>l</m:t>
                </m:r>
              </m:e>
            </m:d>
          </m:num>
          <m:den>
            <m:r>
              <w:rPr>
                <w:rFonts w:ascii="Cambria Math" w:hAnsi="Cambria Math"/>
              </w:rPr>
              <m:t>c</m:t>
            </m:r>
            <m:d>
              <m:dPr>
                <m:ctrlPr>
                  <w:rPr>
                    <w:rFonts w:ascii="Cambria Math" w:hAnsi="Cambria Math"/>
                    <w:i/>
                  </w:rPr>
                </m:ctrlPr>
              </m:dPr>
              <m:e>
                <m:r>
                  <w:rPr>
                    <w:rFonts w:ascii="Cambria Math" w:hAnsi="Cambria Math"/>
                  </w:rPr>
                  <m:t>0</m:t>
                </m:r>
              </m:e>
            </m:d>
          </m:den>
        </m:f>
      </m:oMath>
      <w:r>
        <w:rPr>
          <w:rFonts w:eastAsiaTheme="minorEastAsia"/>
        </w:rPr>
        <w:t xml:space="preserve">, where </w:t>
      </w:r>
      <m:oMath>
        <m:r>
          <w:rPr>
            <w:rFonts w:ascii="Cambria Math" w:eastAsiaTheme="minorEastAsia" w:hAnsi="Cambria Math"/>
          </w:rPr>
          <m:t>c</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ctrlPr>
              <w:rPr>
                <w:rFonts w:ascii="Cambria Math" w:hAnsi="Cambria Math"/>
                <w:i/>
              </w:rPr>
            </m:ctrlPr>
          </m:naryPr>
          <m:sub>
            <m:r>
              <w:rPr>
                <w:rFonts w:ascii="Cambria Math" w:hAnsi="Cambria Math"/>
              </w:rPr>
              <m:t>n=0</m:t>
            </m:r>
          </m:sub>
          <m:sup>
            <m:r>
              <w:rPr>
                <w:rFonts w:ascii="Cambria Math" w:hAnsi="Cambria Math"/>
              </w:rPr>
              <m:t>N-1</m:t>
            </m:r>
          </m:sup>
          <m:e>
            <m:f>
              <m:fPr>
                <m:ctrlPr>
                  <w:rPr>
                    <w:rFonts w:ascii="Cambria Math" w:hAnsi="Cambria Math"/>
                    <w:i/>
                  </w:rPr>
                </m:ctrlPr>
              </m:fPr>
              <m:num>
                <m:r>
                  <w:rPr>
                    <w:rFonts w:ascii="Cambria Math" w:hAnsi="Cambria Math"/>
                  </w:rPr>
                  <m:t>1</m:t>
                </m:r>
              </m:num>
              <m:den>
                <m:r>
                  <w:rPr>
                    <w:rFonts w:ascii="Cambria Math" w:hAnsi="Cambria Math"/>
                  </w:rPr>
                  <m:t>B-l</m:t>
                </m:r>
              </m:den>
            </m:f>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+B-1-l</m:t>
                </m:r>
              </m:sup>
              <m:e>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r>
                      <w:rPr>
                        <w:rFonts w:ascii="Cambria Math" w:hAnsi="Cambria Math"/>
                      </w:rPr>
                      <m:t>h</m:t>
                    </m:r>
                  </m:e>
                  <m:sub>
                    <m: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k</m:t>
                    </m:r>
                  </m:e>
                </m:d>
              </m:e>
            </m:nary>
          </m:e>
        </m:nary>
        <m:r>
          <w:rPr>
            <w:rFonts w:ascii="Cambria Math" w:hAnsi="Cambria Math"/>
          </w:rPr>
          <m:t>,    l=0,…,B-1</m:t>
        </m:r>
      </m:oMath>
      <w:bookmarkEnd w:id="15"/>
      <w:bookmarkEnd w:id="16"/>
      <w:bookmarkEnd w:id="17"/>
    </w:p>
    <w:p w14:paraId="45A488F0" w14:textId="586968D1" w:rsidR="00D91089" w:rsidRPr="00EC5B92" w:rsidRDefault="00D91089" w:rsidP="00D91089">
      <w:pPr>
        <w:pStyle w:val="RAN4observation0"/>
        <w:numPr>
          <w:ilvl w:val="1"/>
          <w:numId w:val="6"/>
        </w:numPr>
      </w:pPr>
      <w:bookmarkStart w:id="18" w:name="_Toc142669937"/>
      <w:bookmarkStart w:id="19" w:name="_Toc146733091"/>
      <w:bookmarkStart w:id="20" w:name="_Toc146734750"/>
      <w:r>
        <w:t xml:space="preserve">This </w:t>
      </w:r>
      <w:r w:rsidRPr="00890506">
        <w:t>method provides reduced variability in TDCP amplitudes with the same number of TRSs and requires uniform spreading of delays</w:t>
      </w:r>
      <w:r>
        <w:t>.</w:t>
      </w:r>
      <w:bookmarkEnd w:id="18"/>
      <w:bookmarkEnd w:id="19"/>
      <w:bookmarkEnd w:id="20"/>
    </w:p>
    <w:tbl>
      <w:tblPr>
        <w:tblStyle w:val="TableGrid"/>
        <w:tblW w:w="0" w:type="auto"/>
        <w:jc w:val="center"/>
        <w:tblLook w:val="04A0" w:firstRow="1" w:lastRow="0" w:firstColumn="1" w:lastColumn="0" w:noHBand="0" w:noVBand="1"/>
      </w:tblPr>
      <w:tblGrid>
        <w:gridCol w:w="4808"/>
        <w:gridCol w:w="4809"/>
      </w:tblGrid>
      <w:tr w:rsidR="00E556D6" w14:paraId="2BB08286" w14:textId="77777777" w:rsidTr="00C32A6B">
        <w:trPr>
          <w:jc w:val="center"/>
        </w:trPr>
        <w:tc>
          <w:tcPr>
            <w:tcW w:w="4808" w:type="dxa"/>
            <w:tcBorders>
              <w:top w:val="nil"/>
              <w:left w:val="nil"/>
              <w:bottom w:val="nil"/>
              <w:right w:val="nil"/>
            </w:tcBorders>
          </w:tcPr>
          <w:bookmarkEnd w:id="14"/>
          <w:p w14:paraId="7282D73E" w14:textId="77777777" w:rsidR="00E556D6" w:rsidRDefault="00E556D6" w:rsidP="00C32A6B">
            <w:pPr>
              <w:jc w:val="center"/>
              <w:rPr>
                <w:rFonts w:eastAsia="Calibri" w:cs="Times New Roman"/>
              </w:rPr>
            </w:pPr>
            <w:r>
              <w:rPr>
                <w:noProof/>
              </w:rPr>
              <w:object w:dxaOrig="9989" w:dyaOrig="8371" w14:anchorId="72F3A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pt;height:160pt" o:ole="">
                  <v:imagedata r:id="rId8" o:title=""/>
                </v:shape>
                <o:OLEObject Type="Embed" ProgID="PBrush" ShapeID="_x0000_i1025" DrawAspect="Content" ObjectID="_1757360556" r:id="rId9"/>
              </w:object>
            </w:r>
          </w:p>
        </w:tc>
        <w:tc>
          <w:tcPr>
            <w:tcW w:w="4809" w:type="dxa"/>
            <w:tcBorders>
              <w:top w:val="nil"/>
              <w:left w:val="nil"/>
              <w:bottom w:val="nil"/>
              <w:right w:val="nil"/>
            </w:tcBorders>
          </w:tcPr>
          <w:p w14:paraId="208865A7" w14:textId="77777777" w:rsidR="00E556D6" w:rsidRDefault="00E556D6" w:rsidP="00C32A6B">
            <w:pPr>
              <w:jc w:val="center"/>
              <w:rPr>
                <w:rFonts w:eastAsia="Calibri" w:cs="Times New Roman"/>
              </w:rPr>
            </w:pPr>
            <w:r>
              <w:rPr>
                <w:noProof/>
              </w:rPr>
              <w:object w:dxaOrig="10049" w:dyaOrig="8249" w14:anchorId="098EFC83">
                <v:shape id="_x0000_i1026" type="#_x0000_t75" style="width:196pt;height:160.5pt" o:ole="">
                  <v:imagedata r:id="rId10" o:title=""/>
                </v:shape>
                <o:OLEObject Type="Embed" ProgID="PBrush" ShapeID="_x0000_i1026" DrawAspect="Content" ObjectID="_1757360557" r:id="rId11"/>
              </w:object>
            </w:r>
          </w:p>
        </w:tc>
      </w:tr>
      <w:tr w:rsidR="00E556D6" w14:paraId="14D4FA97" w14:textId="77777777" w:rsidTr="00C32A6B">
        <w:trPr>
          <w:jc w:val="center"/>
        </w:trPr>
        <w:tc>
          <w:tcPr>
            <w:tcW w:w="4808" w:type="dxa"/>
            <w:tcBorders>
              <w:top w:val="nil"/>
              <w:left w:val="nil"/>
              <w:bottom w:val="nil"/>
              <w:right w:val="nil"/>
            </w:tcBorders>
          </w:tcPr>
          <w:p w14:paraId="2D8C13C4" w14:textId="77777777" w:rsidR="00E556D6" w:rsidRPr="00FD1516" w:rsidRDefault="00E556D6" w:rsidP="00C32A6B">
            <w:pPr>
              <w:jc w:val="center"/>
              <w:rPr>
                <w:rFonts w:eastAsia="Calibri" w:cs="Times New Roman"/>
              </w:rPr>
            </w:pPr>
            <w:r>
              <w:rPr>
                <w:rFonts w:eastAsia="Calibri" w:cs="Times New Roman"/>
              </w:rPr>
              <w:t>a)</w:t>
            </w:r>
          </w:p>
        </w:tc>
        <w:tc>
          <w:tcPr>
            <w:tcW w:w="4809" w:type="dxa"/>
            <w:tcBorders>
              <w:top w:val="nil"/>
              <w:left w:val="nil"/>
              <w:bottom w:val="nil"/>
              <w:right w:val="nil"/>
            </w:tcBorders>
          </w:tcPr>
          <w:p w14:paraId="71DF0BCF" w14:textId="77777777" w:rsidR="00E556D6" w:rsidRDefault="00E556D6" w:rsidP="00C32A6B">
            <w:pPr>
              <w:jc w:val="center"/>
              <w:rPr>
                <w:rFonts w:eastAsia="Calibri" w:cs="Times New Roman"/>
              </w:rPr>
            </w:pPr>
            <w:r>
              <w:rPr>
                <w:rFonts w:eastAsia="Calibri" w:cs="Times New Roman"/>
              </w:rPr>
              <w:t>b)</w:t>
            </w:r>
          </w:p>
        </w:tc>
      </w:tr>
      <w:tr w:rsidR="00E556D6" w14:paraId="6E9EBF0C" w14:textId="77777777" w:rsidTr="00C32A6B">
        <w:trPr>
          <w:jc w:val="center"/>
        </w:trPr>
        <w:tc>
          <w:tcPr>
            <w:tcW w:w="4808" w:type="dxa"/>
            <w:tcBorders>
              <w:top w:val="nil"/>
              <w:left w:val="nil"/>
              <w:bottom w:val="nil"/>
              <w:right w:val="nil"/>
            </w:tcBorders>
          </w:tcPr>
          <w:p w14:paraId="499E2608" w14:textId="77777777" w:rsidR="00E556D6" w:rsidRDefault="00E556D6" w:rsidP="00C32A6B">
            <w:pPr>
              <w:jc w:val="center"/>
              <w:rPr>
                <w:rFonts w:eastAsia="Calibri" w:cs="Times New Roman"/>
              </w:rPr>
            </w:pPr>
            <w:r>
              <w:rPr>
                <w:noProof/>
              </w:rPr>
              <w:object w:dxaOrig="10036" w:dyaOrig="8236" w14:anchorId="4D79D407">
                <v:shape id="_x0000_i1027" type="#_x0000_t75" style="width:196.5pt;height:160.5pt" o:ole="">
                  <v:imagedata r:id="rId12" o:title=""/>
                </v:shape>
                <o:OLEObject Type="Embed" ProgID="PBrush" ShapeID="_x0000_i1027" DrawAspect="Content" ObjectID="_1757360558" r:id="rId13"/>
              </w:object>
            </w:r>
          </w:p>
        </w:tc>
        <w:tc>
          <w:tcPr>
            <w:tcW w:w="4809" w:type="dxa"/>
            <w:tcBorders>
              <w:top w:val="nil"/>
              <w:left w:val="nil"/>
              <w:bottom w:val="nil"/>
              <w:right w:val="nil"/>
            </w:tcBorders>
          </w:tcPr>
          <w:p w14:paraId="5325DD11" w14:textId="77777777" w:rsidR="00E556D6" w:rsidRPr="0040612F" w:rsidRDefault="00E556D6" w:rsidP="00C32A6B">
            <w:pPr>
              <w:keepNext/>
              <w:jc w:val="center"/>
            </w:pPr>
            <w:r>
              <w:rPr>
                <w:noProof/>
              </w:rPr>
              <w:object w:dxaOrig="10020" w:dyaOrig="8175" w14:anchorId="55C7F159">
                <v:shape id="_x0000_i1028" type="#_x0000_t75" style="width:197.5pt;height:160.5pt" o:ole="">
                  <v:imagedata r:id="rId14" o:title=""/>
                </v:shape>
                <o:OLEObject Type="Embed" ProgID="PBrush" ShapeID="_x0000_i1028" DrawAspect="Content" ObjectID="_1757360559" r:id="rId15"/>
              </w:object>
            </w:r>
          </w:p>
        </w:tc>
      </w:tr>
      <w:tr w:rsidR="00E556D6" w14:paraId="2A18D212" w14:textId="77777777" w:rsidTr="00C32A6B">
        <w:trPr>
          <w:jc w:val="center"/>
        </w:trPr>
        <w:tc>
          <w:tcPr>
            <w:tcW w:w="4808" w:type="dxa"/>
            <w:tcBorders>
              <w:top w:val="nil"/>
              <w:left w:val="nil"/>
              <w:bottom w:val="nil"/>
              <w:right w:val="nil"/>
            </w:tcBorders>
          </w:tcPr>
          <w:p w14:paraId="5B142273" w14:textId="77777777" w:rsidR="00E556D6" w:rsidRDefault="00E556D6" w:rsidP="00C32A6B">
            <w:pPr>
              <w:jc w:val="center"/>
              <w:rPr>
                <w:rFonts w:eastAsia="Calibri" w:cs="Times New Roman"/>
              </w:rPr>
            </w:pPr>
            <w:r>
              <w:rPr>
                <w:rFonts w:eastAsia="Calibri" w:cs="Times New Roman"/>
              </w:rPr>
              <w:t>a)</w:t>
            </w:r>
          </w:p>
        </w:tc>
        <w:tc>
          <w:tcPr>
            <w:tcW w:w="4809" w:type="dxa"/>
            <w:tcBorders>
              <w:top w:val="nil"/>
              <w:left w:val="nil"/>
              <w:bottom w:val="nil"/>
              <w:right w:val="nil"/>
            </w:tcBorders>
          </w:tcPr>
          <w:p w14:paraId="2E7A6F9E" w14:textId="77777777" w:rsidR="00E556D6" w:rsidRDefault="00E556D6" w:rsidP="00C32A6B">
            <w:pPr>
              <w:jc w:val="center"/>
              <w:rPr>
                <w:rFonts w:eastAsia="Calibri" w:cs="Times New Roman"/>
              </w:rPr>
            </w:pPr>
            <w:r>
              <w:rPr>
                <w:rFonts w:eastAsia="Calibri" w:cs="Times New Roman"/>
              </w:rPr>
              <w:t>b)</w:t>
            </w:r>
          </w:p>
        </w:tc>
      </w:tr>
    </w:tbl>
    <w:p w14:paraId="153FD5EE" w14:textId="77777777" w:rsidR="00E556D6" w:rsidRPr="00034D1C" w:rsidRDefault="00E556D6" w:rsidP="00E556D6">
      <w:pPr>
        <w:jc w:val="center"/>
        <w:rPr>
          <w:rFonts w:eastAsia="Calibri" w:cs="Times New Roman"/>
          <w:i/>
        </w:rPr>
      </w:pPr>
      <w:bookmarkStart w:id="21" w:name="_Ref142654008"/>
      <w:bookmarkStart w:id="22" w:name="_Ref142654000"/>
      <w:r w:rsidRPr="003C6AC7">
        <w:rPr>
          <w:rFonts w:ascii="Arial" w:hAnsi="Arial"/>
          <w:i/>
          <w:sz w:val="18"/>
          <w:szCs w:val="18"/>
        </w:rPr>
        <w:t xml:space="preserve">Figure </w:t>
      </w:r>
      <w:r w:rsidRPr="003C6AC7">
        <w:rPr>
          <w:rFonts w:ascii="Arial" w:hAnsi="Arial"/>
          <w:i/>
          <w:sz w:val="18"/>
          <w:szCs w:val="18"/>
        </w:rPr>
        <w:fldChar w:fldCharType="begin"/>
      </w:r>
      <w:r w:rsidRPr="003C6AC7">
        <w:rPr>
          <w:rFonts w:ascii="Arial" w:hAnsi="Arial"/>
          <w:i/>
          <w:sz w:val="18"/>
          <w:szCs w:val="18"/>
        </w:rPr>
        <w:instrText xml:space="preserve"> SEQ Figure \* ARABIC </w:instrText>
      </w:r>
      <w:r w:rsidRPr="003C6AC7">
        <w:rPr>
          <w:rFonts w:ascii="Arial" w:hAnsi="Arial"/>
          <w:i/>
          <w:sz w:val="18"/>
          <w:szCs w:val="18"/>
        </w:rPr>
        <w:fldChar w:fldCharType="separate"/>
      </w:r>
      <w:r>
        <w:rPr>
          <w:rFonts w:ascii="Arial" w:hAnsi="Arial"/>
          <w:i/>
          <w:noProof/>
          <w:sz w:val="18"/>
          <w:szCs w:val="18"/>
        </w:rPr>
        <w:t>2</w:t>
      </w:r>
      <w:r w:rsidRPr="003C6AC7">
        <w:rPr>
          <w:rFonts w:ascii="Arial" w:hAnsi="Arial"/>
          <w:i/>
          <w:sz w:val="18"/>
          <w:szCs w:val="18"/>
        </w:rPr>
        <w:fldChar w:fldCharType="end"/>
      </w:r>
      <w:bookmarkEnd w:id="21"/>
      <w:r w:rsidRPr="003C6AC7">
        <w:rPr>
          <w:rFonts w:ascii="Arial" w:hAnsi="Arial"/>
          <w:i/>
          <w:sz w:val="18"/>
          <w:szCs w:val="18"/>
        </w:rPr>
        <w:t xml:space="preserve">. </w:t>
      </w:r>
      <w:r>
        <w:rPr>
          <w:rFonts w:ascii="Arial" w:hAnsi="Arial"/>
          <w:i/>
          <w:sz w:val="18"/>
          <w:szCs w:val="18"/>
        </w:rPr>
        <w:t>Polar scatter plots c</w:t>
      </w:r>
      <w:r w:rsidRPr="003C6AC7">
        <w:rPr>
          <w:rFonts w:ascii="Arial" w:hAnsi="Arial"/>
          <w:i/>
          <w:sz w:val="18"/>
          <w:szCs w:val="18"/>
        </w:rPr>
        <w:t>omparing two methods of delay correlation calculation</w:t>
      </w:r>
      <w:r>
        <w:rPr>
          <w:rFonts w:ascii="Arial" w:hAnsi="Arial"/>
          <w:i/>
          <w:sz w:val="18"/>
          <w:szCs w:val="18"/>
        </w:rPr>
        <w:t xml:space="preserve"> for two TDCP configurations</w:t>
      </w:r>
      <w:r w:rsidRPr="003C6AC7">
        <w:rPr>
          <w:i/>
        </w:rPr>
        <w:t>.</w:t>
      </w:r>
      <w:bookmarkEnd w:id="22"/>
    </w:p>
    <w:p w14:paraId="4CFED9B0" w14:textId="77777777" w:rsidR="00E556D6" w:rsidRPr="00EC5B92" w:rsidRDefault="00E556D6" w:rsidP="00E556D6">
      <w:pPr>
        <w:pStyle w:val="RAN4observation0"/>
        <w:ind w:left="360" w:hanging="360"/>
      </w:pPr>
      <w:bookmarkStart w:id="23" w:name="_Toc146733092"/>
      <w:bookmarkStart w:id="24" w:name="_Toc146734751"/>
      <w:r>
        <w:t>Choice of a method of TDCP calculation can influence the reported TDCP measurements.</w:t>
      </w:r>
      <w:bookmarkEnd w:id="23"/>
      <w:bookmarkEnd w:id="24"/>
    </w:p>
    <w:p w14:paraId="77B9C388" w14:textId="76BD1085" w:rsidR="00830A39" w:rsidRDefault="0011055F" w:rsidP="00830A39">
      <w:pPr>
        <w:rPr>
          <w:lang w:val="en-GB"/>
        </w:rPr>
      </w:pPr>
      <w:r>
        <w:rPr>
          <w:lang w:val="en-GB"/>
        </w:rPr>
        <w:t xml:space="preserve">From the simulation results in </w:t>
      </w:r>
      <w:r>
        <w:rPr>
          <w:lang w:val="en-GB"/>
        </w:rPr>
        <w:fldChar w:fldCharType="begin"/>
      </w:r>
      <w:r>
        <w:rPr>
          <w:lang w:val="en-GB"/>
        </w:rPr>
        <w:instrText xml:space="preserve"> REF _Ref146038026 \r \h </w:instrText>
      </w:r>
      <w:r>
        <w:rPr>
          <w:lang w:val="en-GB"/>
        </w:rPr>
      </w:r>
      <w:r>
        <w:rPr>
          <w:lang w:val="en-GB"/>
        </w:rPr>
        <w:fldChar w:fldCharType="separate"/>
      </w:r>
      <w:r w:rsidR="008E0034">
        <w:rPr>
          <w:lang w:val="en-GB"/>
        </w:rPr>
        <w:t>[</w:t>
      </w:r>
      <w:r w:rsidR="004248D0">
        <w:rPr>
          <w:lang w:val="en-GB"/>
        </w:rPr>
        <w:t>2</w:t>
      </w:r>
      <w:r w:rsidR="008E0034">
        <w:rPr>
          <w:lang w:val="en-GB"/>
        </w:rPr>
        <w:t>]</w:t>
      </w:r>
      <w:r>
        <w:rPr>
          <w:lang w:val="en-GB"/>
        </w:rPr>
        <w:fldChar w:fldCharType="end"/>
      </w:r>
      <w:r>
        <w:rPr>
          <w:lang w:val="en-GB"/>
        </w:rPr>
        <w:t xml:space="preserve">, </w:t>
      </w:r>
      <w:r>
        <w:t>the TDCP report</w:t>
      </w:r>
      <w:r w:rsidR="00E960D5">
        <w:t>s</w:t>
      </w:r>
      <w:r>
        <w:t xml:space="preserve"> concentrate at |A(l)|=1 and angle(A(l)) = 0 for low UE speeds</w:t>
      </w:r>
      <w:r w:rsidR="002B4CEF">
        <w:t>, w</w:t>
      </w:r>
      <w:r>
        <w:t xml:space="preserve">hile the amplitude |A(l)| decreases as the UE speed increases. As the speed increases, it is also possible to observe that the spread of the amplitude of |A(l)| also increases in the </w:t>
      </w:r>
      <w:r w:rsidRPr="00652FDC">
        <w:t>polar scatterplot</w:t>
      </w:r>
      <w:r>
        <w:t>s</w:t>
      </w:r>
      <w:r w:rsidRPr="00652FDC">
        <w:t xml:space="preserve"> of the correlation values for </w:t>
      </w:r>
      <w:r>
        <w:t xml:space="preserve">TDCP. Which is also in line with the decision from RAN1 to assign less quantization levels to smaller amplitude of |A(l)|. In this situation, also the phase of A(l) is used for helping on the detection of mobility, In the CDFs at the appendix of </w:t>
      </w:r>
      <w:r>
        <w:rPr>
          <w:lang w:val="en-GB"/>
        </w:rPr>
        <w:fldChar w:fldCharType="begin"/>
      </w:r>
      <w:r>
        <w:rPr>
          <w:lang w:val="en-GB"/>
        </w:rPr>
        <w:instrText xml:space="preserve"> REF _Ref146038026 \r \h </w:instrText>
      </w:r>
      <w:r>
        <w:rPr>
          <w:lang w:val="en-GB"/>
        </w:rPr>
      </w:r>
      <w:r>
        <w:rPr>
          <w:lang w:val="en-GB"/>
        </w:rPr>
        <w:fldChar w:fldCharType="separate"/>
      </w:r>
      <w:r>
        <w:rPr>
          <w:lang w:val="en-GB"/>
        </w:rPr>
        <w:t>[8]</w:t>
      </w:r>
      <w:r>
        <w:rPr>
          <w:lang w:val="en-GB"/>
        </w:rPr>
        <w:fldChar w:fldCharType="end"/>
      </w:r>
      <w:r>
        <w:t xml:space="preserve"> it is possible to observe a large spread of phase of A(l) for larger speeds.</w:t>
      </w:r>
    </w:p>
    <w:p w14:paraId="6D7B9FA5" w14:textId="77777777" w:rsidR="007539A3" w:rsidRPr="002F2062" w:rsidRDefault="007539A3" w:rsidP="00796A38"/>
    <w:tbl>
      <w:tblPr>
        <w:tblStyle w:val="TableGrid"/>
        <w:tblW w:w="0" w:type="auto"/>
        <w:tblLook w:val="04A0" w:firstRow="1" w:lastRow="0" w:firstColumn="1" w:lastColumn="0" w:noHBand="0" w:noVBand="1"/>
      </w:tblPr>
      <w:tblGrid>
        <w:gridCol w:w="9617"/>
      </w:tblGrid>
      <w:tr w:rsidR="00A27028" w14:paraId="60C43E68" w14:textId="77777777" w:rsidTr="00A27028">
        <w:tc>
          <w:tcPr>
            <w:tcW w:w="0" w:type="auto"/>
          </w:tcPr>
          <w:p w14:paraId="287BC309" w14:textId="77777777" w:rsidR="00A27028" w:rsidRDefault="00A27028" w:rsidP="00A27028">
            <w:pPr>
              <w:pStyle w:val="B1"/>
              <w:ind w:left="0" w:firstLine="0"/>
              <w:rPr>
                <w:b/>
                <w:u w:val="single"/>
              </w:rPr>
            </w:pPr>
            <w:r>
              <w:rPr>
                <w:b/>
                <w:u w:val="single"/>
              </w:rPr>
              <w:t>Issue 1-1-2: Whether to define TDCP measurement accuracy requirements?</w:t>
            </w:r>
          </w:p>
          <w:p w14:paraId="2EF601DE" w14:textId="77777777" w:rsidR="00A27028" w:rsidRDefault="00A27028" w:rsidP="00A27028">
            <w:pPr>
              <w:pStyle w:val="B1"/>
              <w:ind w:left="0" w:firstLine="0"/>
              <w:rPr>
                <w:lang w:eastAsia="zh-CN"/>
              </w:rPr>
            </w:pPr>
            <w:r>
              <w:rPr>
                <w:b/>
                <w:lang w:eastAsia="zh-CN"/>
              </w:rPr>
              <w:t>Agreement</w:t>
            </w:r>
            <w:r>
              <w:rPr>
                <w:lang w:eastAsia="zh-CN"/>
              </w:rPr>
              <w:t>:</w:t>
            </w:r>
          </w:p>
          <w:p w14:paraId="2EB27412" w14:textId="294AFFC0" w:rsidR="00A27028" w:rsidRPr="004610AC" w:rsidRDefault="00A27028" w:rsidP="00A27028">
            <w:pPr>
              <w:pStyle w:val="ListParagraph"/>
              <w:numPr>
                <w:ilvl w:val="1"/>
                <w:numId w:val="27"/>
              </w:numPr>
              <w:spacing w:after="120" w:line="252" w:lineRule="auto"/>
              <w:contextualSpacing w:val="0"/>
            </w:pPr>
            <w:r w:rsidRPr="004610AC">
              <w:rPr>
                <w:bCs/>
              </w:rPr>
              <w:t xml:space="preserve">Further identify feasibility of methodology and test setup to define TDCP accuracy requirements including </w:t>
            </w:r>
            <w:r w:rsidRPr="004610AC">
              <w:t>at</w:t>
            </w:r>
            <w:r w:rsidRPr="004610AC">
              <w:rPr>
                <w:bCs/>
              </w:rPr>
              <w:t xml:space="preserve"> </w:t>
            </w:r>
            <w:r w:rsidRPr="004610AC">
              <w:t>least ideal TDCP definition, channel models</w:t>
            </w:r>
          </w:p>
          <w:p w14:paraId="64064CFC" w14:textId="44676571" w:rsidR="00A27028" w:rsidRDefault="00A27028" w:rsidP="00796A38">
            <w:pPr>
              <w:pStyle w:val="ListParagraph"/>
              <w:numPr>
                <w:ilvl w:val="1"/>
                <w:numId w:val="27"/>
              </w:numPr>
              <w:spacing w:after="120" w:line="252" w:lineRule="auto"/>
              <w:contextualSpacing w:val="0"/>
            </w:pPr>
            <w:r>
              <w:rPr>
                <w:bCs/>
              </w:rPr>
              <w:t>Define TDCP accuracy requirements subject to conclusions of feasibility analysis</w:t>
            </w:r>
          </w:p>
        </w:tc>
      </w:tr>
    </w:tbl>
    <w:p w14:paraId="5794DA09" w14:textId="28705E62" w:rsidR="00D80CA5" w:rsidRDefault="001202BF" w:rsidP="00D80CA5">
      <w:pPr>
        <w:jc w:val="both"/>
      </w:pPr>
      <w:r>
        <w:br/>
      </w:r>
      <w:r w:rsidR="00D80CA5" w:rsidRPr="00F16129">
        <w:t xml:space="preserve">To establish the accuracy requirements, the measurements must be compared to a baseline (ideal). </w:t>
      </w:r>
      <w:r w:rsidR="00D80CA5">
        <w:rPr>
          <w:rFonts w:eastAsia="Times New Roman"/>
        </w:rPr>
        <w:t xml:space="preserve">The wireless channel experiences time-varying multipath fading due to the movement of the UE. </w:t>
      </w:r>
      <w:r w:rsidR="00D80CA5" w:rsidRPr="00F16129">
        <w:t>The expected (ideal) value is a function of the UE speed, the details of the channel model, and the noise level. From the results above, the noise level is shown to affect the amplitude. If the channel is a frequency flat, there are many arrivals at the UE, and the distribution of the angles is uniform (i.e., there is a rich scattering environment near the UE), then the theoretical time correlation is the Bessel function which yields the classic Doppler spectrum.  If this were the case, the Bessel function values could be used as the ideal correlation values but would need to be degraded according to the SNR.</w:t>
      </w:r>
      <w:r w:rsidR="00D80CA5">
        <w:t xml:space="preserve"> </w:t>
      </w:r>
    </w:p>
    <w:p w14:paraId="047D69D5" w14:textId="77777777" w:rsidR="00D80CA5" w:rsidRDefault="00D80CA5" w:rsidP="00D80CA5">
      <w:pPr>
        <w:jc w:val="both"/>
      </w:pPr>
      <w:r>
        <w:t xml:space="preserve">RRM accuracy requirements for TDCP can be useful for guaranteeing the performance of the reports in the field, just like other reporting like L1-RSRP, L1-SINR. However, the mapping to a testable environment of a theoretical TDCP value is </w:t>
      </w:r>
      <w:r>
        <w:lastRenderedPageBreak/>
        <w:t xml:space="preserve">still not clear. Therefore, it is needed to define a methodology which can be used for determining the ideal value of the TDCP measurement, including also the formula used for calculating the TDCP value. </w:t>
      </w:r>
    </w:p>
    <w:p w14:paraId="3CCF6FE9" w14:textId="77777777" w:rsidR="00D975C8" w:rsidRDefault="00D975C8" w:rsidP="00D975C8">
      <w:pPr>
        <w:pStyle w:val="RAN4observation0"/>
      </w:pPr>
      <w:bookmarkStart w:id="25" w:name="_Toc142669941"/>
      <w:bookmarkStart w:id="26" w:name="_Toc146734752"/>
      <w:r>
        <w:t>So far there is no clear methodology for determining the ideal TDCP value.</w:t>
      </w:r>
      <w:bookmarkEnd w:id="25"/>
      <w:bookmarkEnd w:id="26"/>
      <w:r>
        <w:t xml:space="preserve"> </w:t>
      </w:r>
    </w:p>
    <w:p w14:paraId="1ADBC3DB" w14:textId="77777777" w:rsidR="001E1353" w:rsidRPr="00756036" w:rsidRDefault="001E1353" w:rsidP="00756036">
      <w:pPr>
        <w:pStyle w:val="RAN4proposal"/>
      </w:pPr>
      <w:bookmarkStart w:id="27" w:name="_Toc142669942"/>
      <w:bookmarkStart w:id="28" w:name="_Toc146734753"/>
      <w:r w:rsidRPr="00756036">
        <w:t>RAN4 to study how to determine the ideal value for TDCP for the accuracy requirements.</w:t>
      </w:r>
      <w:bookmarkEnd w:id="27"/>
      <w:bookmarkEnd w:id="28"/>
      <w:r w:rsidRPr="00756036">
        <w:t xml:space="preserve"> </w:t>
      </w:r>
    </w:p>
    <w:p w14:paraId="1BD39670" w14:textId="086048EE" w:rsidR="002C496E" w:rsidRPr="001F6512" w:rsidRDefault="002C496E" w:rsidP="001F6512">
      <w:pPr>
        <w:pStyle w:val="RAN4proposal"/>
      </w:pPr>
      <w:bookmarkStart w:id="29" w:name="_Toc142669943"/>
      <w:bookmarkStart w:id="30" w:name="_Toc146733095"/>
      <w:bookmarkStart w:id="31" w:name="_Toc146734754"/>
      <w:bookmarkStart w:id="32" w:name="_Hlk146733583"/>
      <w:r w:rsidRPr="001F6512">
        <w:t xml:space="preserve">RAN4 to define TDCP accuracy requirements assuming TDCP coefficient </w:t>
      </w:r>
      <m:oMath>
        <m:r>
          <m:rPr>
            <m:sty m:val="bi"/>
          </m:rPr>
          <w:rPr>
            <w:rFonts w:ascii="Cambria Math" w:hAnsi="Cambria Math"/>
          </w:rPr>
          <m:t>A</m:t>
        </m:r>
        <m:r>
          <m:rPr>
            <m:sty m:val="b"/>
          </m:rPr>
          <w:rPr>
            <w:rFonts w:ascii="Cambria Math" w:hAnsi="Cambria Math"/>
          </w:rPr>
          <m:t>(</m:t>
        </m:r>
        <m:r>
          <m:rPr>
            <m:sty m:val="bi"/>
          </m:rPr>
          <w:rPr>
            <w:rFonts w:ascii="Cambria Math" w:hAnsi="Cambria Math"/>
          </w:rPr>
          <m:t>l</m:t>
        </m:r>
        <m:r>
          <m:rPr>
            <m:sty m:val="b"/>
          </m:rPr>
          <w:rPr>
            <w:rFonts w:ascii="Cambria Math" w:hAnsi="Cambria Math"/>
          </w:rPr>
          <m:t>)</m:t>
        </m:r>
      </m:oMath>
      <w:r w:rsidRPr="001F6512">
        <w:t xml:space="preserve"> for lag </w:t>
      </w:r>
      <m:oMath>
        <m:r>
          <m:rPr>
            <m:sty m:val="bi"/>
          </m:rPr>
          <w:rPr>
            <w:rFonts w:ascii="Cambria Math" w:hAnsi="Cambria Math"/>
          </w:rPr>
          <m:t>l</m:t>
        </m:r>
      </m:oMath>
      <w:r w:rsidRPr="001F6512">
        <w:t xml:space="preserve"> calculated as</w:t>
      </w:r>
      <w:bookmarkEnd w:id="29"/>
      <w:bookmarkEnd w:id="30"/>
      <w:bookmarkEnd w:id="31"/>
      <w:r w:rsidR="00881551" w:rsidRPr="001F6512">
        <w:t xml:space="preserve"> </w:t>
      </w:r>
      <w:bookmarkStart w:id="33" w:name="_Toc142669944"/>
      <w:bookmarkStart w:id="34" w:name="_Toc146733096"/>
      <w:bookmarkStart w:id="35" w:name="_Toc146734755"/>
      <w:bookmarkEnd w:id="32"/>
      <m:oMath>
        <m:r>
          <m:rPr>
            <m:sty m:val="bi"/>
          </m:rPr>
          <w:rPr>
            <w:rFonts w:ascii="Cambria Math" w:hAnsi="Cambria Math"/>
          </w:rPr>
          <m:t>A</m:t>
        </m:r>
        <m:d>
          <m:dPr>
            <m:ctrlPr>
              <w:rPr>
                <w:rFonts w:ascii="Cambria Math" w:hAnsi="Cambria Math"/>
              </w:rPr>
            </m:ctrlPr>
          </m:dPr>
          <m:e>
            <m:r>
              <m:rPr>
                <m:sty m:val="bi"/>
              </m:rPr>
              <w:rPr>
                <w:rFonts w:ascii="Cambria Math" w:hAnsi="Cambria Math"/>
              </w:rPr>
              <m:t>l</m:t>
            </m:r>
          </m:e>
        </m:d>
        <m:r>
          <m:rPr>
            <m:sty m:val="b"/>
          </m:rPr>
          <w:rPr>
            <w:rFonts w:ascii="Cambria Math" w:hAnsi="Cambria Math"/>
          </w:rPr>
          <m:t>=</m:t>
        </m:r>
        <m:f>
          <m:fPr>
            <m:ctrlPr>
              <w:rPr>
                <w:rFonts w:ascii="Cambria Math" w:hAnsi="Cambria Math"/>
              </w:rPr>
            </m:ctrlPr>
          </m:fPr>
          <m:num>
            <m:r>
              <m:rPr>
                <m:sty m:val="bi"/>
              </m:rPr>
              <w:rPr>
                <w:rFonts w:ascii="Cambria Math" w:hAnsi="Cambria Math"/>
              </w:rPr>
              <m:t>c</m:t>
            </m:r>
            <m:r>
              <m:rPr>
                <m:sty m:val="b"/>
              </m:rPr>
              <w:rPr>
                <w:rFonts w:ascii="Cambria Math" w:hAnsi="Cambria Math"/>
              </w:rPr>
              <m:t>(</m:t>
            </m:r>
            <m:r>
              <m:rPr>
                <m:sty m:val="bi"/>
              </m:rPr>
              <w:rPr>
                <w:rFonts w:ascii="Cambria Math" w:hAnsi="Cambria Math"/>
              </w:rPr>
              <m:t>l</m:t>
            </m:r>
            <m:r>
              <m:rPr>
                <m:sty m:val="b"/>
              </m:rPr>
              <w:rPr>
                <w:rFonts w:ascii="Cambria Math" w:hAnsi="Cambria Math"/>
              </w:rPr>
              <m:t>)</m:t>
            </m:r>
          </m:num>
          <m:den>
            <m:r>
              <m:rPr>
                <m:sty m:val="bi"/>
              </m:rPr>
              <w:rPr>
                <w:rFonts w:ascii="Cambria Math" w:hAnsi="Cambria Math"/>
              </w:rPr>
              <m:t>c</m:t>
            </m:r>
            <m:r>
              <m:rPr>
                <m:sty m:val="b"/>
              </m:rPr>
              <w:rPr>
                <w:rFonts w:ascii="Cambria Math" w:hAnsi="Cambria Math"/>
              </w:rPr>
              <m:t>(0)</m:t>
            </m:r>
          </m:den>
        </m:f>
      </m:oMath>
      <w:r w:rsidRPr="001F6512">
        <w:t xml:space="preserve">, where </w:t>
      </w:r>
      <m:oMath>
        <m:r>
          <m:rPr>
            <m:sty m:val="bi"/>
          </m:rPr>
          <w:rPr>
            <w:rFonts w:ascii="Cambria Math" w:hAnsi="Cambria Math"/>
          </w:rPr>
          <m:t>c</m:t>
        </m:r>
        <m:d>
          <m:dPr>
            <m:ctrlPr>
              <w:rPr>
                <w:rFonts w:ascii="Cambria Math" w:hAnsi="Cambria Math"/>
              </w:rPr>
            </m:ctrlPr>
          </m:dPr>
          <m:e>
            <m:r>
              <m:rPr>
                <m:sty m:val="bi"/>
              </m:rPr>
              <w:rPr>
                <w:rFonts w:ascii="Cambria Math" w:hAnsi="Cambria Math"/>
              </w:rPr>
              <m:t>l</m:t>
            </m:r>
          </m:e>
        </m:d>
        <m:r>
          <m:rPr>
            <m:sty m:val="b"/>
          </m:rPr>
          <w:rPr>
            <w:rFonts w:ascii="Cambria Math" w:hAnsi="Cambria Math"/>
          </w:rPr>
          <m:t>=</m:t>
        </m:r>
        <m:f>
          <m:fPr>
            <m:ctrlPr>
              <w:rPr>
                <w:rFonts w:ascii="Cambria Math" w:hAnsi="Cambria Math"/>
              </w:rPr>
            </m:ctrlPr>
          </m:fPr>
          <m:num>
            <m:r>
              <m:rPr>
                <m:sty m:val="b"/>
              </m:rPr>
              <w:rPr>
                <w:rFonts w:ascii="Cambria Math" w:hAnsi="Cambria Math"/>
              </w:rPr>
              <m:t>1</m:t>
            </m:r>
          </m:num>
          <m:den>
            <m:r>
              <m:rPr>
                <m:sty m:val="bi"/>
              </m:rPr>
              <w:rPr>
                <w:rFonts w:ascii="Cambria Math" w:hAnsi="Cambria Math"/>
              </w:rPr>
              <m:t>N</m:t>
            </m:r>
          </m:den>
        </m:f>
        <m:nary>
          <m:naryPr>
            <m:chr m:val="∑"/>
            <m:ctrlPr>
              <w:rPr>
                <w:rFonts w:ascii="Cambria Math" w:hAnsi="Cambria Math"/>
              </w:rPr>
            </m:ctrlPr>
          </m:naryPr>
          <m:sub>
            <m:r>
              <m:rPr>
                <m:sty m:val="bi"/>
              </m:rPr>
              <w:rPr>
                <w:rFonts w:ascii="Cambria Math" w:hAnsi="Cambria Math"/>
              </w:rPr>
              <m:t>n</m:t>
            </m:r>
            <m:r>
              <m:rPr>
                <m:sty m:val="b"/>
              </m:rPr>
              <w:rPr>
                <w:rFonts w:ascii="Cambria Math" w:hAnsi="Cambria Math"/>
              </w:rPr>
              <m:t>=0</m:t>
            </m:r>
          </m:sub>
          <m:sup>
            <m:r>
              <m:rPr>
                <m:sty m:val="bi"/>
              </m:rPr>
              <w:rPr>
                <w:rFonts w:ascii="Cambria Math" w:hAnsi="Cambria Math"/>
              </w:rPr>
              <m:t>N</m:t>
            </m:r>
            <m:r>
              <m:rPr>
                <m:sty m:val="b"/>
              </m:rPr>
              <w:rPr>
                <w:rFonts w:ascii="Cambria Math" w:hAnsi="Cambria Math"/>
              </w:rPr>
              <m:t>-1</m:t>
            </m:r>
          </m:sup>
          <m:e>
            <m:f>
              <m:fPr>
                <m:ctrlPr>
                  <w:rPr>
                    <w:rFonts w:ascii="Cambria Math" w:hAnsi="Cambria Math"/>
                  </w:rPr>
                </m:ctrlPr>
              </m:fPr>
              <m:num>
                <m:r>
                  <m:rPr>
                    <m:sty m:val="b"/>
                  </m:rPr>
                  <w:rPr>
                    <w:rFonts w:ascii="Cambria Math" w:hAnsi="Cambria Math"/>
                  </w:rPr>
                  <m:t>1</m:t>
                </m:r>
              </m:num>
              <m:den>
                <m:r>
                  <m:rPr>
                    <m:sty m:val="bi"/>
                  </m:rPr>
                  <w:rPr>
                    <w:rFonts w:ascii="Cambria Math" w:hAnsi="Cambria Math"/>
                  </w:rPr>
                  <m:t>B</m:t>
                </m:r>
                <m:r>
                  <m:rPr>
                    <m:sty m:val="b"/>
                  </m:rPr>
                  <w:rPr>
                    <w:rFonts w:ascii="Cambria Math" w:hAnsi="Cambria Math"/>
                  </w:rPr>
                  <m:t>-</m:t>
                </m:r>
                <m:r>
                  <m:rPr>
                    <m:sty m:val="bi"/>
                  </m:rPr>
                  <w:rPr>
                    <w:rFonts w:ascii="Cambria Math" w:hAnsi="Cambria Math"/>
                  </w:rPr>
                  <m:t>l</m:t>
                </m:r>
              </m:den>
            </m:f>
            <m:nary>
              <m:naryPr>
                <m:chr m:val="∑"/>
                <m:ctrlPr>
                  <w:rPr>
                    <w:rFonts w:ascii="Cambria Math" w:hAnsi="Cambria Math"/>
                  </w:rPr>
                </m:ctrlPr>
              </m:naryPr>
              <m:sub>
                <m:r>
                  <m:rPr>
                    <m:sty m:val="bi"/>
                  </m:rPr>
                  <w:rPr>
                    <w:rFonts w:ascii="Cambria Math" w:hAnsi="Cambria Math"/>
                  </w:rPr>
                  <m:t>k</m:t>
                </m:r>
                <m:r>
                  <m:rPr>
                    <m:sty m:val="b"/>
                  </m:rPr>
                  <w:rPr>
                    <w:rFonts w:ascii="Cambria Math" w:hAnsi="Cambria Math"/>
                  </w:rPr>
                  <m:t>=</m:t>
                </m:r>
                <m:sSub>
                  <m:sSubPr>
                    <m:ctrlPr>
                      <w:rPr>
                        <w:rFonts w:ascii="Cambria Math" w:hAnsi="Cambria Math"/>
                      </w:rPr>
                    </m:ctrlPr>
                  </m:sSubPr>
                  <m:e>
                    <m:r>
                      <m:rPr>
                        <m:sty m:val="bi"/>
                      </m:rPr>
                      <w:rPr>
                        <w:rFonts w:ascii="Cambria Math" w:hAnsi="Cambria Math"/>
                      </w:rPr>
                      <m:t>k</m:t>
                    </m:r>
                  </m:e>
                  <m:sub>
                    <m:r>
                      <m:rPr>
                        <m:sty m:val="b"/>
                      </m:rPr>
                      <w:rPr>
                        <w:rFonts w:ascii="Cambria Math" w:hAnsi="Cambria Math"/>
                      </w:rPr>
                      <m:t>0</m:t>
                    </m:r>
                  </m:sub>
                </m:sSub>
              </m:sub>
              <m:sup>
                <m:sSub>
                  <m:sSubPr>
                    <m:ctrlPr>
                      <w:rPr>
                        <w:rFonts w:ascii="Cambria Math" w:hAnsi="Cambria Math"/>
                      </w:rPr>
                    </m:ctrlPr>
                  </m:sSubPr>
                  <m:e>
                    <m:r>
                      <m:rPr>
                        <m:sty m:val="bi"/>
                      </m:rPr>
                      <w:rPr>
                        <w:rFonts w:ascii="Cambria Math" w:hAnsi="Cambria Math"/>
                      </w:rPr>
                      <m:t>k</m:t>
                    </m:r>
                  </m:e>
                  <m:sub>
                    <m:r>
                      <m:rPr>
                        <m:sty m:val="b"/>
                      </m:rPr>
                      <w:rPr>
                        <w:rFonts w:ascii="Cambria Math" w:hAnsi="Cambria Math"/>
                      </w:rPr>
                      <m:t>0</m:t>
                    </m:r>
                  </m:sub>
                </m:sSub>
                <m:r>
                  <m:rPr>
                    <m:sty m:val="b"/>
                  </m:rPr>
                  <w:rPr>
                    <w:rFonts w:ascii="Cambria Math" w:hAnsi="Cambria Math"/>
                  </w:rPr>
                  <m:t>+</m:t>
                </m:r>
                <m:r>
                  <m:rPr>
                    <m:sty m:val="bi"/>
                  </m:rPr>
                  <w:rPr>
                    <w:rFonts w:ascii="Cambria Math" w:hAnsi="Cambria Math"/>
                  </w:rPr>
                  <m:t>B</m:t>
                </m:r>
                <m:r>
                  <m:rPr>
                    <m:sty m:val="b"/>
                  </m:rPr>
                  <w:rPr>
                    <w:rFonts w:ascii="Cambria Math" w:hAnsi="Cambria Math"/>
                  </w:rPr>
                  <m:t>-1-</m:t>
                </m:r>
                <m:r>
                  <m:rPr>
                    <m:sty m:val="bi"/>
                  </m:rPr>
                  <w:rPr>
                    <w:rFonts w:ascii="Cambria Math" w:hAnsi="Cambria Math"/>
                  </w:rPr>
                  <m:t>l</m:t>
                </m:r>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r>
                      <m:rPr>
                        <m:sty m:val="bi"/>
                      </m:rPr>
                      <w:rPr>
                        <w:rFonts w:ascii="Cambria Math" w:hAnsi="Cambria Math"/>
                      </w:rPr>
                      <m:t>l</m:t>
                    </m:r>
                  </m:e>
                </m:d>
                <m:sSubSup>
                  <m:sSubSupPr>
                    <m:ctrlPr>
                      <w:rPr>
                        <w:rFonts w:ascii="Cambria Math" w:hAnsi="Cambria Math"/>
                      </w:rPr>
                    </m:ctrlPr>
                  </m:sSubSupPr>
                  <m:e>
                    <m:r>
                      <m:rPr>
                        <m:sty m:val="bi"/>
                      </m:rPr>
                      <w:rPr>
                        <w:rFonts w:ascii="Cambria Math" w:hAnsi="Cambria Math"/>
                      </w:rPr>
                      <m:t>h</m:t>
                    </m:r>
                  </m:e>
                  <m:sub>
                    <m:r>
                      <m:rPr>
                        <m:sty m:val="bi"/>
                      </m:rPr>
                      <w:rPr>
                        <w:rFonts w:ascii="Cambria Math" w:hAnsi="Cambria Math"/>
                      </w:rPr>
                      <m:t>n</m:t>
                    </m:r>
                  </m:sub>
                  <m:sup>
                    <m:r>
                      <m:rPr>
                        <m:sty m:val="b"/>
                      </m:rPr>
                      <w:rPr>
                        <w:rFonts w:ascii="Cambria Math" w:hAnsi="Cambria Math"/>
                      </w:rPr>
                      <m:t>*</m:t>
                    </m:r>
                  </m:sup>
                </m:sSubSup>
                <m:r>
                  <m:rPr>
                    <m:sty m:val="b"/>
                  </m:rPr>
                  <w:rPr>
                    <w:rFonts w:ascii="Cambria Math" w:hAnsi="Cambria Math"/>
                  </w:rPr>
                  <m:t>(</m:t>
                </m:r>
                <m:r>
                  <m:rPr>
                    <m:sty m:val="bi"/>
                  </m:rPr>
                  <w:rPr>
                    <w:rFonts w:ascii="Cambria Math" w:hAnsi="Cambria Math"/>
                  </w:rPr>
                  <m:t>k</m:t>
                </m:r>
                <m:r>
                  <m:rPr>
                    <m:sty m:val="b"/>
                  </m:rPr>
                  <w:rPr>
                    <w:rFonts w:ascii="Cambria Math" w:hAnsi="Cambria Math"/>
                  </w:rPr>
                  <m:t>)</m:t>
                </m:r>
              </m:e>
            </m:nary>
          </m:e>
        </m:nary>
        <m:r>
          <m:rPr>
            <m:sty m:val="b"/>
          </m:rPr>
          <w:rPr>
            <w:rFonts w:ascii="Cambria Math" w:hAnsi="Cambria Math"/>
          </w:rPr>
          <m:t xml:space="preserve">,    </m:t>
        </m:r>
        <m:r>
          <m:rPr>
            <m:sty m:val="bi"/>
          </m:rPr>
          <w:rPr>
            <w:rFonts w:ascii="Cambria Math" w:hAnsi="Cambria Math"/>
          </w:rPr>
          <m:t>l</m:t>
        </m:r>
        <m:r>
          <m:rPr>
            <m:sty m:val="b"/>
          </m:rPr>
          <w:rPr>
            <w:rFonts w:ascii="Cambria Math" w:hAnsi="Cambria Math"/>
          </w:rPr>
          <m:t>=0,…,</m:t>
        </m:r>
        <m:r>
          <m:rPr>
            <m:sty m:val="bi"/>
          </m:rPr>
          <w:rPr>
            <w:rFonts w:ascii="Cambria Math" w:hAnsi="Cambria Math"/>
          </w:rPr>
          <m:t>B</m:t>
        </m:r>
        <m:r>
          <m:rPr>
            <m:sty m:val="b"/>
          </m:rPr>
          <w:rPr>
            <w:rFonts w:ascii="Cambria Math" w:hAnsi="Cambria Math"/>
          </w:rPr>
          <m:t>-1</m:t>
        </m:r>
      </m:oMath>
      <w:bookmarkEnd w:id="33"/>
      <w:bookmarkEnd w:id="34"/>
      <w:bookmarkEnd w:id="35"/>
    </w:p>
    <w:p w14:paraId="275A1DA4" w14:textId="77777777" w:rsidR="00805A98" w:rsidRDefault="00805A98" w:rsidP="00805A98">
      <w:r w:rsidRPr="0089000E">
        <w:rPr>
          <w:rFonts w:cs="Times New Roman"/>
          <w:szCs w:val="20"/>
        </w:rPr>
        <w:t xml:space="preserve">RAN1 has defined for TDCP, a nonuniform quantization of the wideband normalized amplitude that has the alphabet given by; </w:t>
      </w:r>
      <m:oMath>
        <m:r>
          <w:rPr>
            <w:rFonts w:ascii="Cambria Math" w:hAnsi="Cambria Math" w:cs="Times New Roman"/>
            <w:szCs w:val="20"/>
          </w:rPr>
          <m:t>{</m:t>
        </m:r>
        <m:r>
          <w:rPr>
            <w:rFonts w:ascii="Cambria Math" w:hAnsi="Cambria Math" w:cs="Times New Roman"/>
            <w:szCs w:val="20"/>
            <w:lang w:eastAsia="x-none"/>
          </w:rPr>
          <m:t>1-</m:t>
        </m:r>
        <m:sSup>
          <m:sSupPr>
            <m:ctrlPr>
              <w:rPr>
                <w:rFonts w:ascii="Cambria Math" w:hAnsi="Cambria Math" w:cs="Times New Roman"/>
                <w:i/>
                <w:szCs w:val="20"/>
                <w:lang w:eastAsia="x-none"/>
              </w:rPr>
            </m:ctrlPr>
          </m:sSupPr>
          <m:e>
            <m:r>
              <w:rPr>
                <w:rFonts w:ascii="Cambria Math" w:hAnsi="Cambria Math" w:cs="Times New Roman"/>
                <w:szCs w:val="20"/>
                <w:lang w:eastAsia="x-none"/>
              </w:rPr>
              <m:t>2</m:t>
            </m:r>
          </m:e>
          <m:sup>
            <m:r>
              <w:rPr>
                <w:rFonts w:ascii="Cambria Math" w:hAnsi="Cambria Math" w:cs="Times New Roman"/>
                <w:szCs w:val="20"/>
                <w:lang w:eastAsia="x-none"/>
              </w:rPr>
              <m:t>-</m:t>
            </m:r>
            <m:d>
              <m:dPr>
                <m:ctrlPr>
                  <w:rPr>
                    <w:rFonts w:ascii="Cambria Math" w:hAnsi="Cambria Math" w:cs="Times New Roman"/>
                    <w:i/>
                    <w:szCs w:val="20"/>
                    <w:lang w:eastAsia="x-none"/>
                  </w:rPr>
                </m:ctrlPr>
              </m:dPr>
              <m:e>
                <m:r>
                  <w:rPr>
                    <w:rFonts w:ascii="Cambria Math" w:hAnsi="Cambria Math" w:cs="Times New Roman"/>
                    <w:szCs w:val="20"/>
                    <w:lang w:eastAsia="x-none"/>
                  </w:rPr>
                  <m:t>16-q</m:t>
                </m:r>
              </m:e>
            </m:d>
            <m:r>
              <w:rPr>
                <w:rFonts w:ascii="Cambria Math" w:hAnsi="Cambria Math" w:cs="Times New Roman"/>
                <w:szCs w:val="20"/>
                <w:lang w:eastAsia="x-none"/>
              </w:rPr>
              <m:t>/2</m:t>
            </m:r>
          </m:sup>
        </m:sSup>
        <m:r>
          <w:rPr>
            <w:rFonts w:ascii="Cambria Math" w:hAnsi="Cambria Math" w:cs="Times New Roman"/>
            <w:szCs w:val="20"/>
            <w:lang w:eastAsia="x-none"/>
          </w:rPr>
          <m:t xml:space="preserve">} </m:t>
        </m:r>
      </m:oMath>
      <w:r w:rsidRPr="00A95F4F">
        <w:rPr>
          <w:rFonts w:eastAsiaTheme="minorEastAsia" w:cs="Times New Roman"/>
          <w:szCs w:val="20"/>
          <w:lang w:eastAsia="x-none"/>
        </w:rPr>
        <w:t xml:space="preserve"> </w:t>
      </w:r>
      <w:r w:rsidRPr="0089000E">
        <w:rPr>
          <w:rFonts w:cs="Times New Roman"/>
          <w:szCs w:val="20"/>
        </w:rPr>
        <w:t xml:space="preserve">where </w:t>
      </w:r>
      <m:oMath>
        <m:r>
          <w:rPr>
            <w:rFonts w:ascii="Cambria Math" w:hAnsi="Cambria Math" w:cs="Times New Roman"/>
            <w:szCs w:val="20"/>
            <w:lang w:eastAsia="x-none"/>
          </w:rPr>
          <m:t>q={0,1,2,⋯,15}</m:t>
        </m:r>
      </m:oMath>
      <w:r w:rsidRPr="00C62524">
        <w:rPr>
          <w:rFonts w:eastAsiaTheme="minorEastAsia" w:cs="Times New Roman"/>
          <w:szCs w:val="20"/>
          <w:lang w:eastAsia="x-none"/>
        </w:rPr>
        <w:t xml:space="preserve"> and a </w:t>
      </w:r>
      <w:r w:rsidRPr="0089000E">
        <w:rPr>
          <w:rFonts w:cs="Times New Roman"/>
          <w:szCs w:val="20"/>
        </w:rPr>
        <w:t xml:space="preserve">uniform quantization of the phase that is given by alphabet; </w:t>
      </w:r>
      <m:oMath>
        <m:r>
          <w:rPr>
            <w:rFonts w:ascii="Cambria Math" w:hAnsi="Cambria Math" w:cs="Times New Roman"/>
            <w:szCs w:val="20"/>
            <w:lang w:eastAsia="x-none"/>
          </w:rPr>
          <m:t>{</m:t>
        </m:r>
        <m:sSup>
          <m:sSupPr>
            <m:ctrlPr>
              <w:rPr>
                <w:rFonts w:ascii="Cambria Math" w:hAnsi="Cambria Math" w:cs="Times New Roman"/>
                <w:i/>
                <w:szCs w:val="20"/>
                <w:lang w:eastAsia="x-none"/>
              </w:rPr>
            </m:ctrlPr>
          </m:sSupPr>
          <m:e>
            <m:r>
              <w:rPr>
                <w:rFonts w:ascii="Cambria Math" w:hAnsi="Cambria Math" w:cs="Times New Roman"/>
                <w:szCs w:val="20"/>
                <w:lang w:eastAsia="x-none"/>
              </w:rPr>
              <m:t>e</m:t>
            </m:r>
          </m:e>
          <m:sup>
            <m:r>
              <w:rPr>
                <w:rFonts w:ascii="Cambria Math" w:hAnsi="Cambria Math" w:cs="Times New Roman"/>
                <w:szCs w:val="20"/>
                <w:lang w:eastAsia="x-none"/>
              </w:rPr>
              <m:t>j2πq/16</m:t>
            </m:r>
          </m:sup>
        </m:sSup>
        <m:r>
          <w:rPr>
            <w:rFonts w:ascii="Cambria Math" w:hAnsi="Cambria Math" w:cs="Times New Roman"/>
            <w:szCs w:val="20"/>
            <w:lang w:eastAsia="x-none"/>
          </w:rPr>
          <m:t>}</m:t>
        </m:r>
      </m:oMath>
      <w:r w:rsidRPr="0089000E">
        <w:rPr>
          <w:rFonts w:cs="Times New Roman"/>
          <w:szCs w:val="20"/>
        </w:rPr>
        <w:t xml:space="preserve"> where </w:t>
      </w:r>
      <m:oMath>
        <m:r>
          <w:rPr>
            <w:rFonts w:ascii="Cambria Math" w:hAnsi="Cambria Math" w:cs="Times New Roman"/>
            <w:szCs w:val="20"/>
            <w:lang w:eastAsia="x-none"/>
          </w:rPr>
          <m:t>q={0,1,2,⋯,15}</m:t>
        </m:r>
      </m:oMath>
      <w:r w:rsidRPr="009E4479">
        <w:rPr>
          <w:rFonts w:eastAsiaTheme="minorEastAsia" w:cs="Times New Roman"/>
          <w:szCs w:val="20"/>
          <w:lang w:eastAsia="x-none"/>
        </w:rPr>
        <w:t xml:space="preserve">. As mentioned in session </w:t>
      </w:r>
      <w:r w:rsidRPr="009E4479">
        <w:rPr>
          <w:rFonts w:eastAsiaTheme="minorEastAsia" w:cs="Times New Roman"/>
          <w:szCs w:val="20"/>
          <w:lang w:eastAsia="x-none"/>
        </w:rPr>
        <w:fldChar w:fldCharType="begin"/>
      </w:r>
      <w:r w:rsidRPr="009E4479">
        <w:rPr>
          <w:rFonts w:eastAsiaTheme="minorEastAsia" w:cs="Times New Roman"/>
          <w:szCs w:val="20"/>
          <w:lang w:eastAsia="x-none"/>
        </w:rPr>
        <w:instrText xml:space="preserve"> REF _Ref142577735 \r \h  \* MERGEFORMAT </w:instrText>
      </w:r>
      <w:r w:rsidRPr="009E4479">
        <w:rPr>
          <w:rFonts w:eastAsiaTheme="minorEastAsia" w:cs="Times New Roman"/>
          <w:szCs w:val="20"/>
          <w:lang w:eastAsia="x-none"/>
        </w:rPr>
      </w:r>
      <w:r w:rsidRPr="009E4479">
        <w:rPr>
          <w:rFonts w:eastAsiaTheme="minorEastAsia" w:cs="Times New Roman"/>
          <w:szCs w:val="20"/>
          <w:lang w:eastAsia="x-none"/>
        </w:rPr>
        <w:fldChar w:fldCharType="separate"/>
      </w:r>
      <w:r w:rsidRPr="009E4479">
        <w:rPr>
          <w:rFonts w:eastAsiaTheme="minorEastAsia" w:cs="Times New Roman"/>
          <w:szCs w:val="20"/>
          <w:lang w:eastAsia="x-none"/>
        </w:rPr>
        <w:t>1.4</w:t>
      </w:r>
      <w:r w:rsidRPr="009E4479">
        <w:rPr>
          <w:rFonts w:eastAsiaTheme="minorEastAsia" w:cs="Times New Roman"/>
          <w:szCs w:val="20"/>
          <w:lang w:eastAsia="x-none"/>
        </w:rPr>
        <w:fldChar w:fldCharType="end"/>
      </w:r>
      <w:r w:rsidRPr="009E4479">
        <w:rPr>
          <w:rFonts w:eastAsiaTheme="minorEastAsia" w:cs="Times New Roman"/>
          <w:szCs w:val="20"/>
          <w:lang w:eastAsia="x-none"/>
        </w:rPr>
        <w:t xml:space="preserve">, the motivation for the non-uniform quantization is that mapping from speed to TDCP amplitude is </w:t>
      </w:r>
      <w:r>
        <w:rPr>
          <w:rFonts w:eastAsiaTheme="minorEastAsia"/>
          <w:sz w:val="18"/>
          <w:lang w:eastAsia="x-none"/>
        </w:rPr>
        <w:t>nonlinear</w:t>
      </w:r>
      <w:r w:rsidRPr="00A61CCB">
        <w:rPr>
          <w:rFonts w:eastAsiaTheme="minorEastAsia" w:cs="Times New Roman"/>
          <w:szCs w:val="20"/>
          <w:lang w:eastAsia="x-none"/>
        </w:rPr>
        <w:t xml:space="preserve">, therefore more bits are assigned for representing the large amplitude of A(l). Considering that motivation, it is reasonable to assume that accuracy would need to be better for values of |A(l)| which are larger and represented with more quantization levels. </w:t>
      </w:r>
    </w:p>
    <w:p w14:paraId="47167C74" w14:textId="26181649" w:rsidR="00D92437" w:rsidRPr="003F3928" w:rsidRDefault="00274C49" w:rsidP="00274C49">
      <w:pPr>
        <w:pStyle w:val="RAN4observation0"/>
      </w:pPr>
      <w:bookmarkStart w:id="36" w:name="_Toc146734756"/>
      <w:r w:rsidRPr="00274C49">
        <w:t>RAN1 has defined 4-bit non-uniform quantization of TDCP amplitude coefficients,</w:t>
      </w:r>
      <w:r w:rsidR="000354E5">
        <w:t xml:space="preserve"> because lower speeds are mapped into high amplitude values</w:t>
      </w:r>
      <w:r w:rsidRPr="00274C49">
        <w:t xml:space="preserve"> and 4-bit uniform quantization of phase coefficients</w:t>
      </w:r>
      <w:r w:rsidR="000354E5">
        <w:t>.</w:t>
      </w:r>
      <w:bookmarkEnd w:id="36"/>
      <w:r w:rsidR="000354E5">
        <w:t xml:space="preserve"> </w:t>
      </w:r>
    </w:p>
    <w:p w14:paraId="5534592F" w14:textId="77777777" w:rsidR="002E56CA" w:rsidRPr="00DD4252" w:rsidRDefault="002E56CA" w:rsidP="000F74AC">
      <w:pPr>
        <w:pStyle w:val="RAN4proposal"/>
      </w:pPr>
      <w:bookmarkStart w:id="37" w:name="_Toc142669946"/>
      <w:bookmarkStart w:id="38" w:name="_Toc146734757"/>
      <w:r>
        <w:t>RAN4 to define accuracy requirements that depend on amplitude for TDCP.</w:t>
      </w:r>
      <w:bookmarkEnd w:id="37"/>
      <w:bookmarkEnd w:id="38"/>
      <w:r>
        <w:t xml:space="preserve"> </w:t>
      </w:r>
    </w:p>
    <w:p w14:paraId="20786B71" w14:textId="77777777" w:rsidR="005109C4" w:rsidRPr="00E038A9" w:rsidRDefault="005109C4" w:rsidP="005109C4">
      <w:r>
        <w:t xml:space="preserve">As part of the next steps for the discussion of TDCP, RAN4 will most likely need to bring simulation results related to the TDCP accuracy. TDCP main motivation in RAN1 is to determine the best codebook type depending on the estimation of UE mobility. Therefore, as part of this work, we need to define the simulation methodology, including how speed can be roughly emulated. One approach that has been used for the definition of performance requirements is to use the maximum Doppler frequency. That in combination with a channel model can be used for defining the TDCP accuracy. </w:t>
      </w:r>
    </w:p>
    <w:p w14:paraId="4D326E26" w14:textId="77777777" w:rsidR="00025A50" w:rsidRPr="003020C1" w:rsidRDefault="00025A50" w:rsidP="00025A50">
      <w:pPr>
        <w:pStyle w:val="RAN4observation0"/>
      </w:pPr>
      <w:bookmarkStart w:id="39" w:name="_Toc142669947"/>
      <w:bookmarkStart w:id="40" w:name="_Toc146734758"/>
      <w:r>
        <w:t>As TDCP is a metric related to mobility detection, it is important to model speed as part of the methodology for determining the accuracy requirements.</w:t>
      </w:r>
      <w:bookmarkEnd w:id="39"/>
      <w:bookmarkEnd w:id="40"/>
      <w:r>
        <w:t xml:space="preserve"> </w:t>
      </w:r>
    </w:p>
    <w:p w14:paraId="6F818EC3" w14:textId="77777777" w:rsidR="009D05DF" w:rsidRDefault="009D05DF" w:rsidP="009D05DF">
      <w:pPr>
        <w:pStyle w:val="RAN4proposal"/>
      </w:pPr>
      <w:bookmarkStart w:id="41" w:name="_Toc142669948"/>
      <w:bookmarkStart w:id="42" w:name="_Toc146734759"/>
      <w:r>
        <w:t>RAN4 to study how Maximum Doppler frequency of TDL models can be used for modeling speed for TDCP accuracy requirements.</w:t>
      </w:r>
      <w:bookmarkEnd w:id="41"/>
      <w:bookmarkEnd w:id="42"/>
      <w:r>
        <w:t xml:space="preserve"> </w:t>
      </w:r>
    </w:p>
    <w:p w14:paraId="75EA0067" w14:textId="77777777" w:rsidR="00BD2992" w:rsidRPr="00A73F8B" w:rsidRDefault="00BD2992" w:rsidP="00BD2992">
      <w:r>
        <w:t xml:space="preserve">In addition to channel model parameters, simulation parameters need to include the UE speed, TRS parameters, as well as TDCP parameters. </w:t>
      </w:r>
    </w:p>
    <w:p w14:paraId="080E4479" w14:textId="109E7F5B" w:rsidR="00BD6BC7" w:rsidRPr="004606AF" w:rsidRDefault="00BD6BC7" w:rsidP="00BD6BC7">
      <w:pPr>
        <w:pStyle w:val="RAN4proposal"/>
      </w:pPr>
      <w:bookmarkStart w:id="43" w:name="_Toc142669949"/>
      <w:bookmarkStart w:id="44" w:name="_Toc146734760"/>
      <w:r>
        <w:t>RAN4 to discuss simulation parameters, including UE speed, TRS parameters, TDCP parameters, and channel model.</w:t>
      </w:r>
      <w:bookmarkEnd w:id="43"/>
      <w:bookmarkEnd w:id="44"/>
      <w:r>
        <w:t xml:space="preserve"> </w:t>
      </w:r>
      <w:r w:rsidR="00F51006">
        <w:br/>
      </w:r>
      <w:r w:rsidR="00F51006">
        <w:br/>
      </w:r>
    </w:p>
    <w:p w14:paraId="4EC6ADFC" w14:textId="69D7C602" w:rsidR="0060543D" w:rsidRPr="008C39F7" w:rsidRDefault="00BD6BC7" w:rsidP="00796A38">
      <w:pPr>
        <w:pStyle w:val="RAN4H2"/>
      </w:pPr>
      <w:r>
        <w:t>Feasibility Study</w:t>
      </w:r>
    </w:p>
    <w:p w14:paraId="557EFF16" w14:textId="7875B271" w:rsidR="003D7846" w:rsidRPr="00796A38" w:rsidRDefault="00D45BD4" w:rsidP="00796A38">
      <w:pPr>
        <w:pStyle w:val="Title"/>
        <w:rPr>
          <w:b/>
          <w:bCs/>
          <w:sz w:val="22"/>
        </w:rPr>
      </w:pPr>
      <w:r w:rsidRPr="00796A38">
        <w:rPr>
          <w:b/>
          <w:bCs/>
          <w:sz w:val="28"/>
          <w:szCs w:val="28"/>
        </w:rPr>
        <w:t>AWGN channel</w:t>
      </w:r>
      <w:r w:rsidR="009A0A12" w:rsidRPr="00796A38">
        <w:rPr>
          <w:b/>
          <w:bCs/>
          <w:sz w:val="28"/>
          <w:szCs w:val="28"/>
        </w:rPr>
        <w:t>:</w:t>
      </w:r>
      <w:r w:rsidR="004A1220" w:rsidRPr="00796A38">
        <w:rPr>
          <w:b/>
          <w:bCs/>
          <w:sz w:val="22"/>
          <w:szCs w:val="22"/>
        </w:rPr>
        <w:t xml:space="preserve"> </w:t>
      </w:r>
      <w:r w:rsidR="00F51006">
        <w:rPr>
          <w:b/>
          <w:bCs/>
          <w:sz w:val="22"/>
          <w:szCs w:val="22"/>
        </w:rPr>
        <w:br/>
      </w:r>
    </w:p>
    <w:p w14:paraId="3075B03B" w14:textId="564B8672" w:rsidR="00952373" w:rsidRDefault="00D45BD4" w:rsidP="00796A38">
      <w:r>
        <w:tab/>
      </w:r>
      <w:r w:rsidR="00EA726F">
        <w:t xml:space="preserve">The accuracy requirements </w:t>
      </w:r>
      <w:r w:rsidR="00182EB0">
        <w:t xml:space="preserve">for ideal TDCP </w:t>
      </w:r>
      <w:r w:rsidR="00AF4ED7">
        <w:t>measure</w:t>
      </w:r>
      <w:r w:rsidR="00395590">
        <w:t xml:space="preserve">ment </w:t>
      </w:r>
      <w:r w:rsidR="00EA726F">
        <w:t xml:space="preserve">can be defined </w:t>
      </w:r>
      <w:r w:rsidR="00971CFE">
        <w:t xml:space="preserve">for </w:t>
      </w:r>
      <w:r w:rsidR="00182EB0">
        <w:t xml:space="preserve">UE in presence of </w:t>
      </w:r>
      <w:r w:rsidR="00971CFE">
        <w:t>AWGN (generator)</w:t>
      </w:r>
      <w:r w:rsidR="00182EB0">
        <w:t xml:space="preserve">. </w:t>
      </w:r>
      <w:r w:rsidR="00804915">
        <w:t xml:space="preserve">Here by ideal TDCP measurement we </w:t>
      </w:r>
      <w:r w:rsidR="00454246">
        <w:t>assu</w:t>
      </w:r>
      <w:r w:rsidR="00B048CA">
        <w:t xml:space="preserve">me no </w:t>
      </w:r>
      <w:r w:rsidR="00132C6A">
        <w:t>mobili</w:t>
      </w:r>
      <w:r w:rsidR="00542249">
        <w:t xml:space="preserve">ty and </w:t>
      </w:r>
      <w:r w:rsidR="001D5C55">
        <w:t xml:space="preserve">channel </w:t>
      </w:r>
      <w:r w:rsidR="006572C5">
        <w:t xml:space="preserve">variations due to slow </w:t>
      </w:r>
      <w:r w:rsidR="00BE6306">
        <w:t>or fast fading</w:t>
      </w:r>
      <w:r w:rsidR="00BA08DD">
        <w:t xml:space="preserve">. </w:t>
      </w:r>
      <w:r w:rsidR="00112FEF">
        <w:t>Ideal TDCP a</w:t>
      </w:r>
      <w:r w:rsidR="004615EC">
        <w:t xml:space="preserve">mplitude </w:t>
      </w:r>
      <w:r w:rsidR="00112FEF">
        <w:t>and phase</w:t>
      </w:r>
      <w:r w:rsidR="004615EC">
        <w:t xml:space="preserve"> of the w</w:t>
      </w:r>
      <w:r w:rsidR="004615EC" w:rsidRPr="004615EC">
        <w:t>ideband normalized correlation between two CSI-RS transmission occasions</w:t>
      </w:r>
      <w:r w:rsidR="000C42E9">
        <w:t xml:space="preserve"> with any </w:t>
      </w:r>
      <w:r w:rsidR="0096301E">
        <w:t xml:space="preserve">delay </w:t>
      </w:r>
      <w:r w:rsidR="000C42E9">
        <w:t>value</w:t>
      </w:r>
      <w:r w:rsidR="00352423">
        <w:t xml:space="preserve"> </w:t>
      </w:r>
      <w:r w:rsidR="00834C66">
        <w:t xml:space="preserve">would be </w:t>
      </w:r>
      <w:r w:rsidR="00C52AFD">
        <w:t xml:space="preserve">equal </w:t>
      </w:r>
      <w:r w:rsidR="00112FEF">
        <w:t xml:space="preserve">to 1 and 0 accordingly </w:t>
      </w:r>
      <w:r w:rsidR="00D2517F">
        <w:t xml:space="preserve">assuming </w:t>
      </w:r>
      <w:r w:rsidR="00E95BC2">
        <w:t>virtually no noise</w:t>
      </w:r>
      <w:r w:rsidR="00EB76AC">
        <w:t xml:space="preserve"> (Now we will </w:t>
      </w:r>
      <w:r w:rsidR="00550A2D">
        <w:t>refer</w:t>
      </w:r>
      <w:r w:rsidR="00EB76AC">
        <w:t xml:space="preserve"> </w:t>
      </w:r>
      <w:r w:rsidR="00BB6A9D">
        <w:t xml:space="preserve">to </w:t>
      </w:r>
      <w:r w:rsidR="00765369">
        <w:t>them as just</w:t>
      </w:r>
      <w:r w:rsidR="00BB6A9D">
        <w:t xml:space="preserve"> </w:t>
      </w:r>
      <w:r w:rsidR="00EB76AC">
        <w:t>amplitude and phase)</w:t>
      </w:r>
      <w:r w:rsidR="00E95BC2">
        <w:t>.</w:t>
      </w:r>
      <w:r w:rsidR="00504B43">
        <w:t xml:space="preserve"> </w:t>
      </w:r>
      <w:r w:rsidR="00A35CF6">
        <w:t xml:space="preserve">In presence of </w:t>
      </w:r>
      <w:r w:rsidR="00DC79BB">
        <w:t>noise</w:t>
      </w:r>
      <w:r w:rsidR="00ED5153">
        <w:t>,</w:t>
      </w:r>
      <w:r w:rsidR="00112FEF">
        <w:t xml:space="preserve"> </w:t>
      </w:r>
      <w:r w:rsidR="00DF4066">
        <w:t xml:space="preserve">distribution of </w:t>
      </w:r>
      <w:r w:rsidR="00FC3DB0">
        <w:t>the amplitude</w:t>
      </w:r>
      <w:r w:rsidR="00112FEF">
        <w:t xml:space="preserve"> </w:t>
      </w:r>
      <w:r w:rsidR="00A143C3">
        <w:t xml:space="preserve">will </w:t>
      </w:r>
      <w:r w:rsidR="00952373">
        <w:t>have</w:t>
      </w:r>
      <w:r w:rsidR="0039383C">
        <w:t xml:space="preserve"> </w:t>
      </w:r>
      <w:r w:rsidR="00EA3A4F">
        <w:t xml:space="preserve">different </w:t>
      </w:r>
      <w:r w:rsidR="0076408E">
        <w:t>expect</w:t>
      </w:r>
      <w:r w:rsidR="00B35855">
        <w:t>ed</w:t>
      </w:r>
      <w:r w:rsidR="0076408E">
        <w:t xml:space="preserve"> value and </w:t>
      </w:r>
      <w:r w:rsidR="0085229E">
        <w:t>variance</w:t>
      </w:r>
      <w:r w:rsidR="008D476E">
        <w:t xml:space="preserve"> as we showed in </w:t>
      </w:r>
      <w:r w:rsidR="00BE2963">
        <w:fldChar w:fldCharType="begin"/>
      </w:r>
      <w:r w:rsidR="00BE2963">
        <w:instrText xml:space="preserve"> REF _Ref146038026 \r \h </w:instrText>
      </w:r>
      <w:r w:rsidR="00BE2963">
        <w:fldChar w:fldCharType="separate"/>
      </w:r>
      <w:r w:rsidR="00BE2963">
        <w:t>[</w:t>
      </w:r>
      <w:r w:rsidR="004248D0">
        <w:t>2</w:t>
      </w:r>
      <w:r w:rsidR="00BE2963">
        <w:t>]</w:t>
      </w:r>
      <w:r w:rsidR="00BE2963">
        <w:fldChar w:fldCharType="end"/>
      </w:r>
      <w:r w:rsidR="00BE2963">
        <w:t>.</w:t>
      </w:r>
      <w:r w:rsidR="008D17E9">
        <w:t xml:space="preserve"> </w:t>
      </w:r>
      <w:r w:rsidR="00F5672A">
        <w:t xml:space="preserve">TDCP measurement </w:t>
      </w:r>
      <w:r w:rsidR="008D17E9">
        <w:t>accuracy</w:t>
      </w:r>
      <w:r w:rsidR="00F5672A">
        <w:t xml:space="preserve"> can be tested in these conditions</w:t>
      </w:r>
      <w:r w:rsidR="00912D9A">
        <w:t xml:space="preserve"> assuming </w:t>
      </w:r>
      <w:r w:rsidR="00184CA6">
        <w:t xml:space="preserve">ideal </w:t>
      </w:r>
      <w:r w:rsidR="00A73C23">
        <w:t xml:space="preserve">amplitude to be equal to </w:t>
      </w:r>
      <w:r w:rsidR="00844372">
        <w:t>255/256</w:t>
      </w:r>
      <w:r w:rsidR="00921316">
        <w:t xml:space="preserve"> </w:t>
      </w:r>
      <w:r w:rsidR="00433629">
        <w:t>(q</w:t>
      </w:r>
      <w:r w:rsidR="001B3D96">
        <w:t>=0</w:t>
      </w:r>
      <w:r w:rsidR="00433629">
        <w:t>)</w:t>
      </w:r>
      <w:r w:rsidR="00921316">
        <w:t xml:space="preserve"> i.e</w:t>
      </w:r>
      <w:r w:rsidR="00E70D24">
        <w:t>.,</w:t>
      </w:r>
      <w:r w:rsidR="00921316">
        <w:t xml:space="preserve"> the highest </w:t>
      </w:r>
      <w:r w:rsidR="000558FF">
        <w:t xml:space="preserve">possible </w:t>
      </w:r>
      <w:r w:rsidR="00F57CFE">
        <w:t>value to be reported</w:t>
      </w:r>
      <w:r w:rsidR="00E70D24">
        <w:t xml:space="preserve">. </w:t>
      </w:r>
      <w:r w:rsidR="00D30BEA">
        <w:t xml:space="preserve">If </w:t>
      </w:r>
      <w:r w:rsidR="001C5EF0">
        <w:t xml:space="preserve">optional phase reporting to be </w:t>
      </w:r>
      <w:r w:rsidR="00FC225B">
        <w:t>also tested, ideal pha</w:t>
      </w:r>
      <w:r w:rsidR="00F975CD">
        <w:t xml:space="preserve">se </w:t>
      </w:r>
      <w:r w:rsidR="00D0100A">
        <w:t>should be equal to 0</w:t>
      </w:r>
      <w:r w:rsidR="001B3D96">
        <w:t xml:space="preserve"> (q=0)</w:t>
      </w:r>
      <w:r w:rsidR="00D17D10">
        <w:t>.</w:t>
      </w:r>
      <w:r w:rsidR="00F22AF0">
        <w:t xml:space="preserve"> Assuming AWGN channel</w:t>
      </w:r>
      <w:r w:rsidR="00752C44">
        <w:t xml:space="preserve">, </w:t>
      </w:r>
      <w:r w:rsidR="006C6DA3">
        <w:t>there is no</w:t>
      </w:r>
      <w:r w:rsidR="00F91F34">
        <w:t xml:space="preserve"> difference </w:t>
      </w:r>
      <w:r w:rsidR="003D467C">
        <w:t>between</w:t>
      </w:r>
      <w:r w:rsidR="006A5722">
        <w:t xml:space="preserve"> possible delay values</w:t>
      </w:r>
      <w:r w:rsidR="006A34E4">
        <w:t xml:space="preserve"> to </w:t>
      </w:r>
      <w:r w:rsidR="00BF0AFB">
        <w:t>choose</w:t>
      </w:r>
      <w:r w:rsidR="006A34E4">
        <w:t xml:space="preserve"> for testing.</w:t>
      </w:r>
    </w:p>
    <w:p w14:paraId="358DFE8E" w14:textId="08F299A7" w:rsidR="00996965" w:rsidRDefault="009F3D1A" w:rsidP="00DA0785">
      <w:pPr>
        <w:pStyle w:val="RAN4observation0"/>
      </w:pPr>
      <w:bookmarkStart w:id="45" w:name="_Toc146734761"/>
      <w:r>
        <w:t xml:space="preserve">AWGN based </w:t>
      </w:r>
      <w:r w:rsidR="00F523DA">
        <w:t>test</w:t>
      </w:r>
      <w:r w:rsidR="00BF0AFB">
        <w:t xml:space="preserve"> doesn’t require multiple delay configurations to be tested.</w:t>
      </w:r>
      <w:bookmarkEnd w:id="45"/>
    </w:p>
    <w:p w14:paraId="21B82567" w14:textId="5780847C" w:rsidR="002005D7" w:rsidRPr="002005D7" w:rsidRDefault="00DE5676" w:rsidP="00796A38">
      <w:pPr>
        <w:pStyle w:val="RAN4proposal"/>
      </w:pPr>
      <w:bookmarkStart w:id="46" w:name="_Toc146734762"/>
      <w:r>
        <w:t>RAN4 t</w:t>
      </w:r>
      <w:r w:rsidR="002005D7">
        <w:t xml:space="preserve">o </w:t>
      </w:r>
      <w:r>
        <w:t>define</w:t>
      </w:r>
      <w:r w:rsidR="001E5862">
        <w:t xml:space="preserve"> </w:t>
      </w:r>
      <w:r w:rsidR="000211E1">
        <w:t xml:space="preserve">AWGN based </w:t>
      </w:r>
      <w:r w:rsidR="00765ED6">
        <w:t>test for configuration</w:t>
      </w:r>
      <w:r w:rsidR="000211E1">
        <w:t xml:space="preserve"> Y = 1, D</w:t>
      </w:r>
      <w:r w:rsidR="000211E1" w:rsidRPr="00796A38">
        <w:t xml:space="preserve">1 </w:t>
      </w:r>
      <w:r w:rsidR="000211E1">
        <w:t>= 1 slot configuration</w:t>
      </w:r>
      <w:r w:rsidR="00D25626">
        <w:t xml:space="preserve">, </w:t>
      </w:r>
      <w:r w:rsidR="00DA0B67">
        <w:t xml:space="preserve">for </w:t>
      </w:r>
      <w:r w:rsidR="00583FBF">
        <w:t xml:space="preserve">TDCP amplitude </w:t>
      </w:r>
      <w:r w:rsidR="009E1227">
        <w:t>accuracy test</w:t>
      </w:r>
      <w:r w:rsidR="00FE0BA9">
        <w:t>.</w:t>
      </w:r>
      <w:bookmarkEnd w:id="46"/>
    </w:p>
    <w:p w14:paraId="52AE52C1" w14:textId="77777777" w:rsidR="00AA17A6" w:rsidRPr="00D96643" w:rsidRDefault="006040D3" w:rsidP="00796A38">
      <w:pPr>
        <w:pStyle w:val="RAN4observation0"/>
      </w:pPr>
      <w:bookmarkStart w:id="47" w:name="_Toc146734763"/>
      <w:r>
        <w:lastRenderedPageBreak/>
        <w:t>P</w:t>
      </w:r>
      <w:r w:rsidR="000C404B">
        <w:t xml:space="preserve">hase reporting is supported </w:t>
      </w:r>
      <w:r>
        <w:t>only for Y &gt; 1 TDCP configuration.</w:t>
      </w:r>
      <w:bookmarkEnd w:id="47"/>
    </w:p>
    <w:p w14:paraId="4982A959" w14:textId="04A98E76" w:rsidR="00097361" w:rsidRPr="00097361" w:rsidRDefault="00AA17A6" w:rsidP="00796A38">
      <w:pPr>
        <w:pStyle w:val="RAN4observation0"/>
      </w:pPr>
      <w:bookmarkStart w:id="48" w:name="_Toc146734764"/>
      <w:r>
        <w:t>Depending on whether correlation phase reporting also a subject to accuracy requirements, the change of distribution of the phase in presence of noise should be studied.</w:t>
      </w:r>
      <w:bookmarkEnd w:id="48"/>
    </w:p>
    <w:p w14:paraId="6815FD1B" w14:textId="73A1DA33" w:rsidR="00E17F52" w:rsidRDefault="00765ED6" w:rsidP="00796A38">
      <w:pPr>
        <w:pStyle w:val="RAN4proposal"/>
      </w:pPr>
      <w:bookmarkStart w:id="49" w:name="_Toc146734765"/>
      <w:r>
        <w:t>RAN4 to define</w:t>
      </w:r>
      <w:r w:rsidR="00060252">
        <w:t xml:space="preserve"> AWGN based </w:t>
      </w:r>
      <w:r>
        <w:t>test for configuration</w:t>
      </w:r>
      <w:r w:rsidR="00060252">
        <w:t xml:space="preserve"> Y = </w:t>
      </w:r>
      <w:r w:rsidR="0076543B">
        <w:t>2</w:t>
      </w:r>
      <w:r w:rsidR="00060252">
        <w:t>, D</w:t>
      </w:r>
      <w:r w:rsidR="00060252">
        <w:rPr>
          <w:vertAlign w:val="subscript"/>
        </w:rPr>
        <w:t xml:space="preserve">1 </w:t>
      </w:r>
      <w:r w:rsidR="00060252">
        <w:t>= 1 slot</w:t>
      </w:r>
      <w:r w:rsidR="00C7452E">
        <w:t>, D</w:t>
      </w:r>
      <w:r w:rsidR="00C7452E">
        <w:rPr>
          <w:vertAlign w:val="subscript"/>
        </w:rPr>
        <w:t xml:space="preserve">2 </w:t>
      </w:r>
      <w:r w:rsidR="00C7452E">
        <w:t>= 2 slots</w:t>
      </w:r>
      <w:r w:rsidR="00060252">
        <w:t xml:space="preserve"> configuration, for TDCP amplitude </w:t>
      </w:r>
      <w:r w:rsidR="00C7452E">
        <w:t>and phase</w:t>
      </w:r>
      <w:r w:rsidR="00060252">
        <w:t xml:space="preserve"> accuracy test</w:t>
      </w:r>
      <w:r w:rsidR="006040D3">
        <w:t xml:space="preserve">, subject to decision </w:t>
      </w:r>
      <w:r w:rsidR="00EF381F">
        <w:t>to test TDCP phase accuracy.</w:t>
      </w:r>
      <w:bookmarkStart w:id="50" w:name="_Toc146734766"/>
      <w:bookmarkEnd w:id="49"/>
      <w:bookmarkEnd w:id="50"/>
    </w:p>
    <w:p w14:paraId="662102F7" w14:textId="7128E88A" w:rsidR="00573AEB" w:rsidRPr="00796A38" w:rsidRDefault="00F51006" w:rsidP="00796A38">
      <w:pPr>
        <w:pStyle w:val="Title"/>
        <w:rPr>
          <w:b/>
          <w:bCs/>
          <w:sz w:val="28"/>
          <w:szCs w:val="28"/>
        </w:rPr>
      </w:pPr>
      <w:r w:rsidRPr="00796A38">
        <w:rPr>
          <w:b/>
          <w:bCs/>
          <w:sz w:val="28"/>
          <w:szCs w:val="28"/>
        </w:rPr>
        <w:t>AWGN extension with Jakes Model</w:t>
      </w:r>
      <w:r w:rsidR="009A0A12" w:rsidRPr="00796A38">
        <w:rPr>
          <w:b/>
          <w:bCs/>
          <w:sz w:val="28"/>
          <w:szCs w:val="28"/>
        </w:rPr>
        <w:t>:</w:t>
      </w:r>
      <w:r w:rsidR="004A1220" w:rsidRPr="00796A38">
        <w:rPr>
          <w:b/>
          <w:bCs/>
          <w:sz w:val="28"/>
          <w:szCs w:val="28"/>
        </w:rPr>
        <w:t xml:space="preserve"> </w:t>
      </w:r>
      <w:r>
        <w:rPr>
          <w:b/>
          <w:bCs/>
          <w:sz w:val="28"/>
          <w:szCs w:val="28"/>
        </w:rPr>
        <w:br/>
      </w:r>
    </w:p>
    <w:p w14:paraId="395864AC" w14:textId="496DFBA8" w:rsidR="00B94EA1" w:rsidRDefault="00B94EA1" w:rsidP="00B94EA1">
      <w:r>
        <w:t xml:space="preserve">From the previous simulations in </w:t>
      </w:r>
      <w:r w:rsidR="008C0457">
        <w:fldChar w:fldCharType="begin"/>
      </w:r>
      <w:r w:rsidR="008C0457">
        <w:instrText xml:space="preserve"> REF _Ref146038026 \r \h </w:instrText>
      </w:r>
      <w:r w:rsidR="008C0457">
        <w:fldChar w:fldCharType="separate"/>
      </w:r>
      <w:r w:rsidR="008C0457">
        <w:t>[</w:t>
      </w:r>
      <w:r w:rsidR="001A33B8">
        <w:t>2</w:t>
      </w:r>
      <w:r w:rsidR="008C0457">
        <w:t>]</w:t>
      </w:r>
      <w:r w:rsidR="008C0457">
        <w:fldChar w:fldCharType="end"/>
      </w:r>
      <w:r>
        <w:t>, it was shown that the measured correlation falls as the SINR goes down (i.e., the noise increases).  To determine the expected (ideal) value for the correlation we could:</w:t>
      </w:r>
    </w:p>
    <w:p w14:paraId="0F1ADCE0" w14:textId="1565F13B" w:rsidR="00B94EA1" w:rsidRDefault="00B94EA1" w:rsidP="00796A38">
      <w:pPr>
        <w:pStyle w:val="ListParagraph"/>
        <w:numPr>
          <w:ilvl w:val="0"/>
          <w:numId w:val="28"/>
        </w:numPr>
      </w:pPr>
      <w:r>
        <w:t>Calculate the expected correlation in a noiseless environment.  Assuming a Jakes spectrum, the correlation function is a Bessel function. The UE speed is needed to calculate the appropriate Bessel function result.</w:t>
      </w:r>
    </w:p>
    <w:p w14:paraId="14982E4E" w14:textId="354C0B78" w:rsidR="00B94EA1" w:rsidRDefault="00B94EA1" w:rsidP="00796A38">
      <w:pPr>
        <w:pStyle w:val="ListParagraph"/>
        <w:numPr>
          <w:ilvl w:val="0"/>
          <w:numId w:val="28"/>
        </w:numPr>
      </w:pPr>
      <w:r>
        <w:t>Assuming the noise variance is known, calculate the correlation value when noise is present.  This requires a theoretical connection between the Bessel function case without noise and the case with noise.</w:t>
      </w:r>
    </w:p>
    <w:p w14:paraId="6D3BFF6C" w14:textId="49DA15BE" w:rsidR="006326B1" w:rsidRPr="004606AF" w:rsidRDefault="00F127CF" w:rsidP="006326B1">
      <w:pPr>
        <w:pStyle w:val="RAN4proposal"/>
      </w:pPr>
      <w:bookmarkStart w:id="51" w:name="_Toc146734769"/>
      <w:r w:rsidRPr="00D420CB">
        <w:t>RAN4 to further discuss possibility of defining Jakes model, TDL and CDL based TDCP accuracy tests</w:t>
      </w:r>
      <w:r>
        <w:t>.</w:t>
      </w:r>
      <w:bookmarkEnd w:id="51"/>
    </w:p>
    <w:p w14:paraId="4DC63C7F" w14:textId="4B081A01" w:rsidR="00D420CB" w:rsidRPr="00D420CB" w:rsidRDefault="009A0A12" w:rsidP="009A0A12">
      <w:pPr>
        <w:pStyle w:val="RAN4proposal"/>
      </w:pPr>
      <w:bookmarkStart w:id="52" w:name="_Toc146734770"/>
      <w:r>
        <w:t>RAN4 to further study</w:t>
      </w:r>
      <w:r w:rsidRPr="009A0A12">
        <w:t xml:space="preserve"> about the noise level based on existing measurements and signaling (e.g., RSRQ, CQI) </w:t>
      </w:r>
      <w:r>
        <w:t>–</w:t>
      </w:r>
      <w:r w:rsidRPr="009A0A12">
        <w:t xml:space="preserve"> SNR</w:t>
      </w:r>
      <w:r>
        <w:t xml:space="preserve"> which can be used to</w:t>
      </w:r>
      <w:r w:rsidRPr="009A0A12">
        <w:t xml:space="preserve"> calculate the expected correlation including the effects of noise</w:t>
      </w:r>
      <w:r>
        <w:t>.</w:t>
      </w:r>
      <w:bookmarkEnd w:id="52"/>
    </w:p>
    <w:p w14:paraId="22351852" w14:textId="3E5DCA6E" w:rsidR="002B3C4F" w:rsidRDefault="002B3C4F">
      <w:pPr>
        <w:pStyle w:val="RAN4H2"/>
      </w:pPr>
      <w:bookmarkStart w:id="53" w:name="_Toc116995848"/>
      <w:r>
        <w:t>AWGN test setup</w:t>
      </w:r>
    </w:p>
    <w:p w14:paraId="4719D922" w14:textId="5E18765E" w:rsidR="00D811A5" w:rsidRDefault="003C508B" w:rsidP="00796A38">
      <w:r>
        <w:t>Based on the simulation results in the Appendix</w:t>
      </w:r>
      <w:r w:rsidR="00A77909">
        <w:t>,</w:t>
      </w:r>
      <w:r w:rsidR="00645380">
        <w:t xml:space="preserve"> </w:t>
      </w:r>
      <w:r w:rsidR="00F71623">
        <w:t xml:space="preserve">TDCP </w:t>
      </w:r>
      <w:r w:rsidR="00A77909">
        <w:t xml:space="preserve">amplitude and </w:t>
      </w:r>
      <w:r w:rsidR="00F71623">
        <w:t xml:space="preserve">accuracy </w:t>
      </w:r>
      <w:r w:rsidR="00A77909">
        <w:t xml:space="preserve">test can be formulated </w:t>
      </w:r>
      <w:r w:rsidR="00BD670F">
        <w:t xml:space="preserve">for AWGN </w:t>
      </w:r>
      <w:r w:rsidR="00E95289">
        <w:t xml:space="preserve">in the </w:t>
      </w:r>
      <w:r w:rsidR="007769C3">
        <w:t xml:space="preserve">following </w:t>
      </w:r>
      <w:r w:rsidR="00F1587D">
        <w:t xml:space="preserve">format: </w:t>
      </w:r>
    </w:p>
    <w:p w14:paraId="69F4A8C7" w14:textId="08C08EB9" w:rsidR="00470530" w:rsidRPr="00796A38" w:rsidRDefault="00195353" w:rsidP="00796A38">
      <w:pPr>
        <w:rPr>
          <w:i/>
          <w:iCs/>
        </w:rPr>
      </w:pPr>
      <w:r w:rsidRPr="005C34C5">
        <w:rPr>
          <w:i/>
          <w:iCs/>
        </w:rPr>
        <w:t>Assuming SNR level</w:t>
      </w:r>
      <w:r w:rsidR="00FE00B0" w:rsidRPr="005C34C5">
        <w:rPr>
          <w:i/>
          <w:iCs/>
        </w:rPr>
        <w:t>s</w:t>
      </w:r>
      <w:r w:rsidRPr="005C34C5">
        <w:rPr>
          <w:i/>
          <w:iCs/>
        </w:rPr>
        <w:t xml:space="preserve"> </w:t>
      </w:r>
      <w:r w:rsidR="00442630" w:rsidRPr="005C34C5">
        <w:rPr>
          <w:i/>
          <w:iCs/>
        </w:rPr>
        <w:t>γ</w:t>
      </w:r>
      <w:r w:rsidR="00BF565B" w:rsidRPr="00796A38">
        <w:rPr>
          <w:i/>
          <w:iCs/>
          <w:vertAlign w:val="subscript"/>
        </w:rPr>
        <w:t>i</w:t>
      </w:r>
      <w:r w:rsidR="00442630" w:rsidRPr="005C34C5">
        <w:rPr>
          <w:i/>
          <w:iCs/>
        </w:rPr>
        <w:t xml:space="preserve"> [TBD]</w:t>
      </w:r>
      <w:r w:rsidRPr="005C34C5">
        <w:rPr>
          <w:i/>
          <w:iCs/>
        </w:rPr>
        <w:t xml:space="preserve"> </w:t>
      </w:r>
      <w:r w:rsidR="0033349F" w:rsidRPr="005C34C5">
        <w:rPr>
          <w:i/>
          <w:iCs/>
        </w:rPr>
        <w:t xml:space="preserve">TDCP amplitude {ideal </w:t>
      </w:r>
      <w:r w:rsidR="00443869" w:rsidRPr="005C34C5">
        <w:rPr>
          <w:i/>
          <w:iCs/>
        </w:rPr>
        <w:t xml:space="preserve">TDCP </w:t>
      </w:r>
      <w:r w:rsidR="0033349F" w:rsidRPr="005C34C5">
        <w:rPr>
          <w:i/>
          <w:iCs/>
        </w:rPr>
        <w:t>Amplitude (q=</w:t>
      </w:r>
      <w:r w:rsidR="00443869" w:rsidRPr="005C34C5">
        <w:rPr>
          <w:i/>
          <w:iCs/>
        </w:rPr>
        <w:t>0</w:t>
      </w:r>
      <w:r w:rsidR="0033349F" w:rsidRPr="005C34C5">
        <w:rPr>
          <w:i/>
          <w:iCs/>
        </w:rPr>
        <w:t xml:space="preserve">)} shall be reported </w:t>
      </w:r>
      <w:r w:rsidR="00443869" w:rsidRPr="005C34C5">
        <w:rPr>
          <w:i/>
          <w:iCs/>
        </w:rPr>
        <w:t>at least</w:t>
      </w:r>
      <w:r w:rsidR="00470530" w:rsidRPr="00796A38">
        <w:rPr>
          <w:i/>
          <w:iCs/>
        </w:rPr>
        <w:t xml:space="preserve"> </w:t>
      </w:r>
      <w:r w:rsidR="001D0EDF" w:rsidRPr="005C34C5">
        <w:rPr>
          <w:i/>
          <w:iCs/>
        </w:rPr>
        <w:t>α% of the time</w:t>
      </w:r>
      <w:r w:rsidR="00470530" w:rsidRPr="005C34C5">
        <w:rPr>
          <w:i/>
          <w:iCs/>
        </w:rPr>
        <w:t xml:space="preserve"> </w:t>
      </w:r>
      <w:r w:rsidR="00810E54" w:rsidRPr="005C34C5">
        <w:rPr>
          <w:i/>
          <w:iCs/>
        </w:rPr>
        <w:t>and a TDCP amplitude</w:t>
      </w:r>
      <w:r w:rsidR="00CD21D0" w:rsidRPr="005C34C5">
        <w:rPr>
          <w:i/>
          <w:iCs/>
        </w:rPr>
        <w:t>s</w:t>
      </w:r>
      <w:r w:rsidR="00810E54" w:rsidRPr="005C34C5">
        <w:rPr>
          <w:i/>
          <w:iCs/>
        </w:rPr>
        <w:t xml:space="preserve"> from</w:t>
      </w:r>
      <w:r w:rsidR="001D0EDF" w:rsidRPr="005C34C5">
        <w:rPr>
          <w:i/>
          <w:iCs/>
        </w:rPr>
        <w:t xml:space="preserve"> </w:t>
      </w:r>
      <w:r w:rsidR="00470530" w:rsidRPr="00796A38">
        <w:rPr>
          <w:i/>
          <w:iCs/>
        </w:rPr>
        <w:t xml:space="preserve">the set {ideal </w:t>
      </w:r>
      <w:r w:rsidR="004A1A0A" w:rsidRPr="00796A38">
        <w:rPr>
          <w:i/>
          <w:iCs/>
        </w:rPr>
        <w:t>Amplitude</w:t>
      </w:r>
      <w:r w:rsidR="00E4185A" w:rsidRPr="00796A38">
        <w:rPr>
          <w:i/>
          <w:iCs/>
        </w:rPr>
        <w:t xml:space="preserve"> </w:t>
      </w:r>
      <w:r w:rsidR="00470530" w:rsidRPr="00796A38">
        <w:rPr>
          <w:i/>
          <w:iCs/>
        </w:rPr>
        <w:t>TDCP-</w:t>
      </w:r>
      <w:r w:rsidR="001051F3" w:rsidRPr="005C34C5">
        <w:rPr>
          <w:i/>
          <w:iCs/>
        </w:rPr>
        <w:t>j</w:t>
      </w:r>
      <w:r w:rsidR="0033349F" w:rsidRPr="005C34C5">
        <w:rPr>
          <w:i/>
          <w:iCs/>
        </w:rPr>
        <w:t xml:space="preserve"> (q=i)</w:t>
      </w:r>
      <w:r w:rsidR="00470530" w:rsidRPr="00796A38">
        <w:rPr>
          <w:i/>
          <w:iCs/>
        </w:rPr>
        <w:t xml:space="preserve">} shall be reported </w:t>
      </w:r>
      <w:r w:rsidR="00E4185A" w:rsidRPr="00796A38">
        <w:rPr>
          <w:i/>
          <w:iCs/>
        </w:rPr>
        <w:t>not more</w:t>
      </w:r>
      <w:r w:rsidR="00470530" w:rsidRPr="00796A38">
        <w:rPr>
          <w:i/>
          <w:iCs/>
        </w:rPr>
        <w:t xml:space="preserve"> </w:t>
      </w:r>
      <w:r w:rsidR="00E4185A" w:rsidRPr="00796A38">
        <w:rPr>
          <w:i/>
          <w:iCs/>
        </w:rPr>
        <w:t xml:space="preserve">than </w:t>
      </w:r>
      <w:r w:rsidR="00470530" w:rsidRPr="00796A38">
        <w:rPr>
          <w:i/>
          <w:iCs/>
        </w:rPr>
        <w:t>α</w:t>
      </w:r>
      <w:r w:rsidR="00E4185A" w:rsidRPr="00796A38">
        <w:rPr>
          <w:i/>
          <w:iCs/>
          <w:vertAlign w:val="subscript"/>
        </w:rPr>
        <w:t>i</w:t>
      </w:r>
      <w:r w:rsidR="001051F3" w:rsidRPr="005C34C5">
        <w:rPr>
          <w:i/>
          <w:iCs/>
          <w:vertAlign w:val="subscript"/>
        </w:rPr>
        <w:t>,j</w:t>
      </w:r>
      <w:r w:rsidR="00470530" w:rsidRPr="00796A38">
        <w:rPr>
          <w:i/>
          <w:iCs/>
        </w:rPr>
        <w:t>% of the time</w:t>
      </w:r>
      <w:r w:rsidR="00556972" w:rsidRPr="005C34C5">
        <w:rPr>
          <w:i/>
          <w:iCs/>
        </w:rPr>
        <w:t>,</w:t>
      </w:r>
      <w:r w:rsidR="00470530" w:rsidRPr="00796A38">
        <w:rPr>
          <w:i/>
          <w:iCs/>
        </w:rPr>
        <w:t xml:space="preserve"> where</w:t>
      </w:r>
      <w:r w:rsidR="00470530" w:rsidRPr="005C34C5">
        <w:rPr>
          <w:i/>
          <w:iCs/>
        </w:rPr>
        <w:t xml:space="preserve"> </w:t>
      </w:r>
      <w:r w:rsidR="001051F3" w:rsidRPr="005C34C5">
        <w:rPr>
          <w:i/>
          <w:iCs/>
        </w:rPr>
        <w:t>j</w:t>
      </w:r>
      <w:r w:rsidR="00556972" w:rsidRPr="005C34C5">
        <w:rPr>
          <w:i/>
          <w:iCs/>
        </w:rPr>
        <w:t>=1,..</w:t>
      </w:r>
      <w:r w:rsidR="00441B6F" w:rsidRPr="005C34C5">
        <w:rPr>
          <w:i/>
          <w:iCs/>
        </w:rPr>
        <w:t>N</w:t>
      </w:r>
      <w:r w:rsidR="0033349F" w:rsidRPr="005C34C5">
        <w:rPr>
          <w:i/>
          <w:iCs/>
        </w:rPr>
        <w:t xml:space="preserve">. </w:t>
      </w:r>
      <w:r w:rsidR="00441B6F" w:rsidRPr="005C34C5">
        <w:rPr>
          <w:i/>
          <w:iCs/>
        </w:rPr>
        <w:t>[</w:t>
      </w:r>
      <w:r w:rsidR="00FB6A99" w:rsidRPr="005C34C5">
        <w:rPr>
          <w:i/>
          <w:iCs/>
        </w:rPr>
        <w:t xml:space="preserve">N </w:t>
      </w:r>
      <w:r w:rsidR="00B30648" w:rsidRPr="005C34C5">
        <w:rPr>
          <w:i/>
          <w:iCs/>
        </w:rPr>
        <w:t>and α</w:t>
      </w:r>
      <w:r w:rsidR="00B30648" w:rsidRPr="005C34C5">
        <w:rPr>
          <w:i/>
          <w:iCs/>
          <w:vertAlign w:val="subscript"/>
        </w:rPr>
        <w:t>i</w:t>
      </w:r>
      <w:r w:rsidR="001051F3" w:rsidRPr="00796A38">
        <w:rPr>
          <w:i/>
          <w:iCs/>
          <w:vertAlign w:val="subscript"/>
        </w:rPr>
        <w:t>,j</w:t>
      </w:r>
      <w:r w:rsidR="00B30648" w:rsidRPr="005C34C5">
        <w:rPr>
          <w:i/>
          <w:iCs/>
        </w:rPr>
        <w:t>%</w:t>
      </w:r>
      <w:r w:rsidR="0033349F" w:rsidRPr="00796A38">
        <w:rPr>
          <w:i/>
          <w:iCs/>
        </w:rPr>
        <w:t xml:space="preserve"> are</w:t>
      </w:r>
      <w:r w:rsidR="00300587" w:rsidRPr="005C34C5">
        <w:rPr>
          <w:i/>
          <w:iCs/>
        </w:rPr>
        <w:t xml:space="preserve"> </w:t>
      </w:r>
      <w:r w:rsidR="00441B6F" w:rsidRPr="005C34C5">
        <w:rPr>
          <w:i/>
          <w:iCs/>
        </w:rPr>
        <w:t>TBD]</w:t>
      </w:r>
      <w:r w:rsidR="004A1A0A" w:rsidRPr="00796A38">
        <w:rPr>
          <w:i/>
          <w:iCs/>
        </w:rPr>
        <w:t>.</w:t>
      </w:r>
    </w:p>
    <w:p w14:paraId="399A57A3" w14:textId="56AB0F93" w:rsidR="00A651B5" w:rsidRDefault="009440FB" w:rsidP="00796A38">
      <w:r>
        <w:t xml:space="preserve">TDCP </w:t>
      </w:r>
      <w:r w:rsidR="00382024">
        <w:t>phase re</w:t>
      </w:r>
      <w:r w:rsidR="00D03AED">
        <w:t xml:space="preserve">ports </w:t>
      </w:r>
      <w:r w:rsidR="00A907F2">
        <w:t xml:space="preserve">can be defined in the same </w:t>
      </w:r>
      <w:r w:rsidR="00806C50">
        <w:t>way</w:t>
      </w:r>
      <w:r w:rsidR="00D10B65">
        <w:t>:</w:t>
      </w:r>
    </w:p>
    <w:p w14:paraId="0B495594" w14:textId="70831D64" w:rsidR="00D23A56" w:rsidRPr="00796A38" w:rsidRDefault="00D23A56" w:rsidP="00796A38">
      <w:pPr>
        <w:rPr>
          <w:i/>
          <w:iCs/>
        </w:rPr>
      </w:pPr>
      <w:r w:rsidRPr="00D23A56">
        <w:rPr>
          <w:i/>
          <w:iCs/>
        </w:rPr>
        <w:t>Assuming SNR levels γ</w:t>
      </w:r>
      <w:r w:rsidRPr="00796A38">
        <w:rPr>
          <w:i/>
          <w:vertAlign w:val="subscript"/>
        </w:rPr>
        <w:t>i</w:t>
      </w:r>
      <w:r w:rsidRPr="00D23A56">
        <w:rPr>
          <w:i/>
          <w:iCs/>
        </w:rPr>
        <w:t xml:space="preserve"> [TBD] TDCP </w:t>
      </w:r>
      <w:r>
        <w:rPr>
          <w:i/>
          <w:iCs/>
        </w:rPr>
        <w:t>phase</w:t>
      </w:r>
      <w:r w:rsidRPr="00D23A56">
        <w:rPr>
          <w:i/>
          <w:iCs/>
        </w:rPr>
        <w:t xml:space="preserve"> {ideal TDCP </w:t>
      </w:r>
      <w:r>
        <w:rPr>
          <w:i/>
          <w:iCs/>
        </w:rPr>
        <w:t>Phase</w:t>
      </w:r>
      <w:r w:rsidRPr="00D23A56">
        <w:rPr>
          <w:i/>
          <w:iCs/>
        </w:rPr>
        <w:t xml:space="preserve"> (q=0)} shall be reported at least α% of the time and a TDCP </w:t>
      </w:r>
      <w:r w:rsidR="00CD21D0">
        <w:rPr>
          <w:i/>
          <w:iCs/>
        </w:rPr>
        <w:t>phases</w:t>
      </w:r>
      <w:r w:rsidRPr="00D23A56">
        <w:rPr>
          <w:i/>
          <w:iCs/>
        </w:rPr>
        <w:t xml:space="preserve"> from the set {ideal </w:t>
      </w:r>
      <w:r w:rsidR="00CD21D0">
        <w:rPr>
          <w:i/>
          <w:iCs/>
        </w:rPr>
        <w:t>Phase</w:t>
      </w:r>
      <w:r w:rsidRPr="00D23A56">
        <w:rPr>
          <w:i/>
          <w:iCs/>
        </w:rPr>
        <w:t xml:space="preserve"> TDCP-j (q=i)} shall be reported not more than α</w:t>
      </w:r>
      <w:r w:rsidRPr="00796A38">
        <w:rPr>
          <w:i/>
          <w:vertAlign w:val="subscript"/>
        </w:rPr>
        <w:t>i,j</w:t>
      </w:r>
      <w:r w:rsidRPr="00D23A56">
        <w:rPr>
          <w:i/>
          <w:iCs/>
        </w:rPr>
        <w:t>% of the time, where j=1,..N. [N and α</w:t>
      </w:r>
      <w:r w:rsidRPr="00796A38">
        <w:rPr>
          <w:i/>
          <w:vertAlign w:val="subscript"/>
        </w:rPr>
        <w:t>i,j</w:t>
      </w:r>
      <w:r w:rsidRPr="00D23A56">
        <w:rPr>
          <w:i/>
          <w:iCs/>
        </w:rPr>
        <w:t>% are TBD].</w:t>
      </w:r>
    </w:p>
    <w:p w14:paraId="78542004" w14:textId="337F4C3F" w:rsidR="002B3C4F" w:rsidRDefault="002B3C4F" w:rsidP="002B3C4F">
      <w:pPr>
        <w:pStyle w:val="RAN4observation0"/>
      </w:pPr>
      <w:bookmarkStart w:id="54" w:name="_Toc146734771"/>
      <w:r>
        <w:t xml:space="preserve">The simplest test setup for TDCP can be established assuming AWGN channel model with a maximal </w:t>
      </w:r>
      <w:r w:rsidR="00195353">
        <w:t>percent</w:t>
      </w:r>
      <w:r>
        <w:t xml:space="preserve"> of reported quantized amplitudes different from ideal value.</w:t>
      </w:r>
      <w:bookmarkEnd w:id="54"/>
    </w:p>
    <w:p w14:paraId="7FB216DC" w14:textId="33681C9E" w:rsidR="006D34FF" w:rsidRPr="006D34FF" w:rsidRDefault="006D34FF" w:rsidP="006D34FF">
      <w:pPr>
        <w:pStyle w:val="RAN4observation0"/>
      </w:pPr>
      <w:bookmarkStart w:id="55" w:name="_Toc146734772"/>
      <w:r>
        <w:t>AWGN</w:t>
      </w:r>
      <w:r w:rsidR="00607B57">
        <w:t xml:space="preserve"> test </w:t>
      </w:r>
      <w:r w:rsidR="00562913">
        <w:t xml:space="preserve">is </w:t>
      </w:r>
      <w:r w:rsidR="00C547D2">
        <w:t>mini</w:t>
      </w:r>
      <w:r w:rsidR="00AB46AB">
        <w:t xml:space="preserve">mal required </w:t>
      </w:r>
      <w:r w:rsidR="007A61DD">
        <w:t xml:space="preserve">test and </w:t>
      </w:r>
      <w:r w:rsidR="00607B57">
        <w:t xml:space="preserve">does not </w:t>
      </w:r>
      <w:r w:rsidR="00AE1BA8">
        <w:t xml:space="preserve">capture TDCP ability to </w:t>
      </w:r>
      <w:r w:rsidR="005B4AC9">
        <w:t xml:space="preserve">capture </w:t>
      </w:r>
      <w:r w:rsidR="00AE1BA8">
        <w:t xml:space="preserve">channel variability </w:t>
      </w:r>
      <w:r w:rsidR="005B4AC9">
        <w:t>in time due to mobility</w:t>
      </w:r>
      <w:r w:rsidR="007B24DD">
        <w:t>.</w:t>
      </w:r>
      <w:bookmarkEnd w:id="55"/>
    </w:p>
    <w:p w14:paraId="4E5D3037" w14:textId="77777777" w:rsidR="002B3C4F" w:rsidRDefault="002B3C4F" w:rsidP="002B3C4F">
      <w:pPr>
        <w:pStyle w:val="RAN4proposal"/>
      </w:pPr>
      <w:bookmarkStart w:id="56" w:name="_Toc146734773"/>
      <w:r>
        <w:t>RAN4 to define at least TDCP accuracy test in AWGN channel conditions for a set of SNR values.</w:t>
      </w:r>
      <w:bookmarkEnd w:id="56"/>
    </w:p>
    <w:p w14:paraId="450DFA95" w14:textId="77777777" w:rsidR="002B3C4F" w:rsidRPr="002B3C4F" w:rsidRDefault="002B3C4F" w:rsidP="00796A38"/>
    <w:p w14:paraId="1BC85707" w14:textId="77777777" w:rsidR="00CD7492" w:rsidRPr="008C39F7" w:rsidRDefault="00CD7492" w:rsidP="00A37002">
      <w:pPr>
        <w:pStyle w:val="RAN4H1"/>
      </w:pPr>
      <w:r w:rsidRPr="008C39F7">
        <w:t>Conclusion</w:t>
      </w:r>
      <w:bookmarkEnd w:id="53"/>
    </w:p>
    <w:p w14:paraId="4900E280" w14:textId="77777777" w:rsidR="00A963FF" w:rsidRPr="008833A7" w:rsidRDefault="00A963FF" w:rsidP="00A963FF">
      <w:pPr>
        <w:rPr>
          <w:rFonts w:cs="Times New Roman"/>
          <w:szCs w:val="20"/>
        </w:rPr>
      </w:pPr>
      <w:bookmarkStart w:id="57" w:name="_Toc116995849"/>
      <w:r w:rsidRPr="008833A7">
        <w:rPr>
          <w:rFonts w:cs="Times New Roman"/>
          <w:szCs w:val="20"/>
        </w:rPr>
        <w:t>In the paper, the following Observations and Proposals were made:</w:t>
      </w:r>
    </w:p>
    <w:p w14:paraId="41FE2603" w14:textId="77777777" w:rsidR="00A963FF" w:rsidRPr="008833A7" w:rsidRDefault="00A963FF" w:rsidP="00A963FF">
      <w:pPr>
        <w:rPr>
          <w:rFonts w:cs="Times New Roman"/>
          <w:szCs w:val="20"/>
        </w:rPr>
      </w:pPr>
      <w:r w:rsidRPr="008833A7">
        <w:rPr>
          <w:rFonts w:cs="Times New Roman"/>
          <w:b/>
          <w:bCs/>
          <w:szCs w:val="20"/>
        </w:rPr>
        <w:t>Observation 1:</w:t>
      </w:r>
      <w:r w:rsidRPr="008833A7">
        <w:rPr>
          <w:rFonts w:cs="Times New Roman"/>
          <w:szCs w:val="20"/>
        </w:rPr>
        <w:t xml:space="preserve"> TDCP is calculated as the normalized time correlation function from 2 or more channel measurements estimated based on TRS.</w:t>
      </w:r>
    </w:p>
    <w:p w14:paraId="4E050EF1" w14:textId="77777777" w:rsidR="00A963FF" w:rsidRDefault="00A963FF" w:rsidP="00A963FF">
      <w:pPr>
        <w:rPr>
          <w:rFonts w:cs="Times New Roman"/>
          <w:szCs w:val="20"/>
        </w:rPr>
      </w:pPr>
      <w:r w:rsidRPr="008833A7">
        <w:rPr>
          <w:rFonts w:cs="Times New Roman"/>
          <w:b/>
          <w:bCs/>
          <w:szCs w:val="20"/>
        </w:rPr>
        <w:t>Observation 2:</w:t>
      </w:r>
      <w:r w:rsidRPr="008833A7">
        <w:rPr>
          <w:rFonts w:cs="Times New Roman"/>
          <w:szCs w:val="20"/>
        </w:rPr>
        <w:t xml:space="preserve"> The normalized TDCP coefficient for delay </w:t>
      </w:r>
      <w:r w:rsidRPr="009B4D3C">
        <w:rPr>
          <w:szCs w:val="20"/>
        </w:rPr>
        <w:t>(</w:t>
      </w:r>
      <m:oMath>
        <m:r>
          <w:rPr>
            <w:rFonts w:ascii="Cambria Math" w:hAnsi="Cambria Math"/>
            <w:szCs w:val="20"/>
          </w:rPr>
          <m:t>l</m:t>
        </m:r>
      </m:oMath>
      <w:r w:rsidRPr="009B4D3C">
        <w:rPr>
          <w:szCs w:val="20"/>
        </w:rPr>
        <w:t>)</w:t>
      </w:r>
      <w:r>
        <w:t xml:space="preserve"> </w:t>
      </w:r>
      <w:r w:rsidRPr="008833A7">
        <w:rPr>
          <w:rFonts w:cs="Times New Roman"/>
          <w:szCs w:val="20"/>
        </w:rPr>
        <w:t>from multiple TRS transmissions may be calculated as</w:t>
      </w:r>
    </w:p>
    <w:p w14:paraId="331B02D3" w14:textId="77777777" w:rsidR="00A963FF" w:rsidRPr="00301FC5" w:rsidRDefault="00A963FF" w:rsidP="00A963FF">
      <w:pPr>
        <w:pStyle w:val="RAN4observation0"/>
        <w:numPr>
          <w:ilvl w:val="1"/>
          <w:numId w:val="6"/>
        </w:numPr>
        <w:rPr>
          <w:rFonts w:eastAsiaTheme="minorEastAsia"/>
        </w:rPr>
      </w:pPr>
      <m:oMath>
        <m:r>
          <w:rPr>
            <w:rFonts w:ascii="Cambria Math" w:hAnsi="Cambria Math"/>
          </w:rPr>
          <m:t>A</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c</m:t>
            </m:r>
            <m:d>
              <m:dPr>
                <m:ctrlPr>
                  <w:rPr>
                    <w:rFonts w:ascii="Cambria Math" w:hAnsi="Cambria Math"/>
                    <w:i/>
                  </w:rPr>
                </m:ctrlPr>
              </m:dPr>
              <m:e>
                <m:r>
                  <w:rPr>
                    <w:rFonts w:ascii="Cambria Math" w:hAnsi="Cambria Math"/>
                  </w:rPr>
                  <m:t>l</m:t>
                </m:r>
              </m:e>
            </m:d>
          </m:num>
          <m:den>
            <m:r>
              <w:rPr>
                <w:rFonts w:ascii="Cambria Math" w:hAnsi="Cambria Math"/>
              </w:rPr>
              <m:t>c</m:t>
            </m:r>
            <m:d>
              <m:dPr>
                <m:ctrlPr>
                  <w:rPr>
                    <w:rFonts w:ascii="Cambria Math" w:hAnsi="Cambria Math"/>
                    <w:i/>
                  </w:rPr>
                </m:ctrlPr>
              </m:dPr>
              <m:e>
                <m:r>
                  <w:rPr>
                    <w:rFonts w:ascii="Cambria Math" w:hAnsi="Cambria Math"/>
                  </w:rPr>
                  <m:t>0</m:t>
                </m:r>
              </m:e>
            </m:d>
          </m:den>
        </m:f>
      </m:oMath>
      <w:r>
        <w:rPr>
          <w:rFonts w:eastAsiaTheme="minorEastAsia"/>
        </w:rPr>
        <w:t xml:space="preserve">, where </w:t>
      </w:r>
      <m:oMath>
        <m:r>
          <w:rPr>
            <w:rFonts w:ascii="Cambria Math" w:eastAsiaTheme="minorEastAsia" w:hAnsi="Cambria Math"/>
          </w:rPr>
          <m:t>c</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ctrlPr>
              <w:rPr>
                <w:rFonts w:ascii="Cambria Math" w:hAnsi="Cambria Math"/>
                <w:i/>
              </w:rPr>
            </m:ctrlPr>
          </m:naryPr>
          <m:sub>
            <m:r>
              <w:rPr>
                <w:rFonts w:ascii="Cambria Math" w:hAnsi="Cambria Math"/>
              </w:rPr>
              <m:t>n=0</m:t>
            </m:r>
          </m:sub>
          <m:sup>
            <m:r>
              <w:rPr>
                <w:rFonts w:ascii="Cambria Math" w:hAnsi="Cambria Math"/>
              </w:rPr>
              <m:t>N-1</m:t>
            </m:r>
          </m:sup>
          <m:e>
            <m:f>
              <m:fPr>
                <m:ctrlPr>
                  <w:rPr>
                    <w:rFonts w:ascii="Cambria Math" w:hAnsi="Cambria Math"/>
                    <w:i/>
                  </w:rPr>
                </m:ctrlPr>
              </m:fPr>
              <m:num>
                <m:r>
                  <w:rPr>
                    <w:rFonts w:ascii="Cambria Math" w:hAnsi="Cambria Math"/>
                  </w:rPr>
                  <m:t>1</m:t>
                </m:r>
              </m:num>
              <m:den>
                <m:r>
                  <w:rPr>
                    <w:rFonts w:ascii="Cambria Math" w:hAnsi="Cambria Math"/>
                  </w:rPr>
                  <m:t>B-l</m:t>
                </m:r>
              </m:den>
            </m:f>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+B-1-l</m:t>
                </m:r>
              </m:sup>
              <m:e>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r>
                      <w:rPr>
                        <w:rFonts w:ascii="Cambria Math" w:hAnsi="Cambria Math"/>
                      </w:rPr>
                      <m:t>h</m:t>
                    </m:r>
                  </m:e>
                  <m:sub>
                    <m: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k</m:t>
                    </m:r>
                  </m:e>
                </m:d>
              </m:e>
            </m:nary>
          </m:e>
        </m:nary>
        <m:r>
          <w:rPr>
            <w:rFonts w:ascii="Cambria Math" w:hAnsi="Cambria Math"/>
          </w:rPr>
          <m:t>,    l=0,…,B-1</m:t>
        </m:r>
      </m:oMath>
    </w:p>
    <w:p w14:paraId="2E48393C" w14:textId="77777777" w:rsidR="00A963FF" w:rsidRPr="00EC5B92" w:rsidRDefault="00A963FF" w:rsidP="00A963FF">
      <w:pPr>
        <w:pStyle w:val="RAN4observation0"/>
        <w:numPr>
          <w:ilvl w:val="1"/>
          <w:numId w:val="6"/>
        </w:numPr>
      </w:pPr>
      <w:r>
        <w:t xml:space="preserve">This </w:t>
      </w:r>
      <w:r w:rsidRPr="00890506">
        <w:t>method provides reduced variability in TDCP amplitudes with the same number of TRSs and requires uniform spreading of delays</w:t>
      </w:r>
      <w:r>
        <w:t>.</w:t>
      </w:r>
    </w:p>
    <w:p w14:paraId="23C891CF" w14:textId="77777777" w:rsidR="00A963FF" w:rsidRPr="008833A7" w:rsidRDefault="00A963FF" w:rsidP="00A963FF">
      <w:pPr>
        <w:rPr>
          <w:rFonts w:cs="Times New Roman"/>
          <w:szCs w:val="20"/>
        </w:rPr>
      </w:pPr>
      <w:r w:rsidRPr="008833A7">
        <w:rPr>
          <w:rFonts w:cs="Times New Roman"/>
          <w:b/>
          <w:bCs/>
          <w:szCs w:val="20"/>
        </w:rPr>
        <w:lastRenderedPageBreak/>
        <w:t>Observation 3:</w:t>
      </w:r>
      <w:r w:rsidRPr="008833A7">
        <w:rPr>
          <w:rFonts w:cs="Times New Roman"/>
          <w:szCs w:val="20"/>
        </w:rPr>
        <w:t xml:space="preserve"> Choice of a method of TDCP calculation can influence the reported TDCP measurements.</w:t>
      </w:r>
    </w:p>
    <w:p w14:paraId="608E71F6" w14:textId="77777777" w:rsidR="00A963FF" w:rsidRPr="008833A7" w:rsidRDefault="00A963FF" w:rsidP="00A963FF">
      <w:pPr>
        <w:rPr>
          <w:rFonts w:cs="Times New Roman"/>
          <w:szCs w:val="20"/>
        </w:rPr>
      </w:pPr>
      <w:r w:rsidRPr="008833A7">
        <w:rPr>
          <w:rFonts w:cs="Times New Roman"/>
          <w:b/>
          <w:bCs/>
          <w:szCs w:val="20"/>
        </w:rPr>
        <w:t>Observation 4:</w:t>
      </w:r>
      <w:r w:rsidRPr="008833A7">
        <w:rPr>
          <w:rFonts w:cs="Times New Roman"/>
          <w:szCs w:val="20"/>
        </w:rPr>
        <w:t xml:space="preserve"> So far there is no clear methodology for determining the ideal TDCP value.</w:t>
      </w:r>
    </w:p>
    <w:p w14:paraId="53B6DA4F" w14:textId="77777777" w:rsidR="00A963FF" w:rsidRPr="008833A7" w:rsidRDefault="00A963FF" w:rsidP="00A963FF">
      <w:pPr>
        <w:rPr>
          <w:rFonts w:cs="Times New Roman"/>
          <w:b/>
          <w:bCs/>
          <w:szCs w:val="20"/>
        </w:rPr>
      </w:pPr>
      <w:r w:rsidRPr="008833A7">
        <w:rPr>
          <w:rFonts w:cs="Times New Roman"/>
          <w:b/>
          <w:bCs/>
          <w:szCs w:val="20"/>
        </w:rPr>
        <w:t>Proposal 1: RAN4 to study how to determine the ideal value for TDCP for the accuracy requirements.</w:t>
      </w:r>
    </w:p>
    <w:p w14:paraId="28E1F0C7" w14:textId="77777777" w:rsidR="00A963FF" w:rsidRDefault="00A963FF" w:rsidP="00A963FF">
      <w:pPr>
        <w:rPr>
          <w:rFonts w:cs="Times New Roman"/>
          <w:b/>
          <w:bCs/>
          <w:szCs w:val="20"/>
        </w:rPr>
      </w:pPr>
      <w:r w:rsidRPr="008833A7">
        <w:rPr>
          <w:rFonts w:cs="Times New Roman"/>
          <w:b/>
          <w:bCs/>
          <w:szCs w:val="20"/>
        </w:rPr>
        <w:t>Proposal 2: RAN4 to define TDCP accuracy requirements assuming TDCP coefficient A</w:t>
      </w:r>
      <w:r w:rsidRPr="009B4D3C">
        <w:rPr>
          <w:b/>
          <w:bCs/>
          <w:szCs w:val="20"/>
        </w:rPr>
        <w:t>(</w:t>
      </w:r>
      <m:oMath>
        <m:r>
          <m:rPr>
            <m:sty m:val="bi"/>
          </m:rPr>
          <w:rPr>
            <w:rFonts w:ascii="Cambria Math" w:hAnsi="Cambria Math"/>
            <w:szCs w:val="20"/>
          </w:rPr>
          <m:t>l</m:t>
        </m:r>
      </m:oMath>
      <w:r w:rsidRPr="009B4D3C">
        <w:rPr>
          <w:b/>
          <w:bCs/>
          <w:szCs w:val="20"/>
        </w:rPr>
        <w:t>)</w:t>
      </w:r>
      <w:r>
        <w:t xml:space="preserve"> </w:t>
      </w:r>
      <w:r w:rsidRPr="008833A7">
        <w:rPr>
          <w:rFonts w:cs="Times New Roman"/>
          <w:b/>
          <w:bCs/>
          <w:szCs w:val="20"/>
        </w:rPr>
        <w:t xml:space="preserve"> for lag </w:t>
      </w:r>
      <w:r w:rsidRPr="009B4D3C">
        <w:rPr>
          <w:szCs w:val="20"/>
        </w:rPr>
        <w:t>(</w:t>
      </w:r>
      <m:oMath>
        <m:r>
          <w:rPr>
            <w:rFonts w:ascii="Cambria Math" w:hAnsi="Cambria Math"/>
            <w:szCs w:val="20"/>
          </w:rPr>
          <m:t>l</m:t>
        </m:r>
      </m:oMath>
      <w:r w:rsidRPr="009B4D3C">
        <w:rPr>
          <w:szCs w:val="20"/>
        </w:rPr>
        <w:t>)</w:t>
      </w:r>
      <w:r>
        <w:t xml:space="preserve"> </w:t>
      </w:r>
      <w:r w:rsidRPr="008833A7">
        <w:rPr>
          <w:rFonts w:cs="Times New Roman"/>
          <w:b/>
          <w:bCs/>
          <w:szCs w:val="20"/>
        </w:rPr>
        <w:t xml:space="preserve"> calculated as</w:t>
      </w:r>
    </w:p>
    <w:p w14:paraId="7EDEC13B" w14:textId="77777777" w:rsidR="00A963FF" w:rsidRPr="008833A7" w:rsidRDefault="00A963FF" w:rsidP="00A963FF">
      <w:pPr>
        <w:pStyle w:val="RAN4observation0"/>
        <w:numPr>
          <w:ilvl w:val="0"/>
          <w:numId w:val="0"/>
        </w:numPr>
        <w:ind w:left="720"/>
        <w:rPr>
          <w:rFonts w:eastAsiaTheme="minorEastAsia"/>
          <w:b/>
          <w:bCs/>
        </w:rPr>
      </w:pPr>
      <m:oMath>
        <m:r>
          <m:rPr>
            <m:sty m:val="bi"/>
          </m:rPr>
          <w:rPr>
            <w:rFonts w:ascii="Cambria Math" w:hAnsi="Cambria Math"/>
          </w:rPr>
          <m:t>A</m:t>
        </m:r>
        <m:d>
          <m:dPr>
            <m:ctrlPr>
              <w:rPr>
                <w:rFonts w:ascii="Cambria Math" w:hAnsi="Cambria Math"/>
                <w:b/>
                <w:bCs/>
                <w:i/>
              </w:rPr>
            </m:ctrlPr>
          </m:dPr>
          <m:e>
            <m:r>
              <m:rPr>
                <m:sty m:val="bi"/>
              </m:rPr>
              <w:rPr>
                <w:rFonts w:ascii="Cambria Math" w:hAnsi="Cambria Math"/>
              </w:rPr>
              <m:t>l</m:t>
            </m:r>
          </m:e>
        </m:d>
        <m:r>
          <m:rPr>
            <m:sty m:val="bi"/>
          </m:rPr>
          <w:rPr>
            <w:rFonts w:ascii="Cambria Math" w:hAnsi="Cambria Math"/>
          </w:rPr>
          <m:t>=</m:t>
        </m:r>
        <m:f>
          <m:fPr>
            <m:ctrlPr>
              <w:rPr>
                <w:rFonts w:ascii="Cambria Math" w:hAnsi="Cambria Math"/>
                <w:b/>
                <w:bCs/>
                <w:i/>
              </w:rPr>
            </m:ctrlPr>
          </m:fPr>
          <m:num>
            <m:r>
              <m:rPr>
                <m:sty m:val="bi"/>
              </m:rPr>
              <w:rPr>
                <w:rFonts w:ascii="Cambria Math" w:hAnsi="Cambria Math"/>
              </w:rPr>
              <m:t>c</m:t>
            </m:r>
            <m:d>
              <m:dPr>
                <m:ctrlPr>
                  <w:rPr>
                    <w:rFonts w:ascii="Cambria Math" w:hAnsi="Cambria Math"/>
                    <w:b/>
                    <w:bCs/>
                    <w:i/>
                  </w:rPr>
                </m:ctrlPr>
              </m:dPr>
              <m:e>
                <m:r>
                  <m:rPr>
                    <m:sty m:val="bi"/>
                  </m:rPr>
                  <w:rPr>
                    <w:rFonts w:ascii="Cambria Math" w:hAnsi="Cambria Math"/>
                  </w:rPr>
                  <m:t>l</m:t>
                </m:r>
              </m:e>
            </m:d>
          </m:num>
          <m:den>
            <m:r>
              <m:rPr>
                <m:sty m:val="bi"/>
              </m:rPr>
              <w:rPr>
                <w:rFonts w:ascii="Cambria Math" w:hAnsi="Cambria Math"/>
              </w:rPr>
              <m:t>c</m:t>
            </m:r>
            <m:d>
              <m:dPr>
                <m:ctrlPr>
                  <w:rPr>
                    <w:rFonts w:ascii="Cambria Math" w:hAnsi="Cambria Math"/>
                    <w:b/>
                    <w:bCs/>
                    <w:i/>
                  </w:rPr>
                </m:ctrlPr>
              </m:dPr>
              <m:e>
                <m:r>
                  <m:rPr>
                    <m:sty m:val="bi"/>
                  </m:rPr>
                  <w:rPr>
                    <w:rFonts w:ascii="Cambria Math" w:hAnsi="Cambria Math"/>
                  </w:rPr>
                  <m:t>0</m:t>
                </m:r>
              </m:e>
            </m:d>
          </m:den>
        </m:f>
      </m:oMath>
      <w:r w:rsidRPr="008833A7">
        <w:rPr>
          <w:rFonts w:eastAsiaTheme="minorEastAsia"/>
          <w:b/>
          <w:bCs/>
        </w:rPr>
        <w:t xml:space="preserve">, where </w:t>
      </w:r>
      <m:oMath>
        <m:r>
          <m:rPr>
            <m:sty m:val="bi"/>
          </m:rPr>
          <w:rPr>
            <w:rFonts w:ascii="Cambria Math" w:eastAsiaTheme="minorEastAsia" w:hAnsi="Cambria Math"/>
          </w:rPr>
          <m:t>c</m:t>
        </m:r>
        <m:d>
          <m:dPr>
            <m:ctrlPr>
              <w:rPr>
                <w:rFonts w:ascii="Cambria Math" w:hAnsi="Cambria Math"/>
                <w:b/>
                <w:bCs/>
                <w:i/>
              </w:rPr>
            </m:ctrlPr>
          </m:dPr>
          <m:e>
            <m:r>
              <m:rPr>
                <m:sty m:val="bi"/>
              </m:rPr>
              <w:rPr>
                <w:rFonts w:ascii="Cambria Math" w:hAnsi="Cambria Math"/>
              </w:rPr>
              <m:t>l</m:t>
            </m:r>
          </m:e>
        </m:d>
        <m:r>
          <m:rPr>
            <m:sty m:val="bi"/>
          </m:rPr>
          <w:rPr>
            <w:rFonts w:ascii="Cambria Math" w:hAnsi="Cambria Math"/>
          </w:rPr>
          <m: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N</m:t>
            </m:r>
          </m:den>
        </m:f>
        <m:nary>
          <m:naryPr>
            <m:chr m:val="∑"/>
            <m:ctrlPr>
              <w:rPr>
                <w:rFonts w:ascii="Cambria Math" w:hAnsi="Cambria Math"/>
                <w:b/>
                <w:bCs/>
                <w:i/>
              </w:rPr>
            </m:ctrlPr>
          </m:naryPr>
          <m:sub>
            <m:r>
              <m:rPr>
                <m:sty m:val="bi"/>
              </m:rPr>
              <w:rPr>
                <w:rFonts w:ascii="Cambria Math" w:hAnsi="Cambria Math"/>
              </w:rPr>
              <m:t>n=0</m:t>
            </m:r>
          </m:sub>
          <m:sup>
            <m:r>
              <m:rPr>
                <m:sty m:val="bi"/>
              </m:rPr>
              <w:rPr>
                <w:rFonts w:ascii="Cambria Math" w:hAnsi="Cambria Math"/>
              </w:rPr>
              <m:t>N-1</m:t>
            </m:r>
          </m:sup>
          <m:e>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B-l</m:t>
                </m:r>
              </m:den>
            </m:f>
            <m:nary>
              <m:naryPr>
                <m:chr m:val="∑"/>
                <m:ctrlPr>
                  <w:rPr>
                    <w:rFonts w:ascii="Cambria Math" w:hAnsi="Cambria Math"/>
                    <w:b/>
                    <w:bCs/>
                    <w:i/>
                  </w:rPr>
                </m:ctrlPr>
              </m:naryPr>
              <m:sub>
                <m:r>
                  <m:rPr>
                    <m:sty m:val="bi"/>
                  </m:rPr>
                  <w:rPr>
                    <w:rFonts w:ascii="Cambria Math" w:hAnsi="Cambria Math"/>
                  </w:rPr>
                  <m:t>k=</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0</m:t>
                    </m:r>
                  </m:sub>
                </m:sSub>
              </m:sub>
              <m:sup>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+B-1-l</m:t>
                </m:r>
              </m:sup>
              <m:e>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m:t>
                    </m:r>
                  </m:sub>
                </m:sSub>
                <m:d>
                  <m:dPr>
                    <m:ctrlPr>
                      <w:rPr>
                        <w:rFonts w:ascii="Cambria Math" w:hAnsi="Cambria Math"/>
                        <w:b/>
                        <w:bCs/>
                        <w:i/>
                      </w:rPr>
                    </m:ctrlPr>
                  </m:dPr>
                  <m:e>
                    <m:r>
                      <m:rPr>
                        <m:sty m:val="bi"/>
                      </m:rPr>
                      <w:rPr>
                        <w:rFonts w:ascii="Cambria Math" w:hAnsi="Cambria Math"/>
                      </w:rPr>
                      <m:t>k+l</m:t>
                    </m:r>
                  </m:e>
                </m:d>
                <m:sSubSup>
                  <m:sSubSupPr>
                    <m:ctrlPr>
                      <w:rPr>
                        <w:rFonts w:ascii="Cambria Math" w:hAnsi="Cambria Math"/>
                        <w:b/>
                        <w:bCs/>
                        <w:i/>
                      </w:rPr>
                    </m:ctrlPr>
                  </m:sSubSupPr>
                  <m:e>
                    <m:r>
                      <m:rPr>
                        <m:sty m:val="bi"/>
                      </m:rPr>
                      <w:rPr>
                        <w:rFonts w:ascii="Cambria Math" w:hAnsi="Cambria Math"/>
                      </w:rPr>
                      <m:t>h</m:t>
                    </m:r>
                  </m:e>
                  <m:sub>
                    <m:r>
                      <m:rPr>
                        <m:sty m:val="bi"/>
                      </m:rPr>
                      <w:rPr>
                        <w:rFonts w:ascii="Cambria Math" w:hAnsi="Cambria Math"/>
                      </w:rPr>
                      <m:t>n</m:t>
                    </m:r>
                  </m:sub>
                  <m:sup>
                    <m:r>
                      <m:rPr>
                        <m:sty m:val="bi"/>
                      </m:rPr>
                      <w:rPr>
                        <w:rFonts w:ascii="Cambria Math" w:hAnsi="Cambria Math"/>
                      </w:rPr>
                      <m:t>*</m:t>
                    </m:r>
                  </m:sup>
                </m:sSubSup>
                <m:d>
                  <m:dPr>
                    <m:ctrlPr>
                      <w:rPr>
                        <w:rFonts w:ascii="Cambria Math" w:hAnsi="Cambria Math"/>
                        <w:b/>
                        <w:bCs/>
                        <w:i/>
                      </w:rPr>
                    </m:ctrlPr>
                  </m:dPr>
                  <m:e>
                    <m:r>
                      <m:rPr>
                        <m:sty m:val="bi"/>
                      </m:rPr>
                      <w:rPr>
                        <w:rFonts w:ascii="Cambria Math" w:hAnsi="Cambria Math"/>
                      </w:rPr>
                      <m:t>k</m:t>
                    </m:r>
                  </m:e>
                </m:d>
              </m:e>
            </m:nary>
          </m:e>
        </m:nary>
        <m:r>
          <m:rPr>
            <m:sty m:val="bi"/>
          </m:rPr>
          <w:rPr>
            <w:rFonts w:ascii="Cambria Math" w:hAnsi="Cambria Math"/>
          </w:rPr>
          <m:t>,    l=0,…,B-1</m:t>
        </m:r>
      </m:oMath>
    </w:p>
    <w:p w14:paraId="42A7E474" w14:textId="77777777" w:rsidR="00A963FF" w:rsidRPr="008833A7" w:rsidRDefault="00A963FF" w:rsidP="00A963FF">
      <w:pPr>
        <w:rPr>
          <w:rFonts w:cs="Times New Roman"/>
          <w:szCs w:val="20"/>
        </w:rPr>
      </w:pPr>
      <w:r w:rsidRPr="008833A7">
        <w:rPr>
          <w:rFonts w:cs="Times New Roman"/>
          <w:b/>
          <w:bCs/>
          <w:szCs w:val="20"/>
        </w:rPr>
        <w:t>Observation 5:</w:t>
      </w:r>
      <w:r w:rsidRPr="008833A7">
        <w:rPr>
          <w:rFonts w:cs="Times New Roman"/>
          <w:szCs w:val="20"/>
        </w:rPr>
        <w:t xml:space="preserve"> RAN1 has defined 4-bit non-uniform quantization of TDCP amplitude coefficients, because lower speeds are mapped into high amplitude values and 4-bit uniform quantization of phase coefficients.</w:t>
      </w:r>
    </w:p>
    <w:p w14:paraId="3DF3FEE5" w14:textId="77777777" w:rsidR="00A963FF" w:rsidRPr="008833A7" w:rsidRDefault="00A963FF" w:rsidP="00A963FF">
      <w:pPr>
        <w:rPr>
          <w:rFonts w:cs="Times New Roman"/>
          <w:b/>
          <w:bCs/>
          <w:szCs w:val="20"/>
        </w:rPr>
      </w:pPr>
      <w:r w:rsidRPr="008833A7">
        <w:rPr>
          <w:rFonts w:cs="Times New Roman"/>
          <w:b/>
          <w:bCs/>
          <w:szCs w:val="20"/>
        </w:rPr>
        <w:t>Proposal 3: RAN4 to define accuracy requirements that depend on amplitude for TDCP.</w:t>
      </w:r>
    </w:p>
    <w:p w14:paraId="54867F57" w14:textId="77777777" w:rsidR="00A963FF" w:rsidRPr="008833A7" w:rsidRDefault="00A963FF" w:rsidP="00A963FF">
      <w:pPr>
        <w:rPr>
          <w:rFonts w:cs="Times New Roman"/>
          <w:szCs w:val="20"/>
        </w:rPr>
      </w:pPr>
      <w:r w:rsidRPr="008833A7">
        <w:rPr>
          <w:rFonts w:cs="Times New Roman"/>
          <w:b/>
          <w:bCs/>
          <w:szCs w:val="20"/>
        </w:rPr>
        <w:t xml:space="preserve">Observation 6: </w:t>
      </w:r>
      <w:r w:rsidRPr="008833A7">
        <w:rPr>
          <w:rFonts w:cs="Times New Roman"/>
          <w:szCs w:val="20"/>
        </w:rPr>
        <w:t>As TDCP is a metric related to mobility detection, it is important to model speed as part of the methodology for determining the accuracy requirements.</w:t>
      </w:r>
    </w:p>
    <w:p w14:paraId="46D018E0" w14:textId="77777777" w:rsidR="00A963FF" w:rsidRPr="008833A7" w:rsidRDefault="00A963FF" w:rsidP="00A963FF">
      <w:pPr>
        <w:rPr>
          <w:rFonts w:cs="Times New Roman"/>
          <w:b/>
          <w:bCs/>
          <w:szCs w:val="20"/>
        </w:rPr>
      </w:pPr>
      <w:r w:rsidRPr="008833A7">
        <w:rPr>
          <w:rFonts w:cs="Times New Roman"/>
          <w:b/>
          <w:bCs/>
          <w:szCs w:val="20"/>
        </w:rPr>
        <w:t>Proposal 4: RAN4 to study how Maximum Doppler frequency of TDL models can be used for modeling speed for TDCP accuracy requirements.</w:t>
      </w:r>
    </w:p>
    <w:p w14:paraId="38573546" w14:textId="77777777" w:rsidR="00A963FF" w:rsidRPr="008833A7" w:rsidRDefault="00A963FF" w:rsidP="00A963FF">
      <w:pPr>
        <w:rPr>
          <w:rFonts w:cs="Times New Roman"/>
          <w:b/>
          <w:bCs/>
          <w:szCs w:val="20"/>
        </w:rPr>
      </w:pPr>
      <w:r w:rsidRPr="008833A7">
        <w:rPr>
          <w:rFonts w:cs="Times New Roman"/>
          <w:b/>
          <w:bCs/>
          <w:szCs w:val="20"/>
        </w:rPr>
        <w:t>Proposal 5: RAN4 to discuss simulation parameters, including UE speed, TRS parameters, TDCP parameters, and channel model.</w:t>
      </w:r>
    </w:p>
    <w:p w14:paraId="04A3877D" w14:textId="77777777" w:rsidR="00A963FF" w:rsidRPr="008833A7" w:rsidRDefault="00A963FF" w:rsidP="00A963FF">
      <w:pPr>
        <w:rPr>
          <w:rFonts w:cs="Times New Roman"/>
          <w:szCs w:val="20"/>
        </w:rPr>
      </w:pPr>
      <w:r w:rsidRPr="008833A7">
        <w:rPr>
          <w:rFonts w:cs="Times New Roman"/>
          <w:b/>
          <w:bCs/>
          <w:szCs w:val="20"/>
        </w:rPr>
        <w:t>Observation 7:</w:t>
      </w:r>
      <w:r w:rsidRPr="008833A7">
        <w:rPr>
          <w:rFonts w:cs="Times New Roman"/>
          <w:szCs w:val="20"/>
        </w:rPr>
        <w:t xml:space="preserve"> AWGN based test doesn’t require multiple delay configurations to be tested.</w:t>
      </w:r>
    </w:p>
    <w:p w14:paraId="10917DB6" w14:textId="77777777" w:rsidR="00A963FF" w:rsidRPr="008833A7" w:rsidRDefault="00A963FF" w:rsidP="00A963FF">
      <w:pPr>
        <w:rPr>
          <w:rFonts w:cs="Times New Roman"/>
          <w:b/>
          <w:bCs/>
          <w:szCs w:val="20"/>
        </w:rPr>
      </w:pPr>
      <w:r w:rsidRPr="008833A7">
        <w:rPr>
          <w:rFonts w:cs="Times New Roman"/>
          <w:b/>
          <w:bCs/>
          <w:szCs w:val="20"/>
        </w:rPr>
        <w:t>Proposal 6: RAN4 to define AWGN based test for configuration Y = 1, D1 = 1 slot configuration, for TDCP amplitude accuracy test.</w:t>
      </w:r>
    </w:p>
    <w:p w14:paraId="3890648B" w14:textId="77777777" w:rsidR="00A963FF" w:rsidRPr="008833A7" w:rsidRDefault="00A963FF" w:rsidP="00A963FF">
      <w:pPr>
        <w:rPr>
          <w:rFonts w:cs="Times New Roman"/>
          <w:szCs w:val="20"/>
        </w:rPr>
      </w:pPr>
      <w:r w:rsidRPr="008833A7">
        <w:rPr>
          <w:rFonts w:cs="Times New Roman"/>
          <w:b/>
          <w:bCs/>
          <w:szCs w:val="20"/>
        </w:rPr>
        <w:t>Observation 8:</w:t>
      </w:r>
      <w:r w:rsidRPr="008833A7">
        <w:rPr>
          <w:rFonts w:cs="Times New Roman"/>
          <w:szCs w:val="20"/>
        </w:rPr>
        <w:t xml:space="preserve"> Phase reporting is supported only for Y &gt; 1 TDCP configuration.</w:t>
      </w:r>
    </w:p>
    <w:p w14:paraId="166DEF88" w14:textId="77777777" w:rsidR="00A963FF" w:rsidRPr="008833A7" w:rsidRDefault="00A963FF" w:rsidP="00A963FF">
      <w:pPr>
        <w:rPr>
          <w:rFonts w:cs="Times New Roman"/>
          <w:szCs w:val="20"/>
        </w:rPr>
      </w:pPr>
      <w:r w:rsidRPr="008833A7">
        <w:rPr>
          <w:rFonts w:cs="Times New Roman"/>
          <w:b/>
          <w:bCs/>
          <w:szCs w:val="20"/>
        </w:rPr>
        <w:t>Observation 9:</w:t>
      </w:r>
      <w:r w:rsidRPr="008833A7">
        <w:rPr>
          <w:rFonts w:cs="Times New Roman"/>
          <w:szCs w:val="20"/>
        </w:rPr>
        <w:t xml:space="preserve"> Depending on whether correlation phase reporting also a subject to accuracy requirements, the change of distribution of the phase in presence of noise should be studied.</w:t>
      </w:r>
    </w:p>
    <w:p w14:paraId="128AEF61" w14:textId="77777777" w:rsidR="00A963FF" w:rsidRPr="008833A7" w:rsidRDefault="00A963FF" w:rsidP="00A963FF">
      <w:pPr>
        <w:rPr>
          <w:rFonts w:cs="Times New Roman"/>
          <w:b/>
          <w:bCs/>
          <w:szCs w:val="20"/>
        </w:rPr>
      </w:pPr>
      <w:r w:rsidRPr="008833A7">
        <w:rPr>
          <w:rFonts w:cs="Times New Roman"/>
          <w:b/>
          <w:bCs/>
          <w:szCs w:val="20"/>
        </w:rPr>
        <w:t xml:space="preserve">Proposal 7: RAN4 to define AWGN based test for configuration Y = 2, D1 = 1 slot, D2 = 2 slots configuration, for TDCP amplitude and phase accuracy test, subject to decision to test TDCP phase accuracy. </w:t>
      </w:r>
    </w:p>
    <w:p w14:paraId="770E0DD6" w14:textId="77777777" w:rsidR="00A963FF" w:rsidRPr="008833A7" w:rsidRDefault="00A963FF" w:rsidP="00A963FF">
      <w:pPr>
        <w:rPr>
          <w:rFonts w:cs="Times New Roman"/>
          <w:b/>
          <w:bCs/>
          <w:szCs w:val="20"/>
        </w:rPr>
      </w:pPr>
      <w:r w:rsidRPr="008833A7">
        <w:rPr>
          <w:rFonts w:cs="Times New Roman"/>
          <w:b/>
          <w:bCs/>
          <w:szCs w:val="20"/>
        </w:rPr>
        <w:t>Proposal 8: RAN4 to further discuss possibility of defining Jakes model, TDL and CDL based TDCP accuracy tests.</w:t>
      </w:r>
    </w:p>
    <w:p w14:paraId="7135D462" w14:textId="77777777" w:rsidR="00A963FF" w:rsidRPr="008833A7" w:rsidRDefault="00A963FF" w:rsidP="00A963FF">
      <w:pPr>
        <w:rPr>
          <w:rFonts w:cs="Times New Roman"/>
          <w:szCs w:val="20"/>
        </w:rPr>
      </w:pPr>
      <w:r w:rsidRPr="008833A7">
        <w:rPr>
          <w:rFonts w:cs="Times New Roman"/>
          <w:b/>
          <w:bCs/>
          <w:szCs w:val="20"/>
        </w:rPr>
        <w:t>Observation 11:</w:t>
      </w:r>
      <w:r w:rsidRPr="008833A7">
        <w:rPr>
          <w:rFonts w:cs="Times New Roman"/>
          <w:szCs w:val="20"/>
        </w:rPr>
        <w:t xml:space="preserve"> AWGN test is minimal required test and does not capture TDCP ability to capture channel variability in time due to mobility.</w:t>
      </w:r>
    </w:p>
    <w:p w14:paraId="3921A75E" w14:textId="77777777" w:rsidR="00A963FF" w:rsidRPr="008833A7" w:rsidRDefault="00A963FF" w:rsidP="00A963FF">
      <w:pPr>
        <w:rPr>
          <w:rFonts w:cs="Times New Roman"/>
          <w:b/>
          <w:bCs/>
          <w:szCs w:val="20"/>
        </w:rPr>
      </w:pPr>
      <w:r w:rsidRPr="008833A7">
        <w:rPr>
          <w:rFonts w:cs="Times New Roman"/>
          <w:b/>
          <w:bCs/>
          <w:szCs w:val="20"/>
        </w:rPr>
        <w:t>Proposal 10: RAN4 to define at least TDCP accuracy test in AWGN channel conditions for a set of SNR values.</w:t>
      </w:r>
    </w:p>
    <w:p w14:paraId="2882EA6F" w14:textId="3B25A686" w:rsidR="00847264" w:rsidRPr="008C39F7" w:rsidRDefault="00847264" w:rsidP="008C39F7"/>
    <w:p w14:paraId="41687F36" w14:textId="77777777" w:rsidR="003B659E" w:rsidRPr="008C39F7" w:rsidRDefault="003B659E" w:rsidP="0060543D">
      <w:pPr>
        <w:pStyle w:val="RAN4H1"/>
        <w:numPr>
          <w:ilvl w:val="0"/>
          <w:numId w:val="0"/>
        </w:numPr>
        <w:ind w:left="360" w:hanging="360"/>
      </w:pPr>
      <w:r w:rsidRPr="008C39F7">
        <w:t>References</w:t>
      </w:r>
      <w:bookmarkEnd w:id="57"/>
    </w:p>
    <w:p w14:paraId="2DBDD005" w14:textId="3B808391" w:rsidR="004248D0" w:rsidRDefault="00F737CC" w:rsidP="00B3134C">
      <w:pPr>
        <w:pStyle w:val="ListParagraph"/>
        <w:numPr>
          <w:ilvl w:val="0"/>
          <w:numId w:val="21"/>
        </w:numPr>
        <w:ind w:right="-22"/>
      </w:pPr>
      <w:bookmarkStart w:id="58" w:name="_Ref114500673"/>
      <w:bookmarkEnd w:id="58"/>
      <w:r>
        <w:t>R4-</w:t>
      </w:r>
      <w:r w:rsidRPr="008A1082">
        <w:t>2314347</w:t>
      </w:r>
      <w:r>
        <w:t xml:space="preserve">, “WF on R18 NR MIMO RRM requirements”, Samsung, RAN4#108, </w:t>
      </w:r>
      <w:r w:rsidRPr="008A1082">
        <w:t>Toulouse, France, August 21 – 25, 2023</w:t>
      </w:r>
      <w:r w:rsidR="000040DC" w:rsidRPr="008C39F7">
        <w:t>.</w:t>
      </w:r>
      <w:bookmarkStart w:id="59" w:name="_Ref146038026"/>
    </w:p>
    <w:p w14:paraId="2EAE53C3" w14:textId="6A83FFD4" w:rsidR="000040DC" w:rsidRPr="00847264" w:rsidRDefault="00AC05F5">
      <w:pPr>
        <w:pStyle w:val="ListParagraph"/>
        <w:numPr>
          <w:ilvl w:val="0"/>
          <w:numId w:val="21"/>
        </w:numPr>
        <w:ind w:right="-22"/>
      </w:pPr>
      <w:r w:rsidRPr="002730CC">
        <w:t>R4-2313563</w:t>
      </w:r>
      <w:r>
        <w:t xml:space="preserve">: </w:t>
      </w:r>
      <w:r w:rsidRPr="00620E58">
        <w:t>Nokia/Nokia Shanghai Bell, 3GPP TSG RAN WG</w:t>
      </w:r>
      <w:r>
        <w:t>4</w:t>
      </w:r>
      <w:r w:rsidRPr="00620E58">
        <w:t xml:space="preserve"> Meeting #1</w:t>
      </w:r>
      <w:r>
        <w:t>08</w:t>
      </w:r>
      <w:r w:rsidRPr="00620E58">
        <w:t xml:space="preserve">, Agenda item </w:t>
      </w:r>
      <w:r>
        <w:t>8.29.3.1</w:t>
      </w:r>
      <w:r w:rsidRPr="00555759">
        <w:t xml:space="preserve"> Discussion on the Time Domain Channel Property (TDCP)</w:t>
      </w:r>
      <w:r w:rsidRPr="00620E58">
        <w:t xml:space="preserve">. </w:t>
      </w:r>
      <w:r>
        <w:t>Aug</w:t>
      </w:r>
      <w:r w:rsidRPr="00620E58">
        <w:t xml:space="preserve"> 202</w:t>
      </w:r>
      <w:r>
        <w:t>3</w:t>
      </w:r>
      <w:bookmarkEnd w:id="59"/>
      <w:r w:rsidR="00F737CC">
        <w:t>.</w:t>
      </w:r>
    </w:p>
    <w:p w14:paraId="638CE1C5" w14:textId="4A96E155" w:rsidR="00DC06CD" w:rsidRDefault="00DC06CD">
      <w:pPr>
        <w:pStyle w:val="RAN4H1"/>
      </w:pPr>
      <w:r>
        <w:lastRenderedPageBreak/>
        <w:t>Appendix</w:t>
      </w:r>
      <w:r w:rsidR="0075192A">
        <w:t xml:space="preserve">: AWGN based </w:t>
      </w:r>
      <w:r w:rsidR="00A57C16">
        <w:t>TDCP</w:t>
      </w:r>
      <w:r w:rsidR="00D50DDB">
        <w:t xml:space="preserve"> tests</w:t>
      </w:r>
    </w:p>
    <w:p w14:paraId="24C1DA69" w14:textId="6F2A67EC" w:rsidR="0046457F" w:rsidRDefault="00AE795F" w:rsidP="00C00E79">
      <w:r>
        <w:rPr>
          <w:noProof/>
        </w:rPr>
        <w:drawing>
          <wp:inline distT="0" distB="0" distL="0" distR="0" wp14:anchorId="7156A517" wp14:editId="343393AF">
            <wp:extent cx="5334000" cy="400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r>
        <w:rPr>
          <w:noProof/>
        </w:rPr>
        <w:drawing>
          <wp:inline distT="0" distB="0" distL="0" distR="0" wp14:anchorId="5929A1B6" wp14:editId="727E37AA">
            <wp:extent cx="5334000" cy="4000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2AA9FE0C" w14:textId="55792D0B" w:rsidR="00AC05F5" w:rsidRPr="00847264" w:rsidRDefault="006F35EE" w:rsidP="00796A38">
      <w:r>
        <w:rPr>
          <w:noProof/>
        </w:rPr>
        <w:lastRenderedPageBreak/>
        <w:drawing>
          <wp:inline distT="0" distB="0" distL="0" distR="0" wp14:anchorId="05EF8D5A" wp14:editId="3DCE367D">
            <wp:extent cx="5353050" cy="439267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63687" cy="4401404"/>
                    </a:xfrm>
                    <a:prstGeom prst="rect">
                      <a:avLst/>
                    </a:prstGeom>
                    <a:noFill/>
                    <a:ln>
                      <a:noFill/>
                    </a:ln>
                  </pic:spPr>
                </pic:pic>
              </a:graphicData>
            </a:graphic>
          </wp:inline>
        </w:drawing>
      </w:r>
      <w:r>
        <w:rPr>
          <w:noProof/>
        </w:rPr>
        <w:drawing>
          <wp:inline distT="0" distB="0" distL="0" distR="0" wp14:anchorId="5779AD87" wp14:editId="12FB5F9C">
            <wp:extent cx="5432291" cy="4457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56813" cy="4477823"/>
                    </a:xfrm>
                    <a:prstGeom prst="rect">
                      <a:avLst/>
                    </a:prstGeom>
                    <a:noFill/>
                    <a:ln>
                      <a:noFill/>
                    </a:ln>
                  </pic:spPr>
                </pic:pic>
              </a:graphicData>
            </a:graphic>
          </wp:inline>
        </w:drawing>
      </w:r>
      <w:r>
        <w:rPr>
          <w:noProof/>
        </w:rPr>
        <w:lastRenderedPageBreak/>
        <w:drawing>
          <wp:inline distT="0" distB="0" distL="0" distR="0" wp14:anchorId="25CD14BC" wp14:editId="01AB3F3C">
            <wp:extent cx="5314950" cy="436141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0561" cy="4366014"/>
                    </a:xfrm>
                    <a:prstGeom prst="rect">
                      <a:avLst/>
                    </a:prstGeom>
                    <a:noFill/>
                    <a:ln>
                      <a:noFill/>
                    </a:ln>
                  </pic:spPr>
                </pic:pic>
              </a:graphicData>
            </a:graphic>
          </wp:inline>
        </w:drawing>
      </w:r>
      <w:r>
        <w:rPr>
          <w:noProof/>
        </w:rPr>
        <w:drawing>
          <wp:inline distT="0" distB="0" distL="0" distR="0" wp14:anchorId="1DF21486" wp14:editId="37E1CEB6">
            <wp:extent cx="5524500" cy="4533365"/>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30502" cy="4538290"/>
                    </a:xfrm>
                    <a:prstGeom prst="rect">
                      <a:avLst/>
                    </a:prstGeom>
                    <a:noFill/>
                    <a:ln>
                      <a:noFill/>
                    </a:ln>
                  </pic:spPr>
                </pic:pic>
              </a:graphicData>
            </a:graphic>
          </wp:inline>
        </w:drawing>
      </w:r>
      <w:r>
        <w:rPr>
          <w:noProof/>
        </w:rPr>
        <w:lastRenderedPageBreak/>
        <w:drawing>
          <wp:inline distT="0" distB="0" distL="0" distR="0" wp14:anchorId="3B8E5389" wp14:editId="0A659F1B">
            <wp:extent cx="5495925" cy="4509917"/>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0282" cy="4513492"/>
                    </a:xfrm>
                    <a:prstGeom prst="rect">
                      <a:avLst/>
                    </a:prstGeom>
                    <a:noFill/>
                    <a:ln>
                      <a:noFill/>
                    </a:ln>
                  </pic:spPr>
                </pic:pic>
              </a:graphicData>
            </a:graphic>
          </wp:inline>
        </w:drawing>
      </w:r>
    </w:p>
    <w:sectPr w:rsidR="00AC05F5" w:rsidRPr="00847264"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83695" w14:textId="77777777" w:rsidR="0037014D" w:rsidRDefault="0037014D" w:rsidP="00001C9B">
      <w:pPr>
        <w:spacing w:after="0" w:line="240" w:lineRule="auto"/>
      </w:pPr>
      <w:r>
        <w:separator/>
      </w:r>
    </w:p>
  </w:endnote>
  <w:endnote w:type="continuationSeparator" w:id="0">
    <w:p w14:paraId="205A6F21" w14:textId="77777777" w:rsidR="0037014D" w:rsidRDefault="0037014D" w:rsidP="00001C9B">
      <w:pPr>
        <w:spacing w:after="0" w:line="240" w:lineRule="auto"/>
      </w:pPr>
      <w:r>
        <w:continuationSeparator/>
      </w:r>
    </w:p>
  </w:endnote>
  <w:endnote w:type="continuationNotice" w:id="1">
    <w:p w14:paraId="0CD129B2" w14:textId="77777777" w:rsidR="0037014D" w:rsidRDefault="0037014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doni MT Poster Compressed">
    <w:panose1 w:val="02070706080601050204"/>
    <w:charset w:val="00"/>
    <w:family w:val="roman"/>
    <w:pitch w:val="variable"/>
    <w:sig w:usb0="00000007" w:usb1="00000000" w:usb2="00000000" w:usb3="00000000" w:csb0="0000001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9DDFA1" w14:textId="77777777" w:rsidR="0037014D" w:rsidRDefault="0037014D" w:rsidP="00001C9B">
      <w:pPr>
        <w:spacing w:after="0" w:line="240" w:lineRule="auto"/>
      </w:pPr>
      <w:r>
        <w:separator/>
      </w:r>
    </w:p>
  </w:footnote>
  <w:footnote w:type="continuationSeparator" w:id="0">
    <w:p w14:paraId="437B9EE7" w14:textId="77777777" w:rsidR="0037014D" w:rsidRDefault="0037014D" w:rsidP="00001C9B">
      <w:pPr>
        <w:spacing w:after="0" w:line="240" w:lineRule="auto"/>
      </w:pPr>
      <w:r>
        <w:continuationSeparator/>
      </w:r>
    </w:p>
  </w:footnote>
  <w:footnote w:type="continuationNotice" w:id="1">
    <w:p w14:paraId="2AE674B5" w14:textId="77777777" w:rsidR="0037014D" w:rsidRDefault="0037014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B32CD2"/>
    <w:multiLevelType w:val="hybridMultilevel"/>
    <w:tmpl w:val="4218202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0E33B67"/>
    <w:multiLevelType w:val="hybridMultilevel"/>
    <w:tmpl w:val="1CE0359C"/>
    <w:lvl w:ilvl="0" w:tplc="EE76E42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40E7180C"/>
    <w:multiLevelType w:val="hybridMultilevel"/>
    <w:tmpl w:val="CBFE4A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6101B5B"/>
    <w:multiLevelType w:val="hybridMultilevel"/>
    <w:tmpl w:val="54D4CD64"/>
    <w:lvl w:ilvl="0" w:tplc="EE76E424">
      <w:start w:val="1"/>
      <w:numFmt w:val="lowerLetter"/>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74323EE"/>
    <w:multiLevelType w:val="hybridMultilevel"/>
    <w:tmpl w:val="1FAED608"/>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3" w15:restartNumberingAfterBreak="0">
    <w:nsid w:val="4D6E3167"/>
    <w:multiLevelType w:val="hybridMultilevel"/>
    <w:tmpl w:val="E2DCBEB0"/>
    <w:lvl w:ilvl="0" w:tplc="1D12B05C">
      <w:start w:val="1"/>
      <w:numFmt w:val="decimal"/>
      <w:pStyle w:val="RAN4proposal"/>
      <w:suff w:val="space"/>
      <w:lvlText w:val="Proposal %1:"/>
      <w:lvlJc w:val="left"/>
      <w:pPr>
        <w:ind w:left="502"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A872824"/>
    <w:multiLevelType w:val="hybridMultilevel"/>
    <w:tmpl w:val="35625D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9"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6945348">
    <w:abstractNumId w:val="1"/>
  </w:num>
  <w:num w:numId="2" w16cid:durableId="1469392472">
    <w:abstractNumId w:val="5"/>
  </w:num>
  <w:num w:numId="3" w16cid:durableId="1792749823">
    <w:abstractNumId w:val="14"/>
  </w:num>
  <w:num w:numId="4" w16cid:durableId="517735681">
    <w:abstractNumId w:val="4"/>
  </w:num>
  <w:num w:numId="5" w16cid:durableId="1142041724">
    <w:abstractNumId w:val="19"/>
  </w:num>
  <w:num w:numId="6" w16cid:durableId="80681869">
    <w:abstractNumId w:val="11"/>
  </w:num>
  <w:num w:numId="7" w16cid:durableId="1566528953">
    <w:abstractNumId w:val="13"/>
  </w:num>
  <w:num w:numId="8" w16cid:durableId="809788981">
    <w:abstractNumId w:val="13"/>
    <w:lvlOverride w:ilvl="0">
      <w:startOverride w:val="1"/>
    </w:lvlOverride>
  </w:num>
  <w:num w:numId="9" w16cid:durableId="1398822153">
    <w:abstractNumId w:val="13"/>
    <w:lvlOverride w:ilvl="0">
      <w:startOverride w:val="1"/>
    </w:lvlOverride>
  </w:num>
  <w:num w:numId="10" w16cid:durableId="1825466284">
    <w:abstractNumId w:val="13"/>
    <w:lvlOverride w:ilvl="0">
      <w:startOverride w:val="1"/>
    </w:lvlOverride>
  </w:num>
  <w:num w:numId="11" w16cid:durableId="1446922321">
    <w:abstractNumId w:val="11"/>
    <w:lvlOverride w:ilvl="0">
      <w:startOverride w:val="1"/>
    </w:lvlOverride>
  </w:num>
  <w:num w:numId="12" w16cid:durableId="122584543">
    <w:abstractNumId w:val="13"/>
    <w:lvlOverride w:ilvl="0">
      <w:startOverride w:val="1"/>
    </w:lvlOverride>
  </w:num>
  <w:num w:numId="13" w16cid:durableId="818807267">
    <w:abstractNumId w:val="11"/>
    <w:lvlOverride w:ilvl="0">
      <w:startOverride w:val="1"/>
    </w:lvlOverride>
  </w:num>
  <w:num w:numId="14" w16cid:durableId="883829348">
    <w:abstractNumId w:val="13"/>
    <w:lvlOverride w:ilvl="0">
      <w:startOverride w:val="1"/>
    </w:lvlOverride>
  </w:num>
  <w:num w:numId="15" w16cid:durableId="438372887">
    <w:abstractNumId w:val="20"/>
  </w:num>
  <w:num w:numId="16" w16cid:durableId="516113510">
    <w:abstractNumId w:val="3"/>
  </w:num>
  <w:num w:numId="17" w16cid:durableId="1456096507">
    <w:abstractNumId w:val="17"/>
  </w:num>
  <w:num w:numId="18" w16cid:durableId="1397970374">
    <w:abstractNumId w:val="17"/>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9"/>
  </w:num>
  <w:num w:numId="21" w16cid:durableId="1659071369">
    <w:abstractNumId w:val="15"/>
  </w:num>
  <w:num w:numId="22" w16cid:durableId="1938362445">
    <w:abstractNumId w:val="11"/>
    <w:lvlOverride w:ilvl="0">
      <w:startOverride w:val="1"/>
    </w:lvlOverride>
  </w:num>
  <w:num w:numId="23" w16cid:durableId="913515990">
    <w:abstractNumId w:val="13"/>
    <w:lvlOverride w:ilvl="0">
      <w:startOverride w:val="1"/>
    </w:lvlOverride>
  </w:num>
  <w:num w:numId="24" w16cid:durableId="978418003">
    <w:abstractNumId w:val="2"/>
  </w:num>
  <w:num w:numId="25" w16cid:durableId="143009612">
    <w:abstractNumId w:val="0"/>
  </w:num>
  <w:num w:numId="26" w16cid:durableId="212620654">
    <w:abstractNumId w:val="0"/>
    <w:lvlOverride w:ilvl="0">
      <w:startOverride w:val="1"/>
    </w:lvlOverride>
  </w:num>
  <w:num w:numId="27" w16cid:durableId="403990652">
    <w:abstractNumId w:val="18"/>
  </w:num>
  <w:num w:numId="28" w16cid:durableId="1815953530">
    <w:abstractNumId w:val="8"/>
  </w:num>
  <w:num w:numId="29" w16cid:durableId="1493716644">
    <w:abstractNumId w:val="6"/>
  </w:num>
  <w:num w:numId="30" w16cid:durableId="339431135">
    <w:abstractNumId w:val="16"/>
  </w:num>
  <w:num w:numId="31" w16cid:durableId="1880319753">
    <w:abstractNumId w:val="10"/>
  </w:num>
  <w:num w:numId="32" w16cid:durableId="160856121">
    <w:abstractNumId w:val="12"/>
  </w:num>
  <w:num w:numId="33" w16cid:durableId="2111000958">
    <w:abstractNumId w:val="7"/>
  </w:num>
  <w:num w:numId="34" w16cid:durableId="2140681489">
    <w:abstractNumId w:val="13"/>
    <w:lvlOverride w:ilvl="0">
      <w:startOverride w:val="1"/>
    </w:lvlOverride>
  </w:num>
  <w:num w:numId="35" w16cid:durableId="1708337883">
    <w:abstractNumId w:val="13"/>
    <w:lvlOverride w:ilvl="0">
      <w:startOverride w:val="1"/>
    </w:lvlOverride>
  </w:num>
  <w:num w:numId="36" w16cid:durableId="598683153">
    <w:abstractNumId w:val="13"/>
    <w:lvlOverride w:ilvl="0">
      <w:startOverride w:val="1"/>
    </w:lvlOverride>
  </w:num>
  <w:num w:numId="37" w16cid:durableId="20204613">
    <w:abstractNumId w:val="13"/>
    <w:lvlOverride w:ilvl="0">
      <w:startOverride w:val="1"/>
    </w:lvlOverride>
  </w:num>
  <w:num w:numId="38" w16cid:durableId="1692802858">
    <w:abstractNumId w:val="13"/>
    <w:lvlOverride w:ilvl="0">
      <w:startOverride w:val="1"/>
    </w:lvlOverride>
  </w:num>
  <w:num w:numId="39" w16cid:durableId="870458538">
    <w:abstractNumId w:val="1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efaultTabStop w:val="720"/>
  <w:hyphenationZone w:val="425"/>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E7491E"/>
    <w:rsid w:val="00001101"/>
    <w:rsid w:val="00001842"/>
    <w:rsid w:val="00001C9B"/>
    <w:rsid w:val="00002182"/>
    <w:rsid w:val="000040DC"/>
    <w:rsid w:val="000058EC"/>
    <w:rsid w:val="00011784"/>
    <w:rsid w:val="000151EF"/>
    <w:rsid w:val="00016823"/>
    <w:rsid w:val="00020045"/>
    <w:rsid w:val="00020428"/>
    <w:rsid w:val="000211E1"/>
    <w:rsid w:val="000226C2"/>
    <w:rsid w:val="000239F5"/>
    <w:rsid w:val="00023DE4"/>
    <w:rsid w:val="00024B08"/>
    <w:rsid w:val="000257A2"/>
    <w:rsid w:val="00025A50"/>
    <w:rsid w:val="0003071B"/>
    <w:rsid w:val="0003438E"/>
    <w:rsid w:val="0003491D"/>
    <w:rsid w:val="000354E5"/>
    <w:rsid w:val="0004476C"/>
    <w:rsid w:val="00051E52"/>
    <w:rsid w:val="0005228F"/>
    <w:rsid w:val="000528A5"/>
    <w:rsid w:val="00052DFF"/>
    <w:rsid w:val="00054381"/>
    <w:rsid w:val="00054D77"/>
    <w:rsid w:val="000558FF"/>
    <w:rsid w:val="00056298"/>
    <w:rsid w:val="00056852"/>
    <w:rsid w:val="00060252"/>
    <w:rsid w:val="00060A4C"/>
    <w:rsid w:val="00067E3A"/>
    <w:rsid w:val="0007295A"/>
    <w:rsid w:val="000745FF"/>
    <w:rsid w:val="000773FB"/>
    <w:rsid w:val="00082175"/>
    <w:rsid w:val="0008254A"/>
    <w:rsid w:val="00082E54"/>
    <w:rsid w:val="0008612A"/>
    <w:rsid w:val="000874D0"/>
    <w:rsid w:val="00090E18"/>
    <w:rsid w:val="0009220E"/>
    <w:rsid w:val="00093510"/>
    <w:rsid w:val="00097361"/>
    <w:rsid w:val="000A10BC"/>
    <w:rsid w:val="000A2CC9"/>
    <w:rsid w:val="000A3A25"/>
    <w:rsid w:val="000A5B2D"/>
    <w:rsid w:val="000B0056"/>
    <w:rsid w:val="000B2D5F"/>
    <w:rsid w:val="000B4F09"/>
    <w:rsid w:val="000B6D9F"/>
    <w:rsid w:val="000C3C7B"/>
    <w:rsid w:val="000C404B"/>
    <w:rsid w:val="000C42E9"/>
    <w:rsid w:val="000C67E1"/>
    <w:rsid w:val="000C68BC"/>
    <w:rsid w:val="000D0F93"/>
    <w:rsid w:val="000D1125"/>
    <w:rsid w:val="000D26C0"/>
    <w:rsid w:val="000D288B"/>
    <w:rsid w:val="000D7333"/>
    <w:rsid w:val="000E063C"/>
    <w:rsid w:val="000E43CD"/>
    <w:rsid w:val="000E5445"/>
    <w:rsid w:val="000E55E4"/>
    <w:rsid w:val="000E5FF6"/>
    <w:rsid w:val="000E661E"/>
    <w:rsid w:val="000E6DA2"/>
    <w:rsid w:val="000F00AB"/>
    <w:rsid w:val="000F0575"/>
    <w:rsid w:val="000F6A9E"/>
    <w:rsid w:val="000F74AC"/>
    <w:rsid w:val="001017FA"/>
    <w:rsid w:val="001020B8"/>
    <w:rsid w:val="00102E1A"/>
    <w:rsid w:val="00103224"/>
    <w:rsid w:val="001051F3"/>
    <w:rsid w:val="00106416"/>
    <w:rsid w:val="00110481"/>
    <w:rsid w:val="0011055F"/>
    <w:rsid w:val="00110F48"/>
    <w:rsid w:val="001127C9"/>
    <w:rsid w:val="00112FEF"/>
    <w:rsid w:val="00114498"/>
    <w:rsid w:val="00114D00"/>
    <w:rsid w:val="00115B88"/>
    <w:rsid w:val="00116656"/>
    <w:rsid w:val="001202BF"/>
    <w:rsid w:val="001205D4"/>
    <w:rsid w:val="001232D5"/>
    <w:rsid w:val="001233FC"/>
    <w:rsid w:val="00123455"/>
    <w:rsid w:val="00125E31"/>
    <w:rsid w:val="001303AA"/>
    <w:rsid w:val="00131BC3"/>
    <w:rsid w:val="00131EBD"/>
    <w:rsid w:val="00131FEC"/>
    <w:rsid w:val="0013236B"/>
    <w:rsid w:val="00132692"/>
    <w:rsid w:val="00132C6A"/>
    <w:rsid w:val="00132F6A"/>
    <w:rsid w:val="00133913"/>
    <w:rsid w:val="00134FC7"/>
    <w:rsid w:val="00140221"/>
    <w:rsid w:val="00142115"/>
    <w:rsid w:val="0014352A"/>
    <w:rsid w:val="00145E75"/>
    <w:rsid w:val="00150DB2"/>
    <w:rsid w:val="00151124"/>
    <w:rsid w:val="0015260C"/>
    <w:rsid w:val="00152D28"/>
    <w:rsid w:val="00162467"/>
    <w:rsid w:val="001642FC"/>
    <w:rsid w:val="0016496B"/>
    <w:rsid w:val="00167702"/>
    <w:rsid w:val="0017131A"/>
    <w:rsid w:val="001743E2"/>
    <w:rsid w:val="001745F8"/>
    <w:rsid w:val="001766C7"/>
    <w:rsid w:val="00177590"/>
    <w:rsid w:val="00182EB0"/>
    <w:rsid w:val="001838CF"/>
    <w:rsid w:val="00184CA6"/>
    <w:rsid w:val="00185A8F"/>
    <w:rsid w:val="001868EE"/>
    <w:rsid w:val="00187841"/>
    <w:rsid w:val="00195353"/>
    <w:rsid w:val="001A0DF9"/>
    <w:rsid w:val="001A33B8"/>
    <w:rsid w:val="001A3BA4"/>
    <w:rsid w:val="001A3F5F"/>
    <w:rsid w:val="001A4CAC"/>
    <w:rsid w:val="001A6D1F"/>
    <w:rsid w:val="001A7185"/>
    <w:rsid w:val="001B3696"/>
    <w:rsid w:val="001B3D96"/>
    <w:rsid w:val="001B5A5D"/>
    <w:rsid w:val="001C5A90"/>
    <w:rsid w:val="001C5BEB"/>
    <w:rsid w:val="001C5EF0"/>
    <w:rsid w:val="001C6974"/>
    <w:rsid w:val="001D0EDF"/>
    <w:rsid w:val="001D12A4"/>
    <w:rsid w:val="001D144D"/>
    <w:rsid w:val="001D169A"/>
    <w:rsid w:val="001D3452"/>
    <w:rsid w:val="001D4BEC"/>
    <w:rsid w:val="001D5C55"/>
    <w:rsid w:val="001E1353"/>
    <w:rsid w:val="001E30F6"/>
    <w:rsid w:val="001E3F94"/>
    <w:rsid w:val="001E5862"/>
    <w:rsid w:val="001E6D37"/>
    <w:rsid w:val="001F0BC0"/>
    <w:rsid w:val="001F1FCA"/>
    <w:rsid w:val="001F6512"/>
    <w:rsid w:val="001F79D1"/>
    <w:rsid w:val="0020056F"/>
    <w:rsid w:val="002005D7"/>
    <w:rsid w:val="00200729"/>
    <w:rsid w:val="00206825"/>
    <w:rsid w:val="00207C0F"/>
    <w:rsid w:val="00210A37"/>
    <w:rsid w:val="0021312C"/>
    <w:rsid w:val="002140C0"/>
    <w:rsid w:val="002170F7"/>
    <w:rsid w:val="00217727"/>
    <w:rsid w:val="00217EE5"/>
    <w:rsid w:val="00227173"/>
    <w:rsid w:val="00235F5C"/>
    <w:rsid w:val="00236659"/>
    <w:rsid w:val="00240DB3"/>
    <w:rsid w:val="00256CA7"/>
    <w:rsid w:val="00257FA3"/>
    <w:rsid w:val="0026073E"/>
    <w:rsid w:val="002618CA"/>
    <w:rsid w:val="00261918"/>
    <w:rsid w:val="00266756"/>
    <w:rsid w:val="0026676C"/>
    <w:rsid w:val="0027013E"/>
    <w:rsid w:val="00271D39"/>
    <w:rsid w:val="00274C49"/>
    <w:rsid w:val="00276447"/>
    <w:rsid w:val="00277A7C"/>
    <w:rsid w:val="00277B56"/>
    <w:rsid w:val="0028361B"/>
    <w:rsid w:val="002856B0"/>
    <w:rsid w:val="002866A2"/>
    <w:rsid w:val="00291A01"/>
    <w:rsid w:val="00296460"/>
    <w:rsid w:val="0029731B"/>
    <w:rsid w:val="002A14BC"/>
    <w:rsid w:val="002A19F5"/>
    <w:rsid w:val="002A3582"/>
    <w:rsid w:val="002A4666"/>
    <w:rsid w:val="002A4F82"/>
    <w:rsid w:val="002A7418"/>
    <w:rsid w:val="002B16CC"/>
    <w:rsid w:val="002B3C4F"/>
    <w:rsid w:val="002B4922"/>
    <w:rsid w:val="002B4CEF"/>
    <w:rsid w:val="002B59A6"/>
    <w:rsid w:val="002B69F3"/>
    <w:rsid w:val="002C22C3"/>
    <w:rsid w:val="002C2D19"/>
    <w:rsid w:val="002C321C"/>
    <w:rsid w:val="002C437A"/>
    <w:rsid w:val="002C496E"/>
    <w:rsid w:val="002D0127"/>
    <w:rsid w:val="002D10FA"/>
    <w:rsid w:val="002D1795"/>
    <w:rsid w:val="002D402D"/>
    <w:rsid w:val="002D4C55"/>
    <w:rsid w:val="002D6CEB"/>
    <w:rsid w:val="002E373F"/>
    <w:rsid w:val="002E56CA"/>
    <w:rsid w:val="002E6DED"/>
    <w:rsid w:val="002E779C"/>
    <w:rsid w:val="002F2062"/>
    <w:rsid w:val="002F2B90"/>
    <w:rsid w:val="002F44B4"/>
    <w:rsid w:val="00300587"/>
    <w:rsid w:val="00300956"/>
    <w:rsid w:val="00301B63"/>
    <w:rsid w:val="003022CB"/>
    <w:rsid w:val="003140C6"/>
    <w:rsid w:val="00317187"/>
    <w:rsid w:val="0032499A"/>
    <w:rsid w:val="003257E7"/>
    <w:rsid w:val="00326072"/>
    <w:rsid w:val="003265E0"/>
    <w:rsid w:val="0032702A"/>
    <w:rsid w:val="00332570"/>
    <w:rsid w:val="00332E7A"/>
    <w:rsid w:val="00332E90"/>
    <w:rsid w:val="0033349F"/>
    <w:rsid w:val="003341F7"/>
    <w:rsid w:val="00341249"/>
    <w:rsid w:val="00342B5B"/>
    <w:rsid w:val="003451B0"/>
    <w:rsid w:val="00345483"/>
    <w:rsid w:val="00347FEC"/>
    <w:rsid w:val="003509DF"/>
    <w:rsid w:val="00352423"/>
    <w:rsid w:val="00353D57"/>
    <w:rsid w:val="00355AE3"/>
    <w:rsid w:val="00356F45"/>
    <w:rsid w:val="00361014"/>
    <w:rsid w:val="0036106A"/>
    <w:rsid w:val="003619B8"/>
    <w:rsid w:val="00361B2C"/>
    <w:rsid w:val="003622EC"/>
    <w:rsid w:val="0036333E"/>
    <w:rsid w:val="00363442"/>
    <w:rsid w:val="00364CF1"/>
    <w:rsid w:val="00366B74"/>
    <w:rsid w:val="00367424"/>
    <w:rsid w:val="0037014D"/>
    <w:rsid w:val="00370625"/>
    <w:rsid w:val="00370FDD"/>
    <w:rsid w:val="00371AE1"/>
    <w:rsid w:val="00373A30"/>
    <w:rsid w:val="003761A8"/>
    <w:rsid w:val="00377941"/>
    <w:rsid w:val="00380C05"/>
    <w:rsid w:val="00382024"/>
    <w:rsid w:val="003863BC"/>
    <w:rsid w:val="003900F7"/>
    <w:rsid w:val="00390B03"/>
    <w:rsid w:val="00391AE2"/>
    <w:rsid w:val="003921DA"/>
    <w:rsid w:val="00393099"/>
    <w:rsid w:val="0039383C"/>
    <w:rsid w:val="00395590"/>
    <w:rsid w:val="00395B0D"/>
    <w:rsid w:val="003973B1"/>
    <w:rsid w:val="003A2347"/>
    <w:rsid w:val="003A4846"/>
    <w:rsid w:val="003A710A"/>
    <w:rsid w:val="003B15F4"/>
    <w:rsid w:val="003B26AE"/>
    <w:rsid w:val="003B480E"/>
    <w:rsid w:val="003B5226"/>
    <w:rsid w:val="003B659E"/>
    <w:rsid w:val="003B6ACB"/>
    <w:rsid w:val="003B7468"/>
    <w:rsid w:val="003B7A4E"/>
    <w:rsid w:val="003C22A7"/>
    <w:rsid w:val="003C275E"/>
    <w:rsid w:val="003C378B"/>
    <w:rsid w:val="003C4CF0"/>
    <w:rsid w:val="003C4FDE"/>
    <w:rsid w:val="003C508B"/>
    <w:rsid w:val="003C59FE"/>
    <w:rsid w:val="003C61FD"/>
    <w:rsid w:val="003C78D5"/>
    <w:rsid w:val="003D10FC"/>
    <w:rsid w:val="003D1CAB"/>
    <w:rsid w:val="003D467C"/>
    <w:rsid w:val="003D46EF"/>
    <w:rsid w:val="003D4F0E"/>
    <w:rsid w:val="003D7846"/>
    <w:rsid w:val="003E2EA5"/>
    <w:rsid w:val="003E58DF"/>
    <w:rsid w:val="003E73F4"/>
    <w:rsid w:val="003E7866"/>
    <w:rsid w:val="003E7E2A"/>
    <w:rsid w:val="003F0CFF"/>
    <w:rsid w:val="003F189C"/>
    <w:rsid w:val="00400365"/>
    <w:rsid w:val="00402C24"/>
    <w:rsid w:val="00404C4C"/>
    <w:rsid w:val="00411CA2"/>
    <w:rsid w:val="00413FAA"/>
    <w:rsid w:val="0041423F"/>
    <w:rsid w:val="00414C6B"/>
    <w:rsid w:val="00414F81"/>
    <w:rsid w:val="0041636C"/>
    <w:rsid w:val="004226F8"/>
    <w:rsid w:val="004228D4"/>
    <w:rsid w:val="00423CB5"/>
    <w:rsid w:val="004248D0"/>
    <w:rsid w:val="004253DD"/>
    <w:rsid w:val="00425FE0"/>
    <w:rsid w:val="0042659E"/>
    <w:rsid w:val="004311FE"/>
    <w:rsid w:val="00433629"/>
    <w:rsid w:val="00433BF5"/>
    <w:rsid w:val="00436794"/>
    <w:rsid w:val="00436A0F"/>
    <w:rsid w:val="00437150"/>
    <w:rsid w:val="00437199"/>
    <w:rsid w:val="0043750A"/>
    <w:rsid w:val="00440617"/>
    <w:rsid w:val="00441B6F"/>
    <w:rsid w:val="00442630"/>
    <w:rsid w:val="00442CE0"/>
    <w:rsid w:val="00443869"/>
    <w:rsid w:val="00444534"/>
    <w:rsid w:val="0044513F"/>
    <w:rsid w:val="004461C6"/>
    <w:rsid w:val="00447577"/>
    <w:rsid w:val="00450261"/>
    <w:rsid w:val="004509CE"/>
    <w:rsid w:val="0045387F"/>
    <w:rsid w:val="00453B14"/>
    <w:rsid w:val="00454246"/>
    <w:rsid w:val="00455DB2"/>
    <w:rsid w:val="004610AC"/>
    <w:rsid w:val="004615EC"/>
    <w:rsid w:val="00462EF2"/>
    <w:rsid w:val="004634EB"/>
    <w:rsid w:val="00463EA5"/>
    <w:rsid w:val="0046457F"/>
    <w:rsid w:val="004666EB"/>
    <w:rsid w:val="00470530"/>
    <w:rsid w:val="004726D2"/>
    <w:rsid w:val="004732E9"/>
    <w:rsid w:val="00475B59"/>
    <w:rsid w:val="00476402"/>
    <w:rsid w:val="004854BB"/>
    <w:rsid w:val="004909B4"/>
    <w:rsid w:val="00494493"/>
    <w:rsid w:val="00496606"/>
    <w:rsid w:val="004A1220"/>
    <w:rsid w:val="004A1A0A"/>
    <w:rsid w:val="004A674C"/>
    <w:rsid w:val="004A6760"/>
    <w:rsid w:val="004A72A4"/>
    <w:rsid w:val="004B23CB"/>
    <w:rsid w:val="004B5BCB"/>
    <w:rsid w:val="004B6E3D"/>
    <w:rsid w:val="004C20CA"/>
    <w:rsid w:val="004C287A"/>
    <w:rsid w:val="004C6712"/>
    <w:rsid w:val="004C68BC"/>
    <w:rsid w:val="004C7B09"/>
    <w:rsid w:val="004D2BF9"/>
    <w:rsid w:val="004D475D"/>
    <w:rsid w:val="004E05EA"/>
    <w:rsid w:val="004E0710"/>
    <w:rsid w:val="004E09AD"/>
    <w:rsid w:val="004E3583"/>
    <w:rsid w:val="004E5E66"/>
    <w:rsid w:val="004E6D5C"/>
    <w:rsid w:val="004E6DD8"/>
    <w:rsid w:val="004E7ADB"/>
    <w:rsid w:val="004F061A"/>
    <w:rsid w:val="004F4AD2"/>
    <w:rsid w:val="004F60CF"/>
    <w:rsid w:val="004F7CA2"/>
    <w:rsid w:val="00503B4D"/>
    <w:rsid w:val="00504B43"/>
    <w:rsid w:val="00504EE9"/>
    <w:rsid w:val="005050DF"/>
    <w:rsid w:val="005059F5"/>
    <w:rsid w:val="00506B27"/>
    <w:rsid w:val="0051006A"/>
    <w:rsid w:val="00510239"/>
    <w:rsid w:val="005109C4"/>
    <w:rsid w:val="00516A98"/>
    <w:rsid w:val="00521576"/>
    <w:rsid w:val="005250AD"/>
    <w:rsid w:val="005250E6"/>
    <w:rsid w:val="005259A2"/>
    <w:rsid w:val="00531F21"/>
    <w:rsid w:val="00532173"/>
    <w:rsid w:val="00532DD3"/>
    <w:rsid w:val="00533FC8"/>
    <w:rsid w:val="005340DB"/>
    <w:rsid w:val="0053582D"/>
    <w:rsid w:val="00537FA2"/>
    <w:rsid w:val="0054197B"/>
    <w:rsid w:val="00541FB1"/>
    <w:rsid w:val="00542249"/>
    <w:rsid w:val="00542D23"/>
    <w:rsid w:val="0054398B"/>
    <w:rsid w:val="0054442C"/>
    <w:rsid w:val="005457A9"/>
    <w:rsid w:val="005467F1"/>
    <w:rsid w:val="00550285"/>
    <w:rsid w:val="00550A2D"/>
    <w:rsid w:val="00550ADC"/>
    <w:rsid w:val="00556972"/>
    <w:rsid w:val="005576A8"/>
    <w:rsid w:val="00560415"/>
    <w:rsid w:val="00561BBB"/>
    <w:rsid w:val="00562492"/>
    <w:rsid w:val="00562913"/>
    <w:rsid w:val="005633E3"/>
    <w:rsid w:val="00563EFD"/>
    <w:rsid w:val="00563FD5"/>
    <w:rsid w:val="00565435"/>
    <w:rsid w:val="00572A20"/>
    <w:rsid w:val="00573AEB"/>
    <w:rsid w:val="005757BF"/>
    <w:rsid w:val="00577DFD"/>
    <w:rsid w:val="005811C2"/>
    <w:rsid w:val="005836F8"/>
    <w:rsid w:val="00583FBF"/>
    <w:rsid w:val="0058544B"/>
    <w:rsid w:val="0058754F"/>
    <w:rsid w:val="005918FA"/>
    <w:rsid w:val="00592A86"/>
    <w:rsid w:val="00594A5F"/>
    <w:rsid w:val="00596E2D"/>
    <w:rsid w:val="005A1CF5"/>
    <w:rsid w:val="005A6296"/>
    <w:rsid w:val="005A784B"/>
    <w:rsid w:val="005B2E78"/>
    <w:rsid w:val="005B3029"/>
    <w:rsid w:val="005B4801"/>
    <w:rsid w:val="005B4AC9"/>
    <w:rsid w:val="005B4B10"/>
    <w:rsid w:val="005B5106"/>
    <w:rsid w:val="005C23A4"/>
    <w:rsid w:val="005C323E"/>
    <w:rsid w:val="005C34C5"/>
    <w:rsid w:val="005C4E31"/>
    <w:rsid w:val="005C525B"/>
    <w:rsid w:val="005D038F"/>
    <w:rsid w:val="005D08BF"/>
    <w:rsid w:val="005D1CDF"/>
    <w:rsid w:val="005D2BB7"/>
    <w:rsid w:val="005E058D"/>
    <w:rsid w:val="005E2069"/>
    <w:rsid w:val="005E55E0"/>
    <w:rsid w:val="005E61A8"/>
    <w:rsid w:val="005E67C1"/>
    <w:rsid w:val="005F1E92"/>
    <w:rsid w:val="005F5562"/>
    <w:rsid w:val="005F5BB5"/>
    <w:rsid w:val="005F6419"/>
    <w:rsid w:val="0060009C"/>
    <w:rsid w:val="00603A7A"/>
    <w:rsid w:val="006040D3"/>
    <w:rsid w:val="0060543D"/>
    <w:rsid w:val="006054BC"/>
    <w:rsid w:val="00605B91"/>
    <w:rsid w:val="00607B57"/>
    <w:rsid w:val="006104DD"/>
    <w:rsid w:val="006130B5"/>
    <w:rsid w:val="0061499D"/>
    <w:rsid w:val="00617400"/>
    <w:rsid w:val="0061757F"/>
    <w:rsid w:val="00617CAD"/>
    <w:rsid w:val="0062031D"/>
    <w:rsid w:val="006220B8"/>
    <w:rsid w:val="00622657"/>
    <w:rsid w:val="00623919"/>
    <w:rsid w:val="00626299"/>
    <w:rsid w:val="00627076"/>
    <w:rsid w:val="00627E16"/>
    <w:rsid w:val="006326B1"/>
    <w:rsid w:val="00632D29"/>
    <w:rsid w:val="006341B4"/>
    <w:rsid w:val="00643B0A"/>
    <w:rsid w:val="00644AA0"/>
    <w:rsid w:val="00645380"/>
    <w:rsid w:val="00646783"/>
    <w:rsid w:val="006473E7"/>
    <w:rsid w:val="006572C5"/>
    <w:rsid w:val="00660534"/>
    <w:rsid w:val="00663E3D"/>
    <w:rsid w:val="0066442A"/>
    <w:rsid w:val="00664950"/>
    <w:rsid w:val="006656D6"/>
    <w:rsid w:val="00666020"/>
    <w:rsid w:val="006676CE"/>
    <w:rsid w:val="006738AC"/>
    <w:rsid w:val="00675DD7"/>
    <w:rsid w:val="00677048"/>
    <w:rsid w:val="006803B3"/>
    <w:rsid w:val="00683140"/>
    <w:rsid w:val="00683220"/>
    <w:rsid w:val="00683D58"/>
    <w:rsid w:val="00684A3D"/>
    <w:rsid w:val="0068618A"/>
    <w:rsid w:val="00687FA0"/>
    <w:rsid w:val="00690F5A"/>
    <w:rsid w:val="006918C8"/>
    <w:rsid w:val="00691BFA"/>
    <w:rsid w:val="00691E1E"/>
    <w:rsid w:val="00692CC8"/>
    <w:rsid w:val="006947B0"/>
    <w:rsid w:val="00694AD3"/>
    <w:rsid w:val="00695C1B"/>
    <w:rsid w:val="0069616D"/>
    <w:rsid w:val="00697EE7"/>
    <w:rsid w:val="006A1C0A"/>
    <w:rsid w:val="006A1C3D"/>
    <w:rsid w:val="006A34E4"/>
    <w:rsid w:val="006A3C11"/>
    <w:rsid w:val="006A458F"/>
    <w:rsid w:val="006A5722"/>
    <w:rsid w:val="006A799E"/>
    <w:rsid w:val="006A7AB6"/>
    <w:rsid w:val="006B0E13"/>
    <w:rsid w:val="006B11C2"/>
    <w:rsid w:val="006B400B"/>
    <w:rsid w:val="006B4B9C"/>
    <w:rsid w:val="006B5447"/>
    <w:rsid w:val="006B7010"/>
    <w:rsid w:val="006C026B"/>
    <w:rsid w:val="006C3095"/>
    <w:rsid w:val="006C6DA3"/>
    <w:rsid w:val="006D2D7B"/>
    <w:rsid w:val="006D34FF"/>
    <w:rsid w:val="006D3FA0"/>
    <w:rsid w:val="006D4371"/>
    <w:rsid w:val="006D6110"/>
    <w:rsid w:val="006E1151"/>
    <w:rsid w:val="006E2146"/>
    <w:rsid w:val="006E2F56"/>
    <w:rsid w:val="006E3495"/>
    <w:rsid w:val="006E6311"/>
    <w:rsid w:val="006E6737"/>
    <w:rsid w:val="006F229D"/>
    <w:rsid w:val="006F35EE"/>
    <w:rsid w:val="006F579C"/>
    <w:rsid w:val="006F73A7"/>
    <w:rsid w:val="00703409"/>
    <w:rsid w:val="007067FE"/>
    <w:rsid w:val="00707B10"/>
    <w:rsid w:val="00711C78"/>
    <w:rsid w:val="00712C43"/>
    <w:rsid w:val="00712F7D"/>
    <w:rsid w:val="007145FF"/>
    <w:rsid w:val="00714D87"/>
    <w:rsid w:val="00715507"/>
    <w:rsid w:val="00715B2A"/>
    <w:rsid w:val="0071773C"/>
    <w:rsid w:val="00717D86"/>
    <w:rsid w:val="00721AB9"/>
    <w:rsid w:val="00721E2B"/>
    <w:rsid w:val="007252C8"/>
    <w:rsid w:val="0072626D"/>
    <w:rsid w:val="0072796A"/>
    <w:rsid w:val="0072799C"/>
    <w:rsid w:val="00732811"/>
    <w:rsid w:val="007344FF"/>
    <w:rsid w:val="00735F2B"/>
    <w:rsid w:val="0073639A"/>
    <w:rsid w:val="00736AA6"/>
    <w:rsid w:val="00737C5E"/>
    <w:rsid w:val="00744920"/>
    <w:rsid w:val="007450F1"/>
    <w:rsid w:val="007452F6"/>
    <w:rsid w:val="00745569"/>
    <w:rsid w:val="00750A65"/>
    <w:rsid w:val="00751515"/>
    <w:rsid w:val="0075192A"/>
    <w:rsid w:val="00752C44"/>
    <w:rsid w:val="007539A3"/>
    <w:rsid w:val="00756036"/>
    <w:rsid w:val="00756661"/>
    <w:rsid w:val="0075746A"/>
    <w:rsid w:val="007604F0"/>
    <w:rsid w:val="007626B7"/>
    <w:rsid w:val="0076408E"/>
    <w:rsid w:val="00765369"/>
    <w:rsid w:val="0076543B"/>
    <w:rsid w:val="007654BF"/>
    <w:rsid w:val="00765ED6"/>
    <w:rsid w:val="007662A0"/>
    <w:rsid w:val="0077243E"/>
    <w:rsid w:val="00772E33"/>
    <w:rsid w:val="007745E2"/>
    <w:rsid w:val="0077647D"/>
    <w:rsid w:val="007769C3"/>
    <w:rsid w:val="0078212B"/>
    <w:rsid w:val="00782DD0"/>
    <w:rsid w:val="00783638"/>
    <w:rsid w:val="00784DF6"/>
    <w:rsid w:val="00785232"/>
    <w:rsid w:val="00796A38"/>
    <w:rsid w:val="007A1FDA"/>
    <w:rsid w:val="007A61C1"/>
    <w:rsid w:val="007A61DD"/>
    <w:rsid w:val="007A7142"/>
    <w:rsid w:val="007B057F"/>
    <w:rsid w:val="007B186C"/>
    <w:rsid w:val="007B210A"/>
    <w:rsid w:val="007B24DD"/>
    <w:rsid w:val="007B2832"/>
    <w:rsid w:val="007B576B"/>
    <w:rsid w:val="007C0BA0"/>
    <w:rsid w:val="007C1430"/>
    <w:rsid w:val="007C1696"/>
    <w:rsid w:val="007C37C9"/>
    <w:rsid w:val="007C3DDA"/>
    <w:rsid w:val="007C3ED0"/>
    <w:rsid w:val="007C461A"/>
    <w:rsid w:val="007C5971"/>
    <w:rsid w:val="007D09A7"/>
    <w:rsid w:val="007D14C7"/>
    <w:rsid w:val="007D2482"/>
    <w:rsid w:val="007D2C6C"/>
    <w:rsid w:val="007D4975"/>
    <w:rsid w:val="007D4D26"/>
    <w:rsid w:val="007E3AB2"/>
    <w:rsid w:val="007E42DC"/>
    <w:rsid w:val="007E7C87"/>
    <w:rsid w:val="007F4CE9"/>
    <w:rsid w:val="007F5252"/>
    <w:rsid w:val="007F54B9"/>
    <w:rsid w:val="007F5962"/>
    <w:rsid w:val="007F7538"/>
    <w:rsid w:val="007F7C8B"/>
    <w:rsid w:val="00800612"/>
    <w:rsid w:val="00802B62"/>
    <w:rsid w:val="00803144"/>
    <w:rsid w:val="00803F3C"/>
    <w:rsid w:val="00804915"/>
    <w:rsid w:val="00805A98"/>
    <w:rsid w:val="00806A76"/>
    <w:rsid w:val="00806C50"/>
    <w:rsid w:val="0080706D"/>
    <w:rsid w:val="00807425"/>
    <w:rsid w:val="00810E54"/>
    <w:rsid w:val="00811C9D"/>
    <w:rsid w:val="00814748"/>
    <w:rsid w:val="00815482"/>
    <w:rsid w:val="00816C80"/>
    <w:rsid w:val="0082003C"/>
    <w:rsid w:val="008201D3"/>
    <w:rsid w:val="00820601"/>
    <w:rsid w:val="008230CD"/>
    <w:rsid w:val="00826A9B"/>
    <w:rsid w:val="008271AD"/>
    <w:rsid w:val="008271CC"/>
    <w:rsid w:val="00830A39"/>
    <w:rsid w:val="00834854"/>
    <w:rsid w:val="00834C66"/>
    <w:rsid w:val="00841BCD"/>
    <w:rsid w:val="00843A6F"/>
    <w:rsid w:val="00844372"/>
    <w:rsid w:val="00847264"/>
    <w:rsid w:val="00851A8E"/>
    <w:rsid w:val="0085229E"/>
    <w:rsid w:val="0085365B"/>
    <w:rsid w:val="00860BE9"/>
    <w:rsid w:val="00863FA4"/>
    <w:rsid w:val="008656C9"/>
    <w:rsid w:val="00871055"/>
    <w:rsid w:val="0087237F"/>
    <w:rsid w:val="008735D4"/>
    <w:rsid w:val="0087459C"/>
    <w:rsid w:val="008768CE"/>
    <w:rsid w:val="00881551"/>
    <w:rsid w:val="008826C1"/>
    <w:rsid w:val="00883DFD"/>
    <w:rsid w:val="0088724F"/>
    <w:rsid w:val="0088740F"/>
    <w:rsid w:val="00892A8B"/>
    <w:rsid w:val="00892D62"/>
    <w:rsid w:val="00893595"/>
    <w:rsid w:val="00894054"/>
    <w:rsid w:val="008A1BF7"/>
    <w:rsid w:val="008A23EC"/>
    <w:rsid w:val="008A5B0E"/>
    <w:rsid w:val="008B07E1"/>
    <w:rsid w:val="008B0961"/>
    <w:rsid w:val="008B0C3C"/>
    <w:rsid w:val="008B1CEC"/>
    <w:rsid w:val="008B3EC1"/>
    <w:rsid w:val="008B4016"/>
    <w:rsid w:val="008B4FAE"/>
    <w:rsid w:val="008B584F"/>
    <w:rsid w:val="008B6700"/>
    <w:rsid w:val="008C041A"/>
    <w:rsid w:val="008C0457"/>
    <w:rsid w:val="008C0D24"/>
    <w:rsid w:val="008C0DF6"/>
    <w:rsid w:val="008C39F7"/>
    <w:rsid w:val="008C436F"/>
    <w:rsid w:val="008D0DC8"/>
    <w:rsid w:val="008D17E9"/>
    <w:rsid w:val="008D1F4C"/>
    <w:rsid w:val="008D35B9"/>
    <w:rsid w:val="008D476E"/>
    <w:rsid w:val="008D4F38"/>
    <w:rsid w:val="008D577F"/>
    <w:rsid w:val="008E0034"/>
    <w:rsid w:val="008E08D1"/>
    <w:rsid w:val="008E0E9A"/>
    <w:rsid w:val="008E11C5"/>
    <w:rsid w:val="008E205D"/>
    <w:rsid w:val="008E39E1"/>
    <w:rsid w:val="008E5823"/>
    <w:rsid w:val="008E768B"/>
    <w:rsid w:val="008F18F1"/>
    <w:rsid w:val="008F2EF7"/>
    <w:rsid w:val="008F6C31"/>
    <w:rsid w:val="0090091A"/>
    <w:rsid w:val="00900B29"/>
    <w:rsid w:val="00902EEB"/>
    <w:rsid w:val="009042BD"/>
    <w:rsid w:val="00904FE4"/>
    <w:rsid w:val="00905540"/>
    <w:rsid w:val="00912D9A"/>
    <w:rsid w:val="0091314F"/>
    <w:rsid w:val="00913CBC"/>
    <w:rsid w:val="00917755"/>
    <w:rsid w:val="0091781B"/>
    <w:rsid w:val="00921316"/>
    <w:rsid w:val="00923DB5"/>
    <w:rsid w:val="0092523E"/>
    <w:rsid w:val="00926890"/>
    <w:rsid w:val="00931082"/>
    <w:rsid w:val="00932CCB"/>
    <w:rsid w:val="00936159"/>
    <w:rsid w:val="00936FCF"/>
    <w:rsid w:val="0094026E"/>
    <w:rsid w:val="009440FB"/>
    <w:rsid w:val="00945973"/>
    <w:rsid w:val="00952373"/>
    <w:rsid w:val="00952585"/>
    <w:rsid w:val="00952901"/>
    <w:rsid w:val="00954FA5"/>
    <w:rsid w:val="00955CA3"/>
    <w:rsid w:val="0096301E"/>
    <w:rsid w:val="00964006"/>
    <w:rsid w:val="00965B51"/>
    <w:rsid w:val="00970D56"/>
    <w:rsid w:val="00971CFE"/>
    <w:rsid w:val="0097672B"/>
    <w:rsid w:val="00977E1D"/>
    <w:rsid w:val="009813E9"/>
    <w:rsid w:val="0098425B"/>
    <w:rsid w:val="009902F2"/>
    <w:rsid w:val="00990DED"/>
    <w:rsid w:val="0099623A"/>
    <w:rsid w:val="00996965"/>
    <w:rsid w:val="00997E07"/>
    <w:rsid w:val="009A0A12"/>
    <w:rsid w:val="009A23B1"/>
    <w:rsid w:val="009A3D56"/>
    <w:rsid w:val="009A4046"/>
    <w:rsid w:val="009B0573"/>
    <w:rsid w:val="009B1E6D"/>
    <w:rsid w:val="009B23F6"/>
    <w:rsid w:val="009B56CA"/>
    <w:rsid w:val="009B65D1"/>
    <w:rsid w:val="009B7B4B"/>
    <w:rsid w:val="009B7C21"/>
    <w:rsid w:val="009B7FBC"/>
    <w:rsid w:val="009C1E5F"/>
    <w:rsid w:val="009C35EF"/>
    <w:rsid w:val="009C3E05"/>
    <w:rsid w:val="009C65A7"/>
    <w:rsid w:val="009D05DF"/>
    <w:rsid w:val="009D15EF"/>
    <w:rsid w:val="009D4A1E"/>
    <w:rsid w:val="009D5FC1"/>
    <w:rsid w:val="009D66C2"/>
    <w:rsid w:val="009D69CE"/>
    <w:rsid w:val="009D7391"/>
    <w:rsid w:val="009E1227"/>
    <w:rsid w:val="009E1E72"/>
    <w:rsid w:val="009E483A"/>
    <w:rsid w:val="009E55B8"/>
    <w:rsid w:val="009E5606"/>
    <w:rsid w:val="009E669B"/>
    <w:rsid w:val="009E6BF5"/>
    <w:rsid w:val="009F09A2"/>
    <w:rsid w:val="009F25B4"/>
    <w:rsid w:val="009F2BB8"/>
    <w:rsid w:val="009F3D1A"/>
    <w:rsid w:val="009F58D1"/>
    <w:rsid w:val="009F613B"/>
    <w:rsid w:val="00A00C52"/>
    <w:rsid w:val="00A013A6"/>
    <w:rsid w:val="00A04992"/>
    <w:rsid w:val="00A06F74"/>
    <w:rsid w:val="00A074F9"/>
    <w:rsid w:val="00A143C3"/>
    <w:rsid w:val="00A147AA"/>
    <w:rsid w:val="00A20A99"/>
    <w:rsid w:val="00A21D71"/>
    <w:rsid w:val="00A22B78"/>
    <w:rsid w:val="00A24F9F"/>
    <w:rsid w:val="00A25AE5"/>
    <w:rsid w:val="00A27028"/>
    <w:rsid w:val="00A30079"/>
    <w:rsid w:val="00A35CF6"/>
    <w:rsid w:val="00A36B7F"/>
    <w:rsid w:val="00A37002"/>
    <w:rsid w:val="00A374E6"/>
    <w:rsid w:val="00A37B70"/>
    <w:rsid w:val="00A41B7C"/>
    <w:rsid w:val="00A4328B"/>
    <w:rsid w:val="00A4355E"/>
    <w:rsid w:val="00A44BCA"/>
    <w:rsid w:val="00A4549B"/>
    <w:rsid w:val="00A46F03"/>
    <w:rsid w:val="00A47406"/>
    <w:rsid w:val="00A50BCB"/>
    <w:rsid w:val="00A520D9"/>
    <w:rsid w:val="00A57C16"/>
    <w:rsid w:val="00A57E15"/>
    <w:rsid w:val="00A6488C"/>
    <w:rsid w:val="00A651B5"/>
    <w:rsid w:val="00A7028D"/>
    <w:rsid w:val="00A70FE1"/>
    <w:rsid w:val="00A73C23"/>
    <w:rsid w:val="00A751CF"/>
    <w:rsid w:val="00A775D7"/>
    <w:rsid w:val="00A77909"/>
    <w:rsid w:val="00A80742"/>
    <w:rsid w:val="00A80A15"/>
    <w:rsid w:val="00A81679"/>
    <w:rsid w:val="00A817FC"/>
    <w:rsid w:val="00A8282F"/>
    <w:rsid w:val="00A832FB"/>
    <w:rsid w:val="00A84997"/>
    <w:rsid w:val="00A86028"/>
    <w:rsid w:val="00A87C01"/>
    <w:rsid w:val="00A907F2"/>
    <w:rsid w:val="00A90951"/>
    <w:rsid w:val="00A90B20"/>
    <w:rsid w:val="00A92BCD"/>
    <w:rsid w:val="00A92DD3"/>
    <w:rsid w:val="00A963FF"/>
    <w:rsid w:val="00AA17A6"/>
    <w:rsid w:val="00AA1B0E"/>
    <w:rsid w:val="00AA47B6"/>
    <w:rsid w:val="00AA5590"/>
    <w:rsid w:val="00AA56F2"/>
    <w:rsid w:val="00AA715F"/>
    <w:rsid w:val="00AB1CD3"/>
    <w:rsid w:val="00AB46AB"/>
    <w:rsid w:val="00AB522F"/>
    <w:rsid w:val="00AC05F5"/>
    <w:rsid w:val="00AC163B"/>
    <w:rsid w:val="00AC3A56"/>
    <w:rsid w:val="00AC43CA"/>
    <w:rsid w:val="00AC482F"/>
    <w:rsid w:val="00AC4F49"/>
    <w:rsid w:val="00AC5047"/>
    <w:rsid w:val="00AC5CA7"/>
    <w:rsid w:val="00AC6058"/>
    <w:rsid w:val="00AC7B89"/>
    <w:rsid w:val="00AD011B"/>
    <w:rsid w:val="00AD0E70"/>
    <w:rsid w:val="00AD1A03"/>
    <w:rsid w:val="00AD2C32"/>
    <w:rsid w:val="00AE1BA8"/>
    <w:rsid w:val="00AE2BA5"/>
    <w:rsid w:val="00AE555C"/>
    <w:rsid w:val="00AE56B1"/>
    <w:rsid w:val="00AE6D09"/>
    <w:rsid w:val="00AE795F"/>
    <w:rsid w:val="00AE7B00"/>
    <w:rsid w:val="00AF0151"/>
    <w:rsid w:val="00AF10DB"/>
    <w:rsid w:val="00AF1A15"/>
    <w:rsid w:val="00AF4ED7"/>
    <w:rsid w:val="00AF4F21"/>
    <w:rsid w:val="00AF7214"/>
    <w:rsid w:val="00AF7A7C"/>
    <w:rsid w:val="00B004BB"/>
    <w:rsid w:val="00B01F17"/>
    <w:rsid w:val="00B02070"/>
    <w:rsid w:val="00B023F0"/>
    <w:rsid w:val="00B0358E"/>
    <w:rsid w:val="00B03EB7"/>
    <w:rsid w:val="00B048CA"/>
    <w:rsid w:val="00B102DB"/>
    <w:rsid w:val="00B11587"/>
    <w:rsid w:val="00B11C29"/>
    <w:rsid w:val="00B13916"/>
    <w:rsid w:val="00B20A1D"/>
    <w:rsid w:val="00B20AAD"/>
    <w:rsid w:val="00B20C55"/>
    <w:rsid w:val="00B21C5C"/>
    <w:rsid w:val="00B21CCE"/>
    <w:rsid w:val="00B26647"/>
    <w:rsid w:val="00B269A1"/>
    <w:rsid w:val="00B26A93"/>
    <w:rsid w:val="00B27838"/>
    <w:rsid w:val="00B27CAB"/>
    <w:rsid w:val="00B303AA"/>
    <w:rsid w:val="00B30648"/>
    <w:rsid w:val="00B3134C"/>
    <w:rsid w:val="00B31B5B"/>
    <w:rsid w:val="00B3362F"/>
    <w:rsid w:val="00B34CAF"/>
    <w:rsid w:val="00B35855"/>
    <w:rsid w:val="00B37DE4"/>
    <w:rsid w:val="00B408B6"/>
    <w:rsid w:val="00B41B82"/>
    <w:rsid w:val="00B422AD"/>
    <w:rsid w:val="00B459EA"/>
    <w:rsid w:val="00B46768"/>
    <w:rsid w:val="00B52D9E"/>
    <w:rsid w:val="00B542DA"/>
    <w:rsid w:val="00B5455F"/>
    <w:rsid w:val="00B555BB"/>
    <w:rsid w:val="00B55B2A"/>
    <w:rsid w:val="00B61445"/>
    <w:rsid w:val="00B6172E"/>
    <w:rsid w:val="00B61B31"/>
    <w:rsid w:val="00B6260B"/>
    <w:rsid w:val="00B648BB"/>
    <w:rsid w:val="00B6744E"/>
    <w:rsid w:val="00B67AC9"/>
    <w:rsid w:val="00B72AB9"/>
    <w:rsid w:val="00B73862"/>
    <w:rsid w:val="00B73F43"/>
    <w:rsid w:val="00B75BBF"/>
    <w:rsid w:val="00B75E8E"/>
    <w:rsid w:val="00B7683B"/>
    <w:rsid w:val="00B836C2"/>
    <w:rsid w:val="00B8386A"/>
    <w:rsid w:val="00B864BD"/>
    <w:rsid w:val="00B92B1B"/>
    <w:rsid w:val="00B94EA1"/>
    <w:rsid w:val="00BA08DD"/>
    <w:rsid w:val="00BA09E6"/>
    <w:rsid w:val="00BA3A08"/>
    <w:rsid w:val="00BA5268"/>
    <w:rsid w:val="00BA5788"/>
    <w:rsid w:val="00BA6B66"/>
    <w:rsid w:val="00BA6E48"/>
    <w:rsid w:val="00BA72CE"/>
    <w:rsid w:val="00BA7EA4"/>
    <w:rsid w:val="00BB016B"/>
    <w:rsid w:val="00BB2CED"/>
    <w:rsid w:val="00BB2EAD"/>
    <w:rsid w:val="00BB422B"/>
    <w:rsid w:val="00BB6A9D"/>
    <w:rsid w:val="00BC02D7"/>
    <w:rsid w:val="00BC1E23"/>
    <w:rsid w:val="00BC7E19"/>
    <w:rsid w:val="00BD2992"/>
    <w:rsid w:val="00BD3566"/>
    <w:rsid w:val="00BD5598"/>
    <w:rsid w:val="00BD6693"/>
    <w:rsid w:val="00BD670F"/>
    <w:rsid w:val="00BD6BC7"/>
    <w:rsid w:val="00BE0346"/>
    <w:rsid w:val="00BE0AF6"/>
    <w:rsid w:val="00BE1F03"/>
    <w:rsid w:val="00BE2963"/>
    <w:rsid w:val="00BE3219"/>
    <w:rsid w:val="00BE3625"/>
    <w:rsid w:val="00BE4950"/>
    <w:rsid w:val="00BE58A7"/>
    <w:rsid w:val="00BE6306"/>
    <w:rsid w:val="00BF0AFB"/>
    <w:rsid w:val="00BF117D"/>
    <w:rsid w:val="00BF2218"/>
    <w:rsid w:val="00BF3CB3"/>
    <w:rsid w:val="00BF4E9A"/>
    <w:rsid w:val="00BF565B"/>
    <w:rsid w:val="00BF56D8"/>
    <w:rsid w:val="00C00E79"/>
    <w:rsid w:val="00C0426B"/>
    <w:rsid w:val="00C045DF"/>
    <w:rsid w:val="00C07D2E"/>
    <w:rsid w:val="00C17356"/>
    <w:rsid w:val="00C20638"/>
    <w:rsid w:val="00C2454F"/>
    <w:rsid w:val="00C26D43"/>
    <w:rsid w:val="00C32A6B"/>
    <w:rsid w:val="00C33E85"/>
    <w:rsid w:val="00C37472"/>
    <w:rsid w:val="00C4410F"/>
    <w:rsid w:val="00C451A3"/>
    <w:rsid w:val="00C46548"/>
    <w:rsid w:val="00C50121"/>
    <w:rsid w:val="00C52088"/>
    <w:rsid w:val="00C528EA"/>
    <w:rsid w:val="00C52AFD"/>
    <w:rsid w:val="00C547D2"/>
    <w:rsid w:val="00C568F8"/>
    <w:rsid w:val="00C574D5"/>
    <w:rsid w:val="00C60781"/>
    <w:rsid w:val="00C62DC4"/>
    <w:rsid w:val="00C62F69"/>
    <w:rsid w:val="00C6307B"/>
    <w:rsid w:val="00C632D2"/>
    <w:rsid w:val="00C67F70"/>
    <w:rsid w:val="00C70A32"/>
    <w:rsid w:val="00C70CD6"/>
    <w:rsid w:val="00C72AFD"/>
    <w:rsid w:val="00C73F32"/>
    <w:rsid w:val="00C7452E"/>
    <w:rsid w:val="00C841A3"/>
    <w:rsid w:val="00C8510B"/>
    <w:rsid w:val="00C87462"/>
    <w:rsid w:val="00C90770"/>
    <w:rsid w:val="00C93DA8"/>
    <w:rsid w:val="00C95535"/>
    <w:rsid w:val="00CA180C"/>
    <w:rsid w:val="00CA33A4"/>
    <w:rsid w:val="00CA4BE5"/>
    <w:rsid w:val="00CA6109"/>
    <w:rsid w:val="00CA7750"/>
    <w:rsid w:val="00CB05ED"/>
    <w:rsid w:val="00CB1CA6"/>
    <w:rsid w:val="00CB22B2"/>
    <w:rsid w:val="00CC28FB"/>
    <w:rsid w:val="00CC3EE2"/>
    <w:rsid w:val="00CC4847"/>
    <w:rsid w:val="00CC53EB"/>
    <w:rsid w:val="00CC5A42"/>
    <w:rsid w:val="00CC5CD3"/>
    <w:rsid w:val="00CD21D0"/>
    <w:rsid w:val="00CD3A93"/>
    <w:rsid w:val="00CD461E"/>
    <w:rsid w:val="00CD7492"/>
    <w:rsid w:val="00CE1C94"/>
    <w:rsid w:val="00CE3A6B"/>
    <w:rsid w:val="00CE4B9F"/>
    <w:rsid w:val="00CE6012"/>
    <w:rsid w:val="00CE70C0"/>
    <w:rsid w:val="00CF0E8C"/>
    <w:rsid w:val="00CF1DBC"/>
    <w:rsid w:val="00CF53E6"/>
    <w:rsid w:val="00CF5D19"/>
    <w:rsid w:val="00CF713F"/>
    <w:rsid w:val="00CF7CFF"/>
    <w:rsid w:val="00D00211"/>
    <w:rsid w:val="00D0100A"/>
    <w:rsid w:val="00D0373D"/>
    <w:rsid w:val="00D03AED"/>
    <w:rsid w:val="00D04160"/>
    <w:rsid w:val="00D046DB"/>
    <w:rsid w:val="00D06309"/>
    <w:rsid w:val="00D071CD"/>
    <w:rsid w:val="00D102C4"/>
    <w:rsid w:val="00D10B65"/>
    <w:rsid w:val="00D10E09"/>
    <w:rsid w:val="00D11E40"/>
    <w:rsid w:val="00D12B58"/>
    <w:rsid w:val="00D13CE8"/>
    <w:rsid w:val="00D14FCE"/>
    <w:rsid w:val="00D1624A"/>
    <w:rsid w:val="00D16B86"/>
    <w:rsid w:val="00D170C3"/>
    <w:rsid w:val="00D17D10"/>
    <w:rsid w:val="00D22CBA"/>
    <w:rsid w:val="00D23A56"/>
    <w:rsid w:val="00D2517F"/>
    <w:rsid w:val="00D25626"/>
    <w:rsid w:val="00D27449"/>
    <w:rsid w:val="00D276F3"/>
    <w:rsid w:val="00D30BEA"/>
    <w:rsid w:val="00D342EF"/>
    <w:rsid w:val="00D351EA"/>
    <w:rsid w:val="00D37294"/>
    <w:rsid w:val="00D40288"/>
    <w:rsid w:val="00D416EC"/>
    <w:rsid w:val="00D41858"/>
    <w:rsid w:val="00D420CB"/>
    <w:rsid w:val="00D42B2F"/>
    <w:rsid w:val="00D43403"/>
    <w:rsid w:val="00D43EBB"/>
    <w:rsid w:val="00D44896"/>
    <w:rsid w:val="00D44FA7"/>
    <w:rsid w:val="00D45BD4"/>
    <w:rsid w:val="00D466EE"/>
    <w:rsid w:val="00D47F36"/>
    <w:rsid w:val="00D50DDB"/>
    <w:rsid w:val="00D5270B"/>
    <w:rsid w:val="00D54EAC"/>
    <w:rsid w:val="00D55231"/>
    <w:rsid w:val="00D55D5D"/>
    <w:rsid w:val="00D56C79"/>
    <w:rsid w:val="00D62E71"/>
    <w:rsid w:val="00D6430D"/>
    <w:rsid w:val="00D64748"/>
    <w:rsid w:val="00D66188"/>
    <w:rsid w:val="00D731F6"/>
    <w:rsid w:val="00D731FA"/>
    <w:rsid w:val="00D740CA"/>
    <w:rsid w:val="00D806C4"/>
    <w:rsid w:val="00D80CA5"/>
    <w:rsid w:val="00D811A5"/>
    <w:rsid w:val="00D84076"/>
    <w:rsid w:val="00D8409D"/>
    <w:rsid w:val="00D85728"/>
    <w:rsid w:val="00D87C55"/>
    <w:rsid w:val="00D87FA1"/>
    <w:rsid w:val="00D91089"/>
    <w:rsid w:val="00D92437"/>
    <w:rsid w:val="00D938D7"/>
    <w:rsid w:val="00D95481"/>
    <w:rsid w:val="00D96643"/>
    <w:rsid w:val="00D975C8"/>
    <w:rsid w:val="00DA0785"/>
    <w:rsid w:val="00DA0B67"/>
    <w:rsid w:val="00DA2569"/>
    <w:rsid w:val="00DA2905"/>
    <w:rsid w:val="00DA477C"/>
    <w:rsid w:val="00DA5750"/>
    <w:rsid w:val="00DA5B9F"/>
    <w:rsid w:val="00DB10FC"/>
    <w:rsid w:val="00DB3D3F"/>
    <w:rsid w:val="00DB4CE3"/>
    <w:rsid w:val="00DB5525"/>
    <w:rsid w:val="00DB5955"/>
    <w:rsid w:val="00DC06CD"/>
    <w:rsid w:val="00DC1898"/>
    <w:rsid w:val="00DC4983"/>
    <w:rsid w:val="00DC4E8A"/>
    <w:rsid w:val="00DC5BE0"/>
    <w:rsid w:val="00DC64B5"/>
    <w:rsid w:val="00DC6E75"/>
    <w:rsid w:val="00DC74B1"/>
    <w:rsid w:val="00DC79BB"/>
    <w:rsid w:val="00DC7A13"/>
    <w:rsid w:val="00DD2024"/>
    <w:rsid w:val="00DD4117"/>
    <w:rsid w:val="00DD6A3E"/>
    <w:rsid w:val="00DD7429"/>
    <w:rsid w:val="00DD7B11"/>
    <w:rsid w:val="00DE17A6"/>
    <w:rsid w:val="00DE2646"/>
    <w:rsid w:val="00DE5676"/>
    <w:rsid w:val="00DE58B9"/>
    <w:rsid w:val="00DF2997"/>
    <w:rsid w:val="00DF3032"/>
    <w:rsid w:val="00DF4066"/>
    <w:rsid w:val="00DF5929"/>
    <w:rsid w:val="00DF6E85"/>
    <w:rsid w:val="00E01B95"/>
    <w:rsid w:val="00E031A7"/>
    <w:rsid w:val="00E04C16"/>
    <w:rsid w:val="00E10BC4"/>
    <w:rsid w:val="00E1415D"/>
    <w:rsid w:val="00E159A6"/>
    <w:rsid w:val="00E17F52"/>
    <w:rsid w:val="00E203BF"/>
    <w:rsid w:val="00E204F1"/>
    <w:rsid w:val="00E212EF"/>
    <w:rsid w:val="00E21398"/>
    <w:rsid w:val="00E30482"/>
    <w:rsid w:val="00E31766"/>
    <w:rsid w:val="00E318E0"/>
    <w:rsid w:val="00E323E9"/>
    <w:rsid w:val="00E34018"/>
    <w:rsid w:val="00E347C1"/>
    <w:rsid w:val="00E36551"/>
    <w:rsid w:val="00E4185A"/>
    <w:rsid w:val="00E437D2"/>
    <w:rsid w:val="00E4442E"/>
    <w:rsid w:val="00E46767"/>
    <w:rsid w:val="00E51129"/>
    <w:rsid w:val="00E52BD3"/>
    <w:rsid w:val="00E556D6"/>
    <w:rsid w:val="00E55751"/>
    <w:rsid w:val="00E55DA7"/>
    <w:rsid w:val="00E5650D"/>
    <w:rsid w:val="00E62DF8"/>
    <w:rsid w:val="00E64EDC"/>
    <w:rsid w:val="00E66C4F"/>
    <w:rsid w:val="00E70D24"/>
    <w:rsid w:val="00E718B9"/>
    <w:rsid w:val="00E722C9"/>
    <w:rsid w:val="00E7491E"/>
    <w:rsid w:val="00E833D4"/>
    <w:rsid w:val="00E83CCE"/>
    <w:rsid w:val="00E876DF"/>
    <w:rsid w:val="00E90B94"/>
    <w:rsid w:val="00E934A2"/>
    <w:rsid w:val="00E9385D"/>
    <w:rsid w:val="00E94423"/>
    <w:rsid w:val="00E95289"/>
    <w:rsid w:val="00E95BC2"/>
    <w:rsid w:val="00E95F7A"/>
    <w:rsid w:val="00E960D5"/>
    <w:rsid w:val="00E96895"/>
    <w:rsid w:val="00E96A62"/>
    <w:rsid w:val="00E96C9A"/>
    <w:rsid w:val="00E9774D"/>
    <w:rsid w:val="00EA2163"/>
    <w:rsid w:val="00EA2311"/>
    <w:rsid w:val="00EA3A4F"/>
    <w:rsid w:val="00EA49E4"/>
    <w:rsid w:val="00EA4E39"/>
    <w:rsid w:val="00EA726F"/>
    <w:rsid w:val="00EB064F"/>
    <w:rsid w:val="00EB27E1"/>
    <w:rsid w:val="00EB53C6"/>
    <w:rsid w:val="00EB6312"/>
    <w:rsid w:val="00EB6395"/>
    <w:rsid w:val="00EB76AC"/>
    <w:rsid w:val="00EC2E63"/>
    <w:rsid w:val="00EC31BC"/>
    <w:rsid w:val="00EC599D"/>
    <w:rsid w:val="00EC656E"/>
    <w:rsid w:val="00EC7BC3"/>
    <w:rsid w:val="00ED0C4C"/>
    <w:rsid w:val="00ED2685"/>
    <w:rsid w:val="00ED2B5D"/>
    <w:rsid w:val="00ED31CA"/>
    <w:rsid w:val="00ED44E2"/>
    <w:rsid w:val="00ED4EEF"/>
    <w:rsid w:val="00ED5153"/>
    <w:rsid w:val="00ED7600"/>
    <w:rsid w:val="00EE2627"/>
    <w:rsid w:val="00EE2D18"/>
    <w:rsid w:val="00EE3978"/>
    <w:rsid w:val="00EF381F"/>
    <w:rsid w:val="00EF450D"/>
    <w:rsid w:val="00EF6073"/>
    <w:rsid w:val="00EF698B"/>
    <w:rsid w:val="00EF6C3F"/>
    <w:rsid w:val="00F127CF"/>
    <w:rsid w:val="00F1362C"/>
    <w:rsid w:val="00F13804"/>
    <w:rsid w:val="00F14BC4"/>
    <w:rsid w:val="00F1587D"/>
    <w:rsid w:val="00F1667C"/>
    <w:rsid w:val="00F20951"/>
    <w:rsid w:val="00F22AF0"/>
    <w:rsid w:val="00F24371"/>
    <w:rsid w:val="00F2607D"/>
    <w:rsid w:val="00F30350"/>
    <w:rsid w:val="00F3186C"/>
    <w:rsid w:val="00F34E7F"/>
    <w:rsid w:val="00F414F1"/>
    <w:rsid w:val="00F508B8"/>
    <w:rsid w:val="00F51006"/>
    <w:rsid w:val="00F523DA"/>
    <w:rsid w:val="00F539BB"/>
    <w:rsid w:val="00F54D9D"/>
    <w:rsid w:val="00F5672A"/>
    <w:rsid w:val="00F56A51"/>
    <w:rsid w:val="00F57CFE"/>
    <w:rsid w:val="00F63136"/>
    <w:rsid w:val="00F63368"/>
    <w:rsid w:val="00F63D15"/>
    <w:rsid w:val="00F643D0"/>
    <w:rsid w:val="00F66622"/>
    <w:rsid w:val="00F71623"/>
    <w:rsid w:val="00F72CB1"/>
    <w:rsid w:val="00F737CC"/>
    <w:rsid w:val="00F752B8"/>
    <w:rsid w:val="00F76212"/>
    <w:rsid w:val="00F8020A"/>
    <w:rsid w:val="00F8215E"/>
    <w:rsid w:val="00F824F5"/>
    <w:rsid w:val="00F82A5D"/>
    <w:rsid w:val="00F83CFD"/>
    <w:rsid w:val="00F84727"/>
    <w:rsid w:val="00F85FF0"/>
    <w:rsid w:val="00F90FAB"/>
    <w:rsid w:val="00F91F34"/>
    <w:rsid w:val="00F9374D"/>
    <w:rsid w:val="00F9387E"/>
    <w:rsid w:val="00F971B9"/>
    <w:rsid w:val="00F975CD"/>
    <w:rsid w:val="00FA14E2"/>
    <w:rsid w:val="00FB18A7"/>
    <w:rsid w:val="00FB1F50"/>
    <w:rsid w:val="00FB2376"/>
    <w:rsid w:val="00FB3EE8"/>
    <w:rsid w:val="00FB6A99"/>
    <w:rsid w:val="00FC05D4"/>
    <w:rsid w:val="00FC1A95"/>
    <w:rsid w:val="00FC1B3A"/>
    <w:rsid w:val="00FC225B"/>
    <w:rsid w:val="00FC29B9"/>
    <w:rsid w:val="00FC3148"/>
    <w:rsid w:val="00FC3DB0"/>
    <w:rsid w:val="00FC579C"/>
    <w:rsid w:val="00FC6FD3"/>
    <w:rsid w:val="00FC7B9F"/>
    <w:rsid w:val="00FD3561"/>
    <w:rsid w:val="00FD3C8B"/>
    <w:rsid w:val="00FD4344"/>
    <w:rsid w:val="00FD5D28"/>
    <w:rsid w:val="00FE00B0"/>
    <w:rsid w:val="00FE0BA9"/>
    <w:rsid w:val="00FE0E5E"/>
    <w:rsid w:val="00FE12DB"/>
    <w:rsid w:val="00FE305C"/>
    <w:rsid w:val="00FE3BAB"/>
    <w:rsid w:val="00FE4D69"/>
    <w:rsid w:val="00FE5EC9"/>
    <w:rsid w:val="00FE7D8D"/>
    <w:rsid w:val="00FF0301"/>
    <w:rsid w:val="00FF12D1"/>
    <w:rsid w:val="00FF231A"/>
    <w:rsid w:val="00FF44FF"/>
    <w:rsid w:val="00FF57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073DB29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180-Table-Caption,Caption Char2,Caption Char Char Char,Caption Char Char1,fig and tbl,fighead2,Table Caption,fighead21,fighead22,fighead23,条目,cap1"/>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R4_bullets,- Bullets,?? ??,?????,????,リスト段落,Lista1,列出段落1,中等深浅网格 1 - 着色 21,列表段落1,—ño’i—Ž,¥¡¡¡¡ì¬º¥¹¥È¶ÎÂä,ÁÐ³ö¶ÎÂä,¥ê¥¹¥È¶ÎÂä,1st level - Bullet List Paragraph,Lettre d'introduction,Paragrafo elenco,列出段落,목록 단락,列表段"/>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R4_bullets Char,- Bullets Char,?? ?? Char,????? Char,???? Char,リスト段落 Char,Lista1 Char,列出段落1 Char,中等深浅网格 1 - 着色 21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2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180-Table-Caption Char,Caption Char2 Char,Caption Char Char Char Char,Caption Char Char1 Char1,fig and tbl Char,条目 Char"/>
    <w:basedOn w:val="DefaultParagraphFont"/>
    <w:link w:val="Caption"/>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qFormat/>
    <w:rsid w:val="00542D23"/>
    <w:rPr>
      <w:sz w:val="16"/>
      <w:szCs w:val="16"/>
    </w:rPr>
  </w:style>
  <w:style w:type="paragraph" w:styleId="CommentText">
    <w:name w:val="annotation text"/>
    <w:basedOn w:val="Normal"/>
    <w:link w:val="CommentTextChar"/>
    <w:uiPriority w:val="99"/>
    <w:unhideWhenUsed/>
    <w:qFormat/>
    <w:rsid w:val="00542D23"/>
    <w:pPr>
      <w:spacing w:line="240" w:lineRule="auto"/>
    </w:pPr>
    <w:rPr>
      <w:szCs w:val="20"/>
    </w:rPr>
  </w:style>
  <w:style w:type="character" w:customStyle="1" w:styleId="CommentTextChar">
    <w:name w:val="Comment Text Char"/>
    <w:basedOn w:val="DefaultParagraphFont"/>
    <w:link w:val="CommentText"/>
    <w:uiPriority w:val="99"/>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odoni MT Poster Compressed" w:hAnsi="Bodoni MT Poster Compressed"/>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4A72A4"/>
    <w:pPr>
      <w:tabs>
        <w:tab w:val="right" w:leader="dot" w:pos="9617"/>
      </w:tabs>
      <w:spacing w:after="100"/>
    </w:pPr>
    <w:rPr>
      <w:b/>
      <w:bCs/>
      <w:noProof/>
    </w:rPr>
  </w:style>
  <w:style w:type="paragraph" w:styleId="TOC5">
    <w:name w:val="toc 5"/>
    <w:aliases w:val="Proposal"/>
    <w:basedOn w:val="Normal"/>
    <w:next w:val="Normal"/>
    <w:autoRedefine/>
    <w:uiPriority w:val="39"/>
    <w:unhideWhenUsed/>
    <w:rsid w:val="00A4355E"/>
    <w:pPr>
      <w:spacing w:after="100"/>
    </w:pPr>
    <w:rPr>
      <w:b/>
    </w:rPr>
  </w:style>
  <w:style w:type="paragraph" w:styleId="Revision">
    <w:name w:val="Revision"/>
    <w:hidden/>
    <w:uiPriority w:val="99"/>
    <w:semiHidden/>
    <w:rsid w:val="00622657"/>
    <w:pPr>
      <w:spacing w:after="0" w:line="240" w:lineRule="auto"/>
    </w:pPr>
    <w:rPr>
      <w:rFonts w:ascii="Times New Roman" w:hAnsi="Times New Roman"/>
      <w:sz w:val="20"/>
    </w:rPr>
  </w:style>
  <w:style w:type="paragraph" w:customStyle="1" w:styleId="B1">
    <w:name w:val="B1"/>
    <w:basedOn w:val="List"/>
    <w:rsid w:val="00622657"/>
    <w:pPr>
      <w:spacing w:line="256" w:lineRule="auto"/>
      <w:ind w:left="568" w:hanging="284"/>
      <w:contextualSpacing w:val="0"/>
    </w:pPr>
    <w:rPr>
      <w:rFonts w:asciiTheme="minorHAnsi" w:hAnsiTheme="minorHAnsi"/>
      <w:kern w:val="2"/>
      <w:sz w:val="22"/>
      <w:lang w:val="en-IN"/>
      <w14:ligatures w14:val="standardContextual"/>
    </w:rPr>
  </w:style>
  <w:style w:type="paragraph" w:styleId="List">
    <w:name w:val="List"/>
    <w:basedOn w:val="Normal"/>
    <w:uiPriority w:val="99"/>
    <w:semiHidden/>
    <w:unhideWhenUsed/>
    <w:rsid w:val="00622657"/>
    <w:pPr>
      <w:ind w:left="283" w:hanging="283"/>
      <w:contextualSpacing/>
    </w:pPr>
  </w:style>
  <w:style w:type="paragraph" w:styleId="Header">
    <w:name w:val="header"/>
    <w:basedOn w:val="Normal"/>
    <w:link w:val="HeaderChar"/>
    <w:uiPriority w:val="99"/>
    <w:unhideWhenUsed/>
    <w:rsid w:val="00721E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21E2B"/>
    <w:rPr>
      <w:rFonts w:ascii="Times New Roman" w:hAnsi="Times New Roman"/>
      <w:sz w:val="20"/>
    </w:rPr>
  </w:style>
  <w:style w:type="paragraph" w:styleId="Footer">
    <w:name w:val="footer"/>
    <w:basedOn w:val="Normal"/>
    <w:link w:val="FooterChar"/>
    <w:uiPriority w:val="99"/>
    <w:unhideWhenUsed/>
    <w:rsid w:val="00721E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21E2B"/>
    <w:rPr>
      <w:rFonts w:ascii="Times New Roman" w:hAnsi="Times New Roman"/>
      <w:sz w:val="20"/>
    </w:rPr>
  </w:style>
  <w:style w:type="table" w:customStyle="1" w:styleId="TableGrid10">
    <w:name w:val="Table Grid10"/>
    <w:basedOn w:val="TableNormal"/>
    <w:next w:val="TableGrid"/>
    <w:uiPriority w:val="39"/>
    <w:qFormat/>
    <w:rsid w:val="0036333E"/>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2170F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70F7"/>
    <w:rPr>
      <w:rFonts w:asciiTheme="majorHAnsi" w:eastAsiaTheme="majorEastAsia" w:hAnsiTheme="majorHAnsi" w:cstheme="majorBidi"/>
      <w:spacing w:val="-10"/>
      <w:kern w:val="28"/>
      <w:sz w:val="56"/>
      <w:szCs w:val="56"/>
    </w:rPr>
  </w:style>
  <w:style w:type="character" w:styleId="FollowedHyperlink">
    <w:name w:val="FollowedHyperlink"/>
    <w:basedOn w:val="DefaultParagraphFont"/>
    <w:uiPriority w:val="99"/>
    <w:semiHidden/>
    <w:unhideWhenUsed/>
    <w:rsid w:val="00EB631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894736">
      <w:bodyDiv w:val="1"/>
      <w:marLeft w:val="0"/>
      <w:marRight w:val="0"/>
      <w:marTop w:val="0"/>
      <w:marBottom w:val="0"/>
      <w:divBdr>
        <w:top w:val="none" w:sz="0" w:space="0" w:color="auto"/>
        <w:left w:val="none" w:sz="0" w:space="0" w:color="auto"/>
        <w:bottom w:val="none" w:sz="0" w:space="0" w:color="auto"/>
        <w:right w:val="none" w:sz="0" w:space="0" w:color="auto"/>
      </w:divBdr>
    </w:div>
    <w:div w:id="317810181">
      <w:bodyDiv w:val="1"/>
      <w:marLeft w:val="0"/>
      <w:marRight w:val="0"/>
      <w:marTop w:val="0"/>
      <w:marBottom w:val="0"/>
      <w:divBdr>
        <w:top w:val="none" w:sz="0" w:space="0" w:color="auto"/>
        <w:left w:val="none" w:sz="0" w:space="0" w:color="auto"/>
        <w:bottom w:val="none" w:sz="0" w:space="0" w:color="auto"/>
        <w:right w:val="none" w:sz="0" w:space="0" w:color="auto"/>
      </w:divBdr>
    </w:div>
    <w:div w:id="683433661">
      <w:bodyDiv w:val="1"/>
      <w:marLeft w:val="0"/>
      <w:marRight w:val="0"/>
      <w:marTop w:val="0"/>
      <w:marBottom w:val="0"/>
      <w:divBdr>
        <w:top w:val="none" w:sz="0" w:space="0" w:color="auto"/>
        <w:left w:val="none" w:sz="0" w:space="0" w:color="auto"/>
        <w:bottom w:val="none" w:sz="0" w:space="0" w:color="auto"/>
        <w:right w:val="none" w:sz="0" w:space="0" w:color="auto"/>
      </w:divBdr>
    </w:div>
    <w:div w:id="1106080761">
      <w:bodyDiv w:val="1"/>
      <w:marLeft w:val="0"/>
      <w:marRight w:val="0"/>
      <w:marTop w:val="0"/>
      <w:marBottom w:val="0"/>
      <w:divBdr>
        <w:top w:val="none" w:sz="0" w:space="0" w:color="auto"/>
        <w:left w:val="none" w:sz="0" w:space="0" w:color="auto"/>
        <w:bottom w:val="none" w:sz="0" w:space="0" w:color="auto"/>
        <w:right w:val="none" w:sz="0" w:space="0" w:color="auto"/>
      </w:divBdr>
    </w:div>
    <w:div w:id="1219628899">
      <w:bodyDiv w:val="1"/>
      <w:marLeft w:val="0"/>
      <w:marRight w:val="0"/>
      <w:marTop w:val="0"/>
      <w:marBottom w:val="0"/>
      <w:divBdr>
        <w:top w:val="none" w:sz="0" w:space="0" w:color="auto"/>
        <w:left w:val="none" w:sz="0" w:space="0" w:color="auto"/>
        <w:bottom w:val="none" w:sz="0" w:space="0" w:color="auto"/>
        <w:right w:val="none" w:sz="0" w:space="0" w:color="auto"/>
      </w:divBdr>
    </w:div>
    <w:div w:id="1760716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3.bin"/><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Template>
  <TotalTime>0</TotalTime>
  <Pages>10</Pages>
  <Words>2602</Words>
  <Characters>14129</Characters>
  <Application>Microsoft Office Word</Application>
  <DocSecurity>0</DocSecurity>
  <Lines>260</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2023-09-27T17:26:00Z</dcterms:created>
  <dcterms:modified xsi:type="dcterms:W3CDTF">2023-09-27T17:26:00Z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7955c8b7f3385b1155761920d61a3640bcf8ff6c7d17c09b2b941d7016f94ba1</vt:lpwstr>
  </property>
</Properties>
</file>