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E283" w14:textId="36D91B95" w:rsidR="005319C4" w:rsidRPr="008C39F7"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 xml:space="preserve"> </w:t>
      </w:r>
      <w:r w:rsidRPr="008C39F7">
        <w:rPr>
          <w:rFonts w:ascii="Arial" w:eastAsia="SimSun" w:hAnsi="Arial" w:cs="Times New Roman"/>
          <w:b/>
          <w:sz w:val="24"/>
          <w:szCs w:val="20"/>
        </w:rPr>
        <w:t>10</w:t>
      </w:r>
      <w:r>
        <w:rPr>
          <w:rFonts w:ascii="Arial" w:eastAsia="SimSun" w:hAnsi="Arial" w:cs="Times New Roman"/>
          <w:b/>
          <w:sz w:val="24"/>
          <w:szCs w:val="20"/>
        </w:rPr>
        <w:t>8bis</w:t>
      </w:r>
      <w:r w:rsidRPr="008C39F7">
        <w:rPr>
          <w:rFonts w:ascii="Arial" w:eastAsia="SimSun" w:hAnsi="Arial" w:cs="Times New Roman"/>
          <w:b/>
          <w:bCs/>
          <w:sz w:val="24"/>
          <w:szCs w:val="20"/>
        </w:rPr>
        <w:tab/>
      </w:r>
      <w:r w:rsidR="005F744B" w:rsidRPr="005F744B">
        <w:rPr>
          <w:rFonts w:ascii="Arial" w:eastAsia="SimSun" w:hAnsi="Arial" w:cs="Times New Roman"/>
          <w:b/>
          <w:bCs/>
          <w:sz w:val="24"/>
          <w:szCs w:val="20"/>
          <w:lang w:eastAsia="ja-JP"/>
        </w:rPr>
        <w:t>R4-2316256</w:t>
      </w:r>
    </w:p>
    <w:p w14:paraId="3878B2F4" w14:textId="77777777" w:rsidR="005319C4" w:rsidRPr="002B69F3" w:rsidRDefault="005319C4" w:rsidP="005319C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2D160778"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129446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732445D" w14:textId="04D2006E" w:rsidR="00841BCD" w:rsidRPr="00D03BD3" w:rsidRDefault="00841BCD" w:rsidP="00841BCD">
      <w:pPr>
        <w:ind w:left="1985" w:hanging="1985"/>
        <w:rPr>
          <w:rFonts w:ascii="Arial" w:eastAsia="Calibri" w:hAnsi="Arial" w:cs="Arial"/>
          <w:b/>
          <w:bCs/>
          <w:sz w:val="24"/>
          <w:lang w:val="en-GB"/>
        </w:rPr>
      </w:pPr>
      <w:r w:rsidRPr="00D03BD3">
        <w:rPr>
          <w:rFonts w:ascii="Arial" w:eastAsia="Calibri" w:hAnsi="Arial" w:cs="Arial"/>
          <w:b/>
          <w:bCs/>
          <w:sz w:val="24"/>
          <w:lang w:val="en-GB"/>
        </w:rPr>
        <w:t>Title:</w:t>
      </w:r>
      <w:r w:rsidRPr="00D03BD3">
        <w:rPr>
          <w:rFonts w:ascii="Arial" w:eastAsia="Calibri" w:hAnsi="Arial" w:cs="Arial"/>
          <w:b/>
          <w:bCs/>
          <w:sz w:val="24"/>
          <w:lang w:val="en-GB"/>
        </w:rPr>
        <w:tab/>
      </w:r>
      <w:r w:rsidR="008F4559">
        <w:rPr>
          <w:rFonts w:ascii="Arial" w:eastAsia="Calibri" w:hAnsi="Arial" w:cs="Arial"/>
          <w:b/>
          <w:bCs/>
          <w:sz w:val="24"/>
          <w:lang w:val="en-GB"/>
        </w:rPr>
        <w:t>General requirements for Mechanically steered beams in NTN</w:t>
      </w:r>
    </w:p>
    <w:p w14:paraId="0E7583EC" w14:textId="2887120D" w:rsidR="00841BCD" w:rsidRPr="00D03BD3" w:rsidRDefault="00841BCD" w:rsidP="00841BCD">
      <w:pPr>
        <w:tabs>
          <w:tab w:val="left" w:pos="1985"/>
        </w:tabs>
        <w:spacing w:after="120" w:line="240" w:lineRule="auto"/>
        <w:rPr>
          <w:rFonts w:ascii="Arial" w:eastAsia="MS Mincho" w:hAnsi="Arial" w:cs="Arial"/>
          <w:b/>
          <w:bCs/>
          <w:sz w:val="24"/>
          <w:szCs w:val="20"/>
          <w:lang w:val="pt-BR"/>
        </w:rPr>
      </w:pPr>
      <w:r w:rsidRPr="00D03BD3">
        <w:rPr>
          <w:rFonts w:ascii="Arial" w:eastAsia="MS Mincho" w:hAnsi="Arial" w:cs="Arial"/>
          <w:b/>
          <w:bCs/>
          <w:sz w:val="24"/>
          <w:szCs w:val="20"/>
          <w:lang w:val="pt-BR"/>
        </w:rPr>
        <w:t>Agenda item:</w:t>
      </w:r>
      <w:r w:rsidRPr="00D03BD3">
        <w:rPr>
          <w:rFonts w:ascii="Arial" w:eastAsia="MS Mincho" w:hAnsi="Arial" w:cs="Arial"/>
          <w:b/>
          <w:bCs/>
          <w:sz w:val="24"/>
          <w:szCs w:val="20"/>
          <w:lang w:val="pt-BR"/>
        </w:rPr>
        <w:tab/>
      </w:r>
      <w:r w:rsidR="008F4559">
        <w:rPr>
          <w:rFonts w:ascii="Arial" w:eastAsia="MS Mincho" w:hAnsi="Arial" w:cs="Arial"/>
          <w:b/>
          <w:bCs/>
          <w:sz w:val="24"/>
          <w:szCs w:val="20"/>
          <w:lang w:val="pt-BR"/>
        </w:rPr>
        <w:t>5.26.6.1.2</w:t>
      </w:r>
    </w:p>
    <w:p w14:paraId="4D52A9EF" w14:textId="77777777" w:rsidR="00D66188" w:rsidRPr="00ED1787" w:rsidRDefault="00841BCD" w:rsidP="00841BCD">
      <w:pPr>
        <w:tabs>
          <w:tab w:val="left" w:pos="1985"/>
        </w:tabs>
        <w:rPr>
          <w:rFonts w:ascii="Arial" w:eastAsia="Calibri" w:hAnsi="Arial" w:cs="Arial"/>
          <w:b/>
          <w:bCs/>
          <w:sz w:val="24"/>
          <w:lang w:val="pt-BR"/>
        </w:rPr>
      </w:pPr>
      <w:r w:rsidRPr="00ED1787">
        <w:rPr>
          <w:rFonts w:ascii="Arial" w:eastAsia="Calibri" w:hAnsi="Arial" w:cs="Arial"/>
          <w:b/>
          <w:bCs/>
          <w:sz w:val="24"/>
          <w:lang w:val="pt-BR"/>
        </w:rPr>
        <w:t>Document for:</w:t>
      </w:r>
      <w:r w:rsidRPr="00ED1787">
        <w:rPr>
          <w:rFonts w:ascii="Arial" w:eastAsia="Calibri" w:hAnsi="Arial" w:cs="Arial"/>
          <w:b/>
          <w:bCs/>
          <w:sz w:val="24"/>
          <w:lang w:val="pt-BR"/>
        </w:rPr>
        <w:tab/>
      </w:r>
      <w:r w:rsidR="00AE6D09" w:rsidRPr="00ED1787">
        <w:rPr>
          <w:rFonts w:ascii="Arial" w:eastAsia="Calibri" w:hAnsi="Arial" w:cs="Arial"/>
          <w:b/>
          <w:bCs/>
          <w:sz w:val="24"/>
          <w:lang w:val="pt-BR"/>
        </w:rPr>
        <w:t>Discussion</w:t>
      </w:r>
    </w:p>
    <w:p w14:paraId="774E0E50" w14:textId="77777777" w:rsidR="00E323E9" w:rsidRPr="00ED1787" w:rsidRDefault="00E323E9" w:rsidP="00841BCD">
      <w:pPr>
        <w:tabs>
          <w:tab w:val="left" w:pos="1985"/>
        </w:tabs>
        <w:rPr>
          <w:rFonts w:ascii="Arial" w:eastAsia="Calibri" w:hAnsi="Arial" w:cs="Arial"/>
          <w:b/>
          <w:bCs/>
          <w:sz w:val="24"/>
          <w:lang w:val="pt-BR"/>
        </w:rPr>
      </w:pPr>
    </w:p>
    <w:p w14:paraId="088800C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18A45F0" w14:textId="77777777" w:rsidR="001C0296" w:rsidRPr="00C75CEB" w:rsidRDefault="001C0296" w:rsidP="001C0296">
      <w:r w:rsidRPr="00C75CEB">
        <w:t>The NTN WI</w:t>
      </w:r>
      <w:r>
        <w:t>,</w:t>
      </w:r>
      <w:r w:rsidRPr="00C75CEB">
        <w:t xml:space="preserve"> </w:t>
      </w:r>
      <w:r>
        <w:t>as</w:t>
      </w:r>
      <w:r w:rsidRPr="00C75CEB">
        <w:t xml:space="preserve"> presented in [1], </w:t>
      </w:r>
      <w:r>
        <w:t>includes the following o</w:t>
      </w:r>
      <w:r w:rsidRPr="00C75CEB">
        <w:t xml:space="preserve">bjectives </w:t>
      </w:r>
      <w:r>
        <w:t>related to NTN deployment in above 10GHz bands</w:t>
      </w:r>
      <w:r w:rsidRPr="00C75CEB">
        <w:t>:</w:t>
      </w:r>
    </w:p>
    <w:tbl>
      <w:tblPr>
        <w:tblStyle w:val="TableGrid"/>
        <w:tblW w:w="0" w:type="auto"/>
        <w:tblLook w:val="04A0" w:firstRow="1" w:lastRow="0" w:firstColumn="1" w:lastColumn="0" w:noHBand="0" w:noVBand="1"/>
      </w:tblPr>
      <w:tblGrid>
        <w:gridCol w:w="9617"/>
      </w:tblGrid>
      <w:tr w:rsidR="001C0296" w:rsidRPr="00FF6B64" w14:paraId="2FD4D29C" w14:textId="77777777">
        <w:tc>
          <w:tcPr>
            <w:tcW w:w="9617" w:type="dxa"/>
          </w:tcPr>
          <w:p w14:paraId="60AA0504" w14:textId="77777777" w:rsidR="001C0296" w:rsidRPr="00134B7D" w:rsidRDefault="001C0296">
            <w:pPr>
              <w:rPr>
                <w:bCs/>
              </w:rPr>
            </w:pPr>
            <w:r w:rsidRPr="00134B7D">
              <w:rPr>
                <w:bCs/>
              </w:rPr>
              <w:t>4.1.2</w:t>
            </w:r>
            <w:r w:rsidRPr="00134B7D">
              <w:rPr>
                <w:bCs/>
              </w:rPr>
              <w:tab/>
              <w:t>NR-NTN deployment in above 10 GHz bands</w:t>
            </w:r>
          </w:p>
          <w:p w14:paraId="758F5BF7" w14:textId="77777777" w:rsidR="001C0296" w:rsidRPr="00134B7D" w:rsidRDefault="001C0296">
            <w:pPr>
              <w:rPr>
                <w:bCs/>
              </w:rPr>
            </w:pPr>
          </w:p>
          <w:p w14:paraId="17C81A0E" w14:textId="77777777" w:rsidR="001C0296" w:rsidRPr="00134B7D" w:rsidRDefault="001C0296">
            <w:pPr>
              <w:rPr>
                <w:bCs/>
              </w:rPr>
            </w:pPr>
            <w:r w:rsidRPr="00134B7D">
              <w:rPr>
                <w:bCs/>
              </w:rPr>
              <w:t>The following assumptions are taken a baseline for this work:</w:t>
            </w:r>
          </w:p>
          <w:p w14:paraId="729C405B"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GSO and NGSO (e.g. LEO, MEO, HEO) based satellite access to be considered</w:t>
            </w:r>
          </w:p>
          <w:p w14:paraId="6F5DE8E1"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 xml:space="preserve">ESIM scenarios for NGSO in Ka band are not considered in this WI. </w:t>
            </w:r>
          </w:p>
          <w:p w14:paraId="00BBE977"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Targeted UE types: fixed and mobile VSAT. VSAT UE characteristics from TR38.821 to be considered in priority but additional NTN UE classes may be considered if justified</w:t>
            </w:r>
          </w:p>
          <w:p w14:paraId="43F83918" w14:textId="77777777" w:rsidR="001C0296" w:rsidRPr="00134B7D" w:rsidRDefault="001C0296" w:rsidP="001C0296">
            <w:pPr>
              <w:numPr>
                <w:ilvl w:val="1"/>
                <w:numId w:val="27"/>
              </w:numPr>
              <w:overflowPunct w:val="0"/>
              <w:autoSpaceDE w:val="0"/>
              <w:autoSpaceDN w:val="0"/>
              <w:adjustRightInd w:val="0"/>
              <w:textAlignment w:val="baseline"/>
              <w:rPr>
                <w:bCs/>
              </w:rPr>
            </w:pPr>
            <w:r w:rsidRPr="00134B7D">
              <w:rPr>
                <w:bCs/>
              </w:rPr>
              <w:t>Regarding mobile VSAT, three types of terminal and scenario exist; airborne, maritime and land based ESIM.</w:t>
            </w:r>
            <w:r w:rsidRPr="00134B7D">
              <w:t xml:space="preserve"> </w:t>
            </w:r>
            <w:r w:rsidRPr="00134B7D">
              <w:rPr>
                <w:bCs/>
              </w:rPr>
              <w:t>Which type(s) to be specified depends on the outcome of the regulation analysis and co-existence study.</w:t>
            </w:r>
          </w:p>
          <w:p w14:paraId="24B336C5"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FDD mode is assumed for satellite operation above 10 GHz, while TDD mode is assumed for terrestrial operation in FR2</w:t>
            </w:r>
          </w:p>
          <w:p w14:paraId="0A48FBD6"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 xml:space="preserve">The </w:t>
            </w:r>
            <w:r>
              <w:rPr>
                <w:bCs/>
              </w:rPr>
              <w:t>ITU-R</w:t>
            </w:r>
            <w:r w:rsidRPr="00134B7D">
              <w:rPr>
                <w:bCs/>
              </w:rPr>
              <w:t xml:space="preserve"> harmonized Ka band</w:t>
            </w:r>
            <w:r>
              <w:rPr>
                <w:bCs/>
              </w:rPr>
              <w:t xml:space="preserve"> </w:t>
            </w:r>
            <w:r w:rsidRPr="00134B7D">
              <w:rPr>
                <w:bCs/>
              </w:rPr>
              <w:t>will serve as reference</w:t>
            </w:r>
          </w:p>
          <w:p w14:paraId="2CF1F32C" w14:textId="77777777" w:rsidR="001C0296" w:rsidRPr="00134B7D" w:rsidRDefault="001C0296" w:rsidP="001C0296">
            <w:pPr>
              <w:numPr>
                <w:ilvl w:val="0"/>
                <w:numId w:val="27"/>
              </w:numPr>
              <w:overflowPunct w:val="0"/>
              <w:autoSpaceDE w:val="0"/>
              <w:autoSpaceDN w:val="0"/>
              <w:adjustRightInd w:val="0"/>
              <w:textAlignment w:val="baseline"/>
              <w:rPr>
                <w:bCs/>
              </w:rPr>
            </w:pPr>
            <w:r w:rsidRPr="00134B7D">
              <w:rPr>
                <w:bCs/>
              </w:rPr>
              <w:t>Co-existence between overlapping NTN and TN band portions is</w:t>
            </w:r>
            <w:r>
              <w:rPr>
                <w:bCs/>
              </w:rPr>
              <w:t xml:space="preserve"> out of scope of this work item. This aspect will be captured in the specification.</w:t>
            </w:r>
          </w:p>
          <w:p w14:paraId="590A9BD3" w14:textId="77777777" w:rsidR="001C0296" w:rsidRPr="00134B7D" w:rsidRDefault="001C0296">
            <w:pPr>
              <w:rPr>
                <w:bCs/>
              </w:rPr>
            </w:pPr>
          </w:p>
          <w:p w14:paraId="0708DA61" w14:textId="77777777" w:rsidR="001C0296" w:rsidRPr="00134B7D" w:rsidRDefault="001C0296">
            <w:pPr>
              <w:rPr>
                <w:bCs/>
              </w:rPr>
            </w:pPr>
            <w:r w:rsidRPr="00134B7D">
              <w:rPr>
                <w:bCs/>
              </w:rPr>
              <w:t xml:space="preserve">The following covers the objectives for NR-NTN deployment in above 10 GHz bands. </w:t>
            </w:r>
            <w:r>
              <w:rPr>
                <w:bCs/>
              </w:rPr>
              <w:t>T</w:t>
            </w:r>
            <w:r w:rsidRPr="00134B7D">
              <w:rPr>
                <w:bCs/>
              </w:rPr>
              <w:t>his work</w:t>
            </w:r>
            <w:r>
              <w:rPr>
                <w:bCs/>
              </w:rPr>
              <w:t xml:space="preserve"> is expected to start after June 2022.</w:t>
            </w:r>
          </w:p>
          <w:p w14:paraId="79AE5DDA" w14:textId="77777777" w:rsidR="001C0296" w:rsidRPr="00134B7D" w:rsidRDefault="001C0296">
            <w:pPr>
              <w:rPr>
                <w:bCs/>
              </w:rPr>
            </w:pPr>
          </w:p>
          <w:p w14:paraId="31537140"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Study and identify NTN example band: Analysis of regulations and adjacent channel co-existence scenarios. The example band shall be identified early in the WI. Additional bands can be introduced in a release-independent manner. [RAN4]</w:t>
            </w:r>
          </w:p>
          <w:p w14:paraId="692C843B"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14:paraId="6BD9BF6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14:paraId="1B9172F8"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w:t>
            </w:r>
            <w:r>
              <w:rPr>
                <w:bCs/>
              </w:rPr>
              <w:t xml:space="preserve"> at the harmonized </w:t>
            </w:r>
            <w:r w:rsidRPr="00134B7D">
              <w:rPr>
                <w:bCs/>
              </w:rPr>
              <w:t>Ka band edges</w:t>
            </w:r>
            <w:bookmarkStart w:id="4" w:name="_Hlk90540445"/>
            <w:r w:rsidRPr="0098115F">
              <w:rPr>
                <w:bCs/>
              </w:rPr>
              <w:t>. The outcome is expected to be applicable to all NTN-TN adjacent band scenarios (if any) in the whole Ka band range where applicable and regulations allow</w:t>
            </w:r>
            <w:r w:rsidRPr="00134B7D">
              <w:rPr>
                <w:bCs/>
              </w:rPr>
              <w:t>.</w:t>
            </w:r>
            <w:bookmarkEnd w:id="4"/>
            <w:r w:rsidRPr="00134B7D">
              <w:rPr>
                <w:bCs/>
              </w:rPr>
              <w:t xml:space="preserve"> [RAN4]</w:t>
            </w:r>
          </w:p>
          <w:p w14:paraId="35F45AC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For all the above, RAN4 process as agreed for NTN in FR1 should be used for coexistence analysis in above 10 GHz bands [RAN4].</w:t>
            </w:r>
          </w:p>
          <w:p w14:paraId="7A4A5C9A"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 xml:space="preserve">Definition of NTN band(s) above 10 GHz does not change the current FR1/FR2 definition, nor automatically apply to future terrestrial bands defined in this frequency region; (see proposal 2 of the approved way forward </w:t>
            </w:r>
            <w:bookmarkStart w:id="5" w:name="_Hlk89787333"/>
            <w:r w:rsidRPr="00134B7D">
              <w:rPr>
                <w:bCs/>
              </w:rPr>
              <w:t xml:space="preserve">RP-211596 </w:t>
            </w:r>
            <w:bookmarkEnd w:id="5"/>
            <w:r w:rsidRPr="00134B7D">
              <w:rPr>
                <w:bCs/>
              </w:rPr>
              <w:t>in RAN#92-e) [RAN4]</w:t>
            </w:r>
          </w:p>
          <w:p w14:paraId="11CF6C85"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lastRenderedPageBreak/>
              <w:t>Specify Rx/Tx requirements for satellite access node and different VSAT UE class (not only 60 cm aperture) as appropriate for the identified example band [RAN4]</w:t>
            </w:r>
          </w:p>
          <w:p w14:paraId="5D82E56F" w14:textId="77777777" w:rsidR="001C0296" w:rsidRPr="00134B7D" w:rsidRDefault="001C0296" w:rsidP="001C0296">
            <w:pPr>
              <w:numPr>
                <w:ilvl w:val="0"/>
                <w:numId w:val="28"/>
              </w:numPr>
              <w:overflowPunct w:val="0"/>
              <w:autoSpaceDE w:val="0"/>
              <w:autoSpaceDN w:val="0"/>
              <w:adjustRightInd w:val="0"/>
              <w:textAlignment w:val="baseline"/>
              <w:rPr>
                <w:bCs/>
              </w:rPr>
            </w:pPr>
            <w:r w:rsidRPr="00134B7D">
              <w:rPr>
                <w:bCs/>
              </w:rPr>
              <w:t>Identify values for physical layer parameters chosen from the existing FR1 and FR2 sets. The following set of parameters to specify, but not necessarily limited to, are listed.as follows [RAN4]:</w:t>
            </w:r>
          </w:p>
          <w:p w14:paraId="01A8B93B" w14:textId="77777777" w:rsidR="001C0296" w:rsidRPr="00134B7D" w:rsidRDefault="001C0296" w:rsidP="001C0296">
            <w:pPr>
              <w:numPr>
                <w:ilvl w:val="1"/>
                <w:numId w:val="28"/>
              </w:numPr>
              <w:overflowPunct w:val="0"/>
              <w:autoSpaceDE w:val="0"/>
              <w:autoSpaceDN w:val="0"/>
              <w:adjustRightInd w:val="0"/>
              <w:textAlignment w:val="baseline"/>
            </w:pPr>
            <w:r>
              <w:t>time relationship related enhancement (e.g., K_offset)</w:t>
            </w:r>
          </w:p>
          <w:p w14:paraId="40D6C11C"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subcarrier spacing for different UL/DL signals/channels</w:t>
            </w:r>
          </w:p>
          <w:p w14:paraId="09BB1D41" w14:textId="77777777" w:rsidR="001C0296" w:rsidRPr="00134B7D" w:rsidRDefault="001C0296" w:rsidP="001C0296">
            <w:pPr>
              <w:numPr>
                <w:ilvl w:val="1"/>
                <w:numId w:val="28"/>
              </w:numPr>
              <w:overflowPunct w:val="0"/>
              <w:autoSpaceDE w:val="0"/>
              <w:autoSpaceDN w:val="0"/>
              <w:adjustRightInd w:val="0"/>
              <w:textAlignment w:val="baseline"/>
              <w:rPr>
                <w:bCs/>
              </w:rPr>
            </w:pPr>
            <w:r w:rsidRPr="00134B7D">
              <w:rPr>
                <w:bCs/>
              </w:rPr>
              <w:t>PRACH configuration index for FDD above 10 GHz.</w:t>
            </w:r>
          </w:p>
          <w:p w14:paraId="6A5DE987" w14:textId="77777777" w:rsidR="001C0296" w:rsidRPr="00F43845" w:rsidRDefault="001C0296">
            <w:pPr>
              <w:rPr>
                <w:i/>
                <w:iCs/>
              </w:rPr>
            </w:pPr>
          </w:p>
        </w:tc>
      </w:tr>
    </w:tbl>
    <w:p w14:paraId="24EBE5FB" w14:textId="77777777" w:rsidR="00A520D9" w:rsidRDefault="00A520D9" w:rsidP="005C23A4"/>
    <w:p w14:paraId="08E28A22" w14:textId="286C3D1C" w:rsidR="0060543D" w:rsidRPr="008C39F7" w:rsidRDefault="008F4559" w:rsidP="005C23A4">
      <w:r w:rsidRPr="008F4559">
        <w:t>Recently, RAN plenary had reviewed the scope of the RRM work, and has tasked RAN4 to create separate set of requirements for fully mechanical and fully electronic beam steering type of UEs .</w:t>
      </w:r>
      <w:r>
        <w:t xml:space="preserve"> The present contribution aims at discuss the requirements for mechanically steered beams in NTN</w:t>
      </w:r>
      <w:r>
        <w:fldChar w:fldCharType="begin"/>
      </w:r>
      <w:r>
        <w:instrText xml:space="preserve"> REF _Ref146543281 \r \h </w:instrText>
      </w:r>
      <w:r>
        <w:fldChar w:fldCharType="separate"/>
      </w:r>
      <w:r>
        <w:t>[4]</w:t>
      </w:r>
      <w:r>
        <w:fldChar w:fldCharType="end"/>
      </w:r>
      <w:r>
        <w:t xml:space="preserve">. </w:t>
      </w:r>
    </w:p>
    <w:p w14:paraId="75D9EA74" w14:textId="77777777" w:rsidR="003B659E" w:rsidRDefault="003B659E" w:rsidP="00AE56B1">
      <w:pPr>
        <w:pStyle w:val="RAN4H1"/>
      </w:pPr>
      <w:bookmarkStart w:id="6" w:name="_Toc116995842"/>
      <w:r w:rsidRPr="008C39F7">
        <w:t>Discussion</w:t>
      </w:r>
      <w:bookmarkEnd w:id="6"/>
    </w:p>
    <w:p w14:paraId="1478A87E" w14:textId="5A806DE4" w:rsidR="00AD0082" w:rsidRPr="00AD0082" w:rsidRDefault="00AD0082" w:rsidP="00AD0082">
      <w:pPr>
        <w:pStyle w:val="RAN4H2"/>
      </w:pPr>
      <w:r>
        <w:t>Discussion on transmit timing requirements</w:t>
      </w:r>
    </w:p>
    <w:p w14:paraId="407B24A4" w14:textId="558EC3B2" w:rsidR="00280B89" w:rsidRDefault="008F4559" w:rsidP="009C6E9D">
      <w:pPr>
        <w:jc w:val="both"/>
      </w:pPr>
      <w:r>
        <w:t xml:space="preserve">RAN plenary has recently tasked RAN1 to create the requirements for UEs type 2 in NTN (for the operation above 10 GHz) </w:t>
      </w:r>
      <w:r>
        <w:fldChar w:fldCharType="begin"/>
      </w:r>
      <w:r>
        <w:instrText xml:space="preserve"> REF _Ref146543281 \r \h </w:instrText>
      </w:r>
      <w:r>
        <w:fldChar w:fldCharType="separate"/>
      </w:r>
      <w:r>
        <w:t>[4]</w:t>
      </w:r>
      <w:r>
        <w:fldChar w:fldCharType="end"/>
      </w:r>
      <w:r>
        <w:t>. For mechanically steered beams, the following list of  requirements were defined as being part of the scope of Rel-18. The list is provided below:</w:t>
      </w:r>
    </w:p>
    <w:p w14:paraId="1449A344" w14:textId="77777777" w:rsidR="008F4559" w:rsidRDefault="008F4559" w:rsidP="009C6E9D">
      <w:pPr>
        <w:jc w:val="both"/>
      </w:pPr>
    </w:p>
    <w:p w14:paraId="78E5E519" w14:textId="68E04715" w:rsidR="008F4559" w:rsidRDefault="008F4559" w:rsidP="008F4559">
      <w:pPr>
        <w:pStyle w:val="Caption"/>
        <w:keepNext/>
      </w:pPr>
      <w:r>
        <w:t xml:space="preserve">Table </w:t>
      </w:r>
      <w:r w:rsidR="00CD1554">
        <w:fldChar w:fldCharType="begin"/>
      </w:r>
      <w:r w:rsidR="00CD1554">
        <w:instrText xml:space="preserve"> SEQ Table \* ARABIC </w:instrText>
      </w:r>
      <w:r w:rsidR="00CD1554">
        <w:fldChar w:fldCharType="separate"/>
      </w:r>
      <w:r>
        <w:rPr>
          <w:noProof/>
        </w:rPr>
        <w:t>1</w:t>
      </w:r>
      <w:r w:rsidR="00CD1554">
        <w:rPr>
          <w:noProof/>
        </w:rPr>
        <w:fldChar w:fldCharType="end"/>
      </w:r>
      <w:r>
        <w:t>. List of Requirements in the Scope of this WI for UEs type 2 (fully mechanically steered beams)</w:t>
      </w:r>
    </w:p>
    <w:tbl>
      <w:tblPr>
        <w:tblStyle w:val="TableGrid"/>
        <w:tblW w:w="0" w:type="auto"/>
        <w:tblLook w:val="04A0" w:firstRow="1" w:lastRow="0" w:firstColumn="1" w:lastColumn="0" w:noHBand="0" w:noVBand="1"/>
      </w:tblPr>
      <w:tblGrid>
        <w:gridCol w:w="3205"/>
        <w:gridCol w:w="3206"/>
        <w:gridCol w:w="3206"/>
      </w:tblGrid>
      <w:tr w:rsidR="008F4559" w14:paraId="45B1A916" w14:textId="77777777" w:rsidTr="00F42989">
        <w:tc>
          <w:tcPr>
            <w:tcW w:w="3205" w:type="dxa"/>
            <w:vAlign w:val="center"/>
          </w:tcPr>
          <w:p w14:paraId="73880B66" w14:textId="5206D6A5" w:rsidR="008F4559" w:rsidRDefault="008F4559" w:rsidP="008F4559">
            <w:pPr>
              <w:spacing w:after="160" w:line="259" w:lineRule="auto"/>
              <w:jc w:val="both"/>
            </w:pPr>
            <w:r>
              <w:t>Requirement</w:t>
            </w:r>
          </w:p>
        </w:tc>
        <w:tc>
          <w:tcPr>
            <w:tcW w:w="3206" w:type="dxa"/>
          </w:tcPr>
          <w:p w14:paraId="452A4ABB" w14:textId="3965600C" w:rsidR="008F4559" w:rsidRDefault="008F4559" w:rsidP="008F4559">
            <w:pPr>
              <w:spacing w:after="160" w:line="259" w:lineRule="auto"/>
              <w:jc w:val="both"/>
            </w:pPr>
            <w:r>
              <w:t>Inter-satellite</w:t>
            </w:r>
          </w:p>
        </w:tc>
        <w:tc>
          <w:tcPr>
            <w:tcW w:w="3206" w:type="dxa"/>
          </w:tcPr>
          <w:p w14:paraId="0281B962" w14:textId="066ADA32" w:rsidR="008F4559" w:rsidRDefault="008F4559" w:rsidP="008F4559">
            <w:pPr>
              <w:spacing w:after="160" w:line="259" w:lineRule="auto"/>
              <w:jc w:val="both"/>
            </w:pPr>
            <w:r>
              <w:t>Intra-Satellite</w:t>
            </w:r>
          </w:p>
        </w:tc>
      </w:tr>
      <w:tr w:rsidR="0032500C" w14:paraId="0611783A" w14:textId="77777777" w:rsidTr="00EB2F88">
        <w:tc>
          <w:tcPr>
            <w:tcW w:w="3205" w:type="dxa"/>
            <w:vAlign w:val="center"/>
          </w:tcPr>
          <w:p w14:paraId="4BB08B95" w14:textId="618B21BB" w:rsidR="0032500C" w:rsidRDefault="0032500C" w:rsidP="0032500C">
            <w:pPr>
              <w:spacing w:after="160" w:line="259" w:lineRule="auto"/>
              <w:jc w:val="both"/>
            </w:pPr>
            <w:r w:rsidRPr="008F4559">
              <w:t>UE uplink timing accuracy</w:t>
            </w:r>
          </w:p>
        </w:tc>
        <w:tc>
          <w:tcPr>
            <w:tcW w:w="3206" w:type="dxa"/>
            <w:vAlign w:val="center"/>
          </w:tcPr>
          <w:p w14:paraId="4EE7B4C3" w14:textId="119840C6" w:rsidR="0032500C" w:rsidRDefault="0032500C" w:rsidP="0032500C">
            <w:pPr>
              <w:spacing w:after="160" w:line="259" w:lineRule="auto"/>
              <w:jc w:val="both"/>
            </w:pPr>
            <w:r>
              <w:t>Yes</w:t>
            </w:r>
          </w:p>
        </w:tc>
        <w:tc>
          <w:tcPr>
            <w:tcW w:w="3206" w:type="dxa"/>
            <w:vMerge w:val="restart"/>
          </w:tcPr>
          <w:p w14:paraId="5566D079" w14:textId="77777777" w:rsidR="0032500C" w:rsidRDefault="0032500C" w:rsidP="0032500C">
            <w:pPr>
              <w:spacing w:after="160" w:line="259" w:lineRule="auto"/>
              <w:jc w:val="center"/>
            </w:pPr>
          </w:p>
          <w:p w14:paraId="3608CAFC" w14:textId="77777777" w:rsidR="0032500C" w:rsidRDefault="0032500C" w:rsidP="0032500C">
            <w:pPr>
              <w:spacing w:after="160" w:line="259" w:lineRule="auto"/>
              <w:jc w:val="center"/>
            </w:pPr>
          </w:p>
          <w:p w14:paraId="211CFBE5" w14:textId="77777777" w:rsidR="0032500C" w:rsidRDefault="0032500C" w:rsidP="0032500C">
            <w:pPr>
              <w:spacing w:after="160" w:line="259" w:lineRule="auto"/>
              <w:jc w:val="center"/>
            </w:pPr>
          </w:p>
          <w:p w14:paraId="242747A7" w14:textId="77777777" w:rsidR="0032500C" w:rsidRDefault="0032500C" w:rsidP="0032500C">
            <w:pPr>
              <w:spacing w:after="160" w:line="259" w:lineRule="auto"/>
              <w:jc w:val="center"/>
            </w:pPr>
          </w:p>
          <w:p w14:paraId="6DA1A2BB" w14:textId="77777777" w:rsidR="0032500C" w:rsidRDefault="0032500C" w:rsidP="0032500C">
            <w:pPr>
              <w:spacing w:after="160" w:line="259" w:lineRule="auto"/>
              <w:jc w:val="center"/>
            </w:pPr>
          </w:p>
          <w:p w14:paraId="53B34F3E" w14:textId="77777777" w:rsidR="0032500C" w:rsidRDefault="0032500C" w:rsidP="0032500C">
            <w:pPr>
              <w:spacing w:after="160" w:line="259" w:lineRule="auto"/>
              <w:jc w:val="center"/>
            </w:pPr>
          </w:p>
          <w:p w14:paraId="4418ADC9" w14:textId="77777777" w:rsidR="0032500C" w:rsidRDefault="0032500C" w:rsidP="0032500C">
            <w:pPr>
              <w:spacing w:after="160" w:line="259" w:lineRule="auto"/>
              <w:jc w:val="center"/>
            </w:pPr>
          </w:p>
          <w:p w14:paraId="1EE61D40" w14:textId="77777777" w:rsidR="0032500C" w:rsidRDefault="0032500C" w:rsidP="0032500C">
            <w:pPr>
              <w:spacing w:after="160" w:line="259" w:lineRule="auto"/>
              <w:jc w:val="center"/>
            </w:pPr>
          </w:p>
          <w:p w14:paraId="224C289D" w14:textId="01CFE08C" w:rsidR="0032500C" w:rsidRPr="0032500C" w:rsidRDefault="0032500C" w:rsidP="0032500C">
            <w:pPr>
              <w:jc w:val="center"/>
            </w:pPr>
            <w:r w:rsidRPr="0032500C">
              <w:t>Reuse FR1 NTN requirement, except UL uplink timing accuracy</w:t>
            </w:r>
            <w:r>
              <w:t>.</w:t>
            </w:r>
          </w:p>
          <w:p w14:paraId="2A0E6A51" w14:textId="77777777" w:rsidR="0032500C" w:rsidRPr="0032500C" w:rsidRDefault="0032500C" w:rsidP="0032500C">
            <w:pPr>
              <w:spacing w:after="160" w:line="259" w:lineRule="auto"/>
              <w:jc w:val="both"/>
              <w:rPr>
                <w:lang w:val="en-GB"/>
              </w:rPr>
            </w:pPr>
          </w:p>
        </w:tc>
      </w:tr>
      <w:tr w:rsidR="0032500C" w14:paraId="1A427C88" w14:textId="77777777" w:rsidTr="00EB2F88">
        <w:tc>
          <w:tcPr>
            <w:tcW w:w="3205" w:type="dxa"/>
            <w:vAlign w:val="center"/>
          </w:tcPr>
          <w:p w14:paraId="673DF188" w14:textId="7A7D3E25" w:rsidR="0032500C" w:rsidRDefault="0032500C" w:rsidP="0032500C">
            <w:pPr>
              <w:spacing w:after="160" w:line="259" w:lineRule="auto"/>
              <w:jc w:val="both"/>
            </w:pPr>
            <w:r w:rsidRPr="008F4559">
              <w:t xml:space="preserve">RRC IDLE and INACTIVE mobility </w:t>
            </w:r>
          </w:p>
        </w:tc>
        <w:tc>
          <w:tcPr>
            <w:tcW w:w="3206" w:type="dxa"/>
            <w:vAlign w:val="center"/>
          </w:tcPr>
          <w:p w14:paraId="4E67CB8B" w14:textId="1CF78DC3" w:rsidR="0032500C" w:rsidRDefault="0032500C" w:rsidP="0032500C">
            <w:pPr>
              <w:spacing w:after="160" w:line="259" w:lineRule="auto"/>
              <w:jc w:val="both"/>
            </w:pPr>
            <w:r>
              <w:t>No</w:t>
            </w:r>
          </w:p>
        </w:tc>
        <w:tc>
          <w:tcPr>
            <w:tcW w:w="3206" w:type="dxa"/>
            <w:vMerge/>
          </w:tcPr>
          <w:p w14:paraId="7EF864DD" w14:textId="77777777" w:rsidR="0032500C" w:rsidRDefault="0032500C" w:rsidP="0032500C">
            <w:pPr>
              <w:spacing w:after="160" w:line="259" w:lineRule="auto"/>
              <w:jc w:val="both"/>
            </w:pPr>
          </w:p>
        </w:tc>
      </w:tr>
      <w:tr w:rsidR="0032500C" w14:paraId="0E411D66" w14:textId="77777777" w:rsidTr="00EB2F88">
        <w:tc>
          <w:tcPr>
            <w:tcW w:w="3205" w:type="dxa"/>
            <w:vAlign w:val="center"/>
          </w:tcPr>
          <w:p w14:paraId="03B025D5" w14:textId="16047FAD" w:rsidR="0032500C" w:rsidRDefault="0032500C" w:rsidP="0032500C">
            <w:pPr>
              <w:spacing w:after="160" w:line="259" w:lineRule="auto"/>
              <w:jc w:val="both"/>
            </w:pPr>
            <w:r w:rsidRPr="008F4559">
              <w:t xml:space="preserve">(Conditional/blind) Handover </w:t>
            </w:r>
          </w:p>
        </w:tc>
        <w:tc>
          <w:tcPr>
            <w:tcW w:w="3206" w:type="dxa"/>
            <w:vAlign w:val="center"/>
          </w:tcPr>
          <w:p w14:paraId="17A8073E" w14:textId="3D56C0A2" w:rsidR="0032500C" w:rsidRDefault="0032500C" w:rsidP="0032500C">
            <w:pPr>
              <w:spacing w:after="160" w:line="259" w:lineRule="auto"/>
              <w:jc w:val="both"/>
            </w:pPr>
            <w:r>
              <w:t>Yes</w:t>
            </w:r>
          </w:p>
        </w:tc>
        <w:tc>
          <w:tcPr>
            <w:tcW w:w="3206" w:type="dxa"/>
            <w:vMerge/>
          </w:tcPr>
          <w:p w14:paraId="242A851B" w14:textId="77777777" w:rsidR="0032500C" w:rsidRDefault="0032500C" w:rsidP="0032500C">
            <w:pPr>
              <w:spacing w:after="160" w:line="259" w:lineRule="auto"/>
              <w:jc w:val="both"/>
            </w:pPr>
          </w:p>
        </w:tc>
      </w:tr>
      <w:tr w:rsidR="0032500C" w14:paraId="7E9332DE" w14:textId="77777777" w:rsidTr="004656B3">
        <w:tc>
          <w:tcPr>
            <w:tcW w:w="3205" w:type="dxa"/>
            <w:vAlign w:val="center"/>
          </w:tcPr>
          <w:p w14:paraId="73119B8E" w14:textId="1000FAC4" w:rsidR="0032500C" w:rsidRDefault="0032500C" w:rsidP="0032500C">
            <w:pPr>
              <w:spacing w:after="160" w:line="259" w:lineRule="auto"/>
              <w:jc w:val="both"/>
            </w:pPr>
            <w:r w:rsidRPr="008F4559">
              <w:t xml:space="preserve">RRC Re-establishment </w:t>
            </w:r>
          </w:p>
        </w:tc>
        <w:tc>
          <w:tcPr>
            <w:tcW w:w="3206" w:type="dxa"/>
            <w:vAlign w:val="center"/>
          </w:tcPr>
          <w:p w14:paraId="05899E0F" w14:textId="36D666A0" w:rsidR="0032500C" w:rsidRDefault="0032500C" w:rsidP="0032500C">
            <w:pPr>
              <w:spacing w:after="160" w:line="259" w:lineRule="auto"/>
              <w:jc w:val="both"/>
            </w:pPr>
            <w:r>
              <w:t>Low Priority</w:t>
            </w:r>
          </w:p>
        </w:tc>
        <w:tc>
          <w:tcPr>
            <w:tcW w:w="3206" w:type="dxa"/>
            <w:vMerge/>
          </w:tcPr>
          <w:p w14:paraId="0B816883" w14:textId="77777777" w:rsidR="0032500C" w:rsidRDefault="0032500C" w:rsidP="0032500C">
            <w:pPr>
              <w:spacing w:after="160" w:line="259" w:lineRule="auto"/>
              <w:jc w:val="both"/>
            </w:pPr>
          </w:p>
        </w:tc>
      </w:tr>
      <w:tr w:rsidR="0032500C" w14:paraId="60DEFAB7" w14:textId="77777777" w:rsidTr="004656B3">
        <w:tc>
          <w:tcPr>
            <w:tcW w:w="3205" w:type="dxa"/>
            <w:vAlign w:val="center"/>
          </w:tcPr>
          <w:p w14:paraId="70136136" w14:textId="0AE4312F" w:rsidR="0032500C" w:rsidRDefault="0032500C" w:rsidP="0032500C">
            <w:pPr>
              <w:spacing w:after="160" w:line="259" w:lineRule="auto"/>
              <w:jc w:val="both"/>
            </w:pPr>
            <w:r w:rsidRPr="008F4559">
              <w:t xml:space="preserve">RRC Connection Release with Redirection </w:t>
            </w:r>
          </w:p>
        </w:tc>
        <w:tc>
          <w:tcPr>
            <w:tcW w:w="3206" w:type="dxa"/>
            <w:vAlign w:val="center"/>
          </w:tcPr>
          <w:p w14:paraId="32854A7B" w14:textId="0419BCAD" w:rsidR="0032500C" w:rsidRDefault="0032500C" w:rsidP="0032500C">
            <w:pPr>
              <w:spacing w:after="160" w:line="259" w:lineRule="auto"/>
              <w:jc w:val="both"/>
            </w:pPr>
            <w:r>
              <w:t>No</w:t>
            </w:r>
          </w:p>
        </w:tc>
        <w:tc>
          <w:tcPr>
            <w:tcW w:w="3206" w:type="dxa"/>
            <w:vMerge/>
          </w:tcPr>
          <w:p w14:paraId="3E871FE2" w14:textId="77777777" w:rsidR="0032500C" w:rsidRDefault="0032500C" w:rsidP="0032500C">
            <w:pPr>
              <w:spacing w:after="160" w:line="259" w:lineRule="auto"/>
              <w:jc w:val="both"/>
            </w:pPr>
          </w:p>
        </w:tc>
      </w:tr>
      <w:tr w:rsidR="0032500C" w14:paraId="48139E58" w14:textId="77777777" w:rsidTr="004656B3">
        <w:tc>
          <w:tcPr>
            <w:tcW w:w="3205" w:type="dxa"/>
            <w:vAlign w:val="center"/>
          </w:tcPr>
          <w:p w14:paraId="6545219C" w14:textId="73E7D13F" w:rsidR="0032500C" w:rsidRDefault="0032500C" w:rsidP="0032500C">
            <w:pPr>
              <w:spacing w:after="160" w:line="259" w:lineRule="auto"/>
              <w:jc w:val="both"/>
            </w:pPr>
            <w:r w:rsidRPr="008F4559">
              <w:t xml:space="preserve">Radio Link Monitoring </w:t>
            </w:r>
          </w:p>
        </w:tc>
        <w:tc>
          <w:tcPr>
            <w:tcW w:w="3206" w:type="dxa"/>
            <w:vAlign w:val="center"/>
          </w:tcPr>
          <w:p w14:paraId="2827436D" w14:textId="7D6F5CF1" w:rsidR="0032500C" w:rsidRDefault="0032500C" w:rsidP="0032500C">
            <w:pPr>
              <w:spacing w:after="160" w:line="259" w:lineRule="auto"/>
              <w:jc w:val="both"/>
            </w:pPr>
            <w:r>
              <w:t>Yes</w:t>
            </w:r>
          </w:p>
        </w:tc>
        <w:tc>
          <w:tcPr>
            <w:tcW w:w="3206" w:type="dxa"/>
            <w:vMerge/>
          </w:tcPr>
          <w:p w14:paraId="055279B4" w14:textId="77777777" w:rsidR="0032500C" w:rsidRDefault="0032500C" w:rsidP="0032500C">
            <w:pPr>
              <w:spacing w:after="160" w:line="259" w:lineRule="auto"/>
              <w:jc w:val="both"/>
            </w:pPr>
          </w:p>
        </w:tc>
      </w:tr>
      <w:tr w:rsidR="0032500C" w14:paraId="21B43C99" w14:textId="77777777" w:rsidTr="004656B3">
        <w:tc>
          <w:tcPr>
            <w:tcW w:w="3205" w:type="dxa"/>
            <w:vAlign w:val="center"/>
          </w:tcPr>
          <w:p w14:paraId="33AE7966" w14:textId="59288E50" w:rsidR="0032500C" w:rsidRDefault="0032500C" w:rsidP="0032500C">
            <w:pPr>
              <w:spacing w:after="160" w:line="259" w:lineRule="auto"/>
              <w:jc w:val="both"/>
            </w:pPr>
            <w:r w:rsidRPr="008F4559">
              <w:t>Link Recovery procedure (BFD/CBD)</w:t>
            </w:r>
          </w:p>
        </w:tc>
        <w:tc>
          <w:tcPr>
            <w:tcW w:w="3206" w:type="dxa"/>
            <w:vAlign w:val="center"/>
          </w:tcPr>
          <w:p w14:paraId="47741951" w14:textId="57035CC6" w:rsidR="0032500C" w:rsidRDefault="0032500C" w:rsidP="0032500C">
            <w:pPr>
              <w:spacing w:after="160" w:line="259" w:lineRule="auto"/>
              <w:jc w:val="both"/>
            </w:pPr>
            <w:r>
              <w:t>No</w:t>
            </w:r>
          </w:p>
        </w:tc>
        <w:tc>
          <w:tcPr>
            <w:tcW w:w="3206" w:type="dxa"/>
            <w:vMerge/>
          </w:tcPr>
          <w:p w14:paraId="4BFC1B68" w14:textId="77777777" w:rsidR="0032500C" w:rsidRDefault="0032500C" w:rsidP="0032500C">
            <w:pPr>
              <w:spacing w:after="160" w:line="259" w:lineRule="auto"/>
              <w:jc w:val="both"/>
            </w:pPr>
          </w:p>
        </w:tc>
      </w:tr>
      <w:tr w:rsidR="0032500C" w14:paraId="39203CE0" w14:textId="77777777" w:rsidTr="004656B3">
        <w:tc>
          <w:tcPr>
            <w:tcW w:w="3205" w:type="dxa"/>
            <w:vAlign w:val="center"/>
          </w:tcPr>
          <w:p w14:paraId="1194EEAC" w14:textId="0813BB2B" w:rsidR="0032500C" w:rsidRPr="008F4559" w:rsidRDefault="0032500C" w:rsidP="0032500C">
            <w:pPr>
              <w:spacing w:after="160" w:line="259" w:lineRule="auto"/>
              <w:jc w:val="both"/>
            </w:pPr>
            <w:r w:rsidRPr="008F4559">
              <w:t>Active TCI switching</w:t>
            </w:r>
          </w:p>
        </w:tc>
        <w:tc>
          <w:tcPr>
            <w:tcW w:w="3206" w:type="dxa"/>
            <w:vAlign w:val="center"/>
          </w:tcPr>
          <w:p w14:paraId="1994FC67" w14:textId="3CC3F908" w:rsidR="0032500C" w:rsidRDefault="0032500C" w:rsidP="0032500C">
            <w:pPr>
              <w:spacing w:after="160" w:line="259" w:lineRule="auto"/>
              <w:jc w:val="both"/>
            </w:pPr>
            <w:r>
              <w:t>No</w:t>
            </w:r>
          </w:p>
        </w:tc>
        <w:tc>
          <w:tcPr>
            <w:tcW w:w="3206" w:type="dxa"/>
            <w:vMerge/>
          </w:tcPr>
          <w:p w14:paraId="03A3AC93" w14:textId="77777777" w:rsidR="0032500C" w:rsidRDefault="0032500C" w:rsidP="0032500C">
            <w:pPr>
              <w:spacing w:after="160" w:line="259" w:lineRule="auto"/>
              <w:jc w:val="both"/>
            </w:pPr>
          </w:p>
        </w:tc>
      </w:tr>
      <w:tr w:rsidR="0032500C" w14:paraId="7D2DFFB2" w14:textId="77777777" w:rsidTr="004656B3">
        <w:tc>
          <w:tcPr>
            <w:tcW w:w="3205" w:type="dxa"/>
            <w:vAlign w:val="center"/>
          </w:tcPr>
          <w:p w14:paraId="765EE7E5" w14:textId="380C9DDD" w:rsidR="0032500C" w:rsidRPr="008F4559" w:rsidRDefault="0032500C" w:rsidP="0032500C">
            <w:pPr>
              <w:spacing w:after="160" w:line="259" w:lineRule="auto"/>
              <w:jc w:val="both"/>
            </w:pPr>
            <w:r w:rsidRPr="008F4559">
              <w:t>Measurement Procedure</w:t>
            </w:r>
          </w:p>
        </w:tc>
        <w:tc>
          <w:tcPr>
            <w:tcW w:w="3206" w:type="dxa"/>
            <w:vAlign w:val="center"/>
          </w:tcPr>
          <w:p w14:paraId="31F32072" w14:textId="2A5BBF23" w:rsidR="0032500C" w:rsidRDefault="0032500C" w:rsidP="0032500C">
            <w:pPr>
              <w:spacing w:after="160" w:line="259" w:lineRule="auto"/>
              <w:jc w:val="both"/>
            </w:pPr>
            <w:r>
              <w:t>No</w:t>
            </w:r>
          </w:p>
        </w:tc>
        <w:tc>
          <w:tcPr>
            <w:tcW w:w="3206" w:type="dxa"/>
            <w:vMerge/>
          </w:tcPr>
          <w:p w14:paraId="573090C0" w14:textId="77777777" w:rsidR="0032500C" w:rsidRDefault="0032500C" w:rsidP="0032500C">
            <w:pPr>
              <w:spacing w:after="160" w:line="259" w:lineRule="auto"/>
              <w:jc w:val="both"/>
            </w:pPr>
          </w:p>
        </w:tc>
      </w:tr>
      <w:tr w:rsidR="0032500C" w14:paraId="7300A905" w14:textId="77777777" w:rsidTr="004656B3">
        <w:tc>
          <w:tcPr>
            <w:tcW w:w="3205" w:type="dxa"/>
            <w:vAlign w:val="center"/>
          </w:tcPr>
          <w:p w14:paraId="7DA628F5" w14:textId="42427BD9" w:rsidR="0032500C" w:rsidRPr="008F4559" w:rsidRDefault="0032500C" w:rsidP="0032500C">
            <w:pPr>
              <w:spacing w:after="160" w:line="259" w:lineRule="auto"/>
              <w:jc w:val="both"/>
            </w:pPr>
            <w:r w:rsidRPr="008F4559">
              <w:t xml:space="preserve">(L1/L3 measurement delay and measurement gap, scheduling restriction due to mixed numerologies) </w:t>
            </w:r>
          </w:p>
        </w:tc>
        <w:tc>
          <w:tcPr>
            <w:tcW w:w="3206" w:type="dxa"/>
            <w:vAlign w:val="center"/>
          </w:tcPr>
          <w:p w14:paraId="6A7E3670" w14:textId="799BD9CA" w:rsidR="0032500C" w:rsidRDefault="0032500C" w:rsidP="0032500C">
            <w:pPr>
              <w:spacing w:after="160" w:line="259" w:lineRule="auto"/>
              <w:jc w:val="both"/>
            </w:pPr>
            <w:r>
              <w:t>No</w:t>
            </w:r>
          </w:p>
        </w:tc>
        <w:tc>
          <w:tcPr>
            <w:tcW w:w="3206" w:type="dxa"/>
            <w:vMerge/>
          </w:tcPr>
          <w:p w14:paraId="06FB5536" w14:textId="77777777" w:rsidR="0032500C" w:rsidRDefault="0032500C" w:rsidP="0032500C">
            <w:pPr>
              <w:spacing w:after="160" w:line="259" w:lineRule="auto"/>
              <w:jc w:val="both"/>
            </w:pPr>
          </w:p>
        </w:tc>
      </w:tr>
      <w:tr w:rsidR="0032500C" w14:paraId="59E3DEC2" w14:textId="77777777" w:rsidTr="004656B3">
        <w:tc>
          <w:tcPr>
            <w:tcW w:w="3205" w:type="dxa"/>
            <w:vAlign w:val="center"/>
          </w:tcPr>
          <w:p w14:paraId="3CDEEA27" w14:textId="182F7ECB" w:rsidR="0032500C" w:rsidRPr="008F4559" w:rsidRDefault="0032500C" w:rsidP="0032500C">
            <w:pPr>
              <w:spacing w:after="160" w:line="259" w:lineRule="auto"/>
              <w:jc w:val="both"/>
            </w:pPr>
            <w:r w:rsidRPr="008F4559">
              <w:t>Measurement Performance</w:t>
            </w:r>
          </w:p>
        </w:tc>
        <w:tc>
          <w:tcPr>
            <w:tcW w:w="3206" w:type="dxa"/>
            <w:vAlign w:val="center"/>
          </w:tcPr>
          <w:p w14:paraId="4EC9B7E7" w14:textId="56F2ABDD" w:rsidR="0032500C" w:rsidRDefault="0032500C" w:rsidP="0032500C">
            <w:pPr>
              <w:spacing w:after="160" w:line="259" w:lineRule="auto"/>
              <w:jc w:val="both"/>
            </w:pPr>
            <w:r>
              <w:t>No</w:t>
            </w:r>
          </w:p>
        </w:tc>
        <w:tc>
          <w:tcPr>
            <w:tcW w:w="3206" w:type="dxa"/>
            <w:vMerge/>
          </w:tcPr>
          <w:p w14:paraId="2BA0FBAD" w14:textId="77777777" w:rsidR="0032500C" w:rsidRDefault="0032500C" w:rsidP="0032500C">
            <w:pPr>
              <w:spacing w:after="160" w:line="259" w:lineRule="auto"/>
              <w:jc w:val="both"/>
            </w:pPr>
          </w:p>
        </w:tc>
      </w:tr>
      <w:tr w:rsidR="0032500C" w14:paraId="122B8730" w14:textId="77777777" w:rsidTr="004656B3">
        <w:tc>
          <w:tcPr>
            <w:tcW w:w="3205" w:type="dxa"/>
            <w:vAlign w:val="center"/>
          </w:tcPr>
          <w:p w14:paraId="2001172D" w14:textId="11C83264" w:rsidR="0032500C" w:rsidRPr="008F4559" w:rsidRDefault="0032500C" w:rsidP="0032500C">
            <w:pPr>
              <w:spacing w:after="160" w:line="259" w:lineRule="auto"/>
              <w:jc w:val="both"/>
            </w:pPr>
            <w:r w:rsidRPr="008F4559">
              <w:t>UL spatial relation switching</w:t>
            </w:r>
          </w:p>
        </w:tc>
        <w:tc>
          <w:tcPr>
            <w:tcW w:w="3206" w:type="dxa"/>
            <w:vAlign w:val="center"/>
          </w:tcPr>
          <w:p w14:paraId="64E2EC97" w14:textId="56A9357F" w:rsidR="0032500C" w:rsidRDefault="0032500C" w:rsidP="0032500C">
            <w:pPr>
              <w:spacing w:after="160" w:line="259" w:lineRule="auto"/>
              <w:jc w:val="both"/>
            </w:pPr>
            <w:r>
              <w:t>No</w:t>
            </w:r>
          </w:p>
        </w:tc>
        <w:tc>
          <w:tcPr>
            <w:tcW w:w="3206" w:type="dxa"/>
            <w:vMerge/>
          </w:tcPr>
          <w:p w14:paraId="709B557D" w14:textId="77777777" w:rsidR="0032500C" w:rsidRDefault="0032500C" w:rsidP="0032500C">
            <w:pPr>
              <w:spacing w:after="160" w:line="259" w:lineRule="auto"/>
              <w:jc w:val="both"/>
            </w:pPr>
          </w:p>
        </w:tc>
      </w:tr>
    </w:tbl>
    <w:p w14:paraId="2D6B0C74" w14:textId="77777777" w:rsidR="008F4559" w:rsidRDefault="008F4559" w:rsidP="009C6E9D">
      <w:pPr>
        <w:jc w:val="both"/>
      </w:pPr>
    </w:p>
    <w:p w14:paraId="78C57EC4" w14:textId="04414D2B" w:rsidR="0032500C" w:rsidRDefault="0032500C" w:rsidP="009C6E9D">
      <w:pPr>
        <w:jc w:val="both"/>
      </w:pPr>
      <w:r>
        <w:t>Therefore, the following list of requirements are down-selected to be discussed in this WI:</w:t>
      </w:r>
    </w:p>
    <w:p w14:paraId="46DE2B0F" w14:textId="7AA5D060" w:rsidR="0032500C" w:rsidRDefault="0032500C" w:rsidP="0032500C">
      <w:pPr>
        <w:pStyle w:val="ListParagraph"/>
        <w:numPr>
          <w:ilvl w:val="0"/>
          <w:numId w:val="35"/>
        </w:numPr>
        <w:jc w:val="both"/>
      </w:pPr>
      <w:r>
        <w:t>(Conditional/Blind) HO</w:t>
      </w:r>
    </w:p>
    <w:p w14:paraId="34AB9063" w14:textId="4ABBB94A" w:rsidR="0032500C" w:rsidRDefault="0032500C" w:rsidP="0032500C">
      <w:pPr>
        <w:pStyle w:val="ListParagraph"/>
        <w:numPr>
          <w:ilvl w:val="0"/>
          <w:numId w:val="35"/>
        </w:numPr>
        <w:jc w:val="both"/>
      </w:pPr>
      <w:r>
        <w:t>RLM</w:t>
      </w:r>
    </w:p>
    <w:p w14:paraId="4AE18DFC" w14:textId="4392088C" w:rsidR="0032500C" w:rsidRDefault="0032500C" w:rsidP="0032500C">
      <w:pPr>
        <w:pStyle w:val="ListParagraph"/>
        <w:numPr>
          <w:ilvl w:val="0"/>
          <w:numId w:val="35"/>
        </w:numPr>
        <w:jc w:val="both"/>
      </w:pPr>
      <w:r>
        <w:lastRenderedPageBreak/>
        <w:t>RRC Re-establishment (low priority)</w:t>
      </w:r>
    </w:p>
    <w:p w14:paraId="53291D4D" w14:textId="373AF70F" w:rsidR="0032500C" w:rsidRDefault="0032500C" w:rsidP="0032500C">
      <w:pPr>
        <w:pStyle w:val="ListParagraph"/>
        <w:numPr>
          <w:ilvl w:val="0"/>
          <w:numId w:val="35"/>
        </w:numPr>
        <w:jc w:val="both"/>
      </w:pPr>
      <w:r>
        <w:t>UE uplink timing accuracy</w:t>
      </w:r>
    </w:p>
    <w:p w14:paraId="59C62583" w14:textId="77777777" w:rsidR="0032500C" w:rsidRDefault="0032500C" w:rsidP="0032500C">
      <w:pPr>
        <w:jc w:val="both"/>
      </w:pPr>
    </w:p>
    <w:p w14:paraId="6A550982" w14:textId="432DB9EB" w:rsidR="0032500C" w:rsidRDefault="0032500C" w:rsidP="0032500C">
      <w:pPr>
        <w:jc w:val="both"/>
      </w:pPr>
      <w:r>
        <w:t xml:space="preserve">The UE UL transmit timing accuracy requirement does not depend on the UE type and should be discussed separately as a general requirement and the RRC Re-establishment requirement was deemed low priority, and given the WI status and the amount of work left to be completed, is down-prioritized in the discussions for the time being. Therefore, the only requirements to be discussed for Mechanically-steered beams are related to Handover and Radio Link Monitoring. </w:t>
      </w:r>
    </w:p>
    <w:p w14:paraId="65183823" w14:textId="19D98C29" w:rsidR="0032500C" w:rsidRDefault="0032500C" w:rsidP="0032500C">
      <w:pPr>
        <w:pStyle w:val="RAN4observation0"/>
      </w:pPr>
      <w:bookmarkStart w:id="7" w:name="_Toc146733216"/>
      <w:r>
        <w:t>The UE UL timing accuracy does not depend on the UE type and should be discussed separately as a general requirement.</w:t>
      </w:r>
      <w:bookmarkEnd w:id="7"/>
      <w:r>
        <w:t xml:space="preserve"> </w:t>
      </w:r>
    </w:p>
    <w:p w14:paraId="185F7B7F" w14:textId="77777777" w:rsidR="0032500C" w:rsidRDefault="0032500C" w:rsidP="0032500C"/>
    <w:p w14:paraId="385C1B04" w14:textId="53F7B613" w:rsidR="006B7908" w:rsidRDefault="006B7908" w:rsidP="006B7908">
      <w:pPr>
        <w:pStyle w:val="RAN4H3"/>
      </w:pPr>
      <w:r>
        <w:t>RLM requirements</w:t>
      </w:r>
    </w:p>
    <w:p w14:paraId="2E6AD633" w14:textId="44E0ACD4" w:rsidR="00E53894" w:rsidRDefault="00E53894" w:rsidP="00E53894">
      <w:pPr>
        <w:jc w:val="both"/>
      </w:pPr>
      <w:r>
        <w:t xml:space="preserve">The radio link monitoring is to be performed towards the serving cell, i.e., toward the same serving satellite whose the UE mechanical beam is already aligned to. Hence, it can be assumed that the UE is capable of performing the L1 measurements without restrictions compared to other deployments. </w:t>
      </w:r>
    </w:p>
    <w:p w14:paraId="168E8D9A" w14:textId="66253B7C" w:rsidR="006F5D79" w:rsidRDefault="006F5D79" w:rsidP="00E53894">
      <w:pPr>
        <w:jc w:val="both"/>
      </w:pPr>
      <w:r>
        <w:t>The first aspect to be considered, is whether the RLM has to be scaled for the operation above 10 GHz. Previously, in terrestrial networks, this aspect was considered to account for the beam sweeping that could be performed at UE side:</w:t>
      </w:r>
    </w:p>
    <w:tbl>
      <w:tblPr>
        <w:tblStyle w:val="TableGrid"/>
        <w:tblW w:w="0" w:type="auto"/>
        <w:tblLook w:val="04A0" w:firstRow="1" w:lastRow="0" w:firstColumn="1" w:lastColumn="0" w:noHBand="0" w:noVBand="1"/>
      </w:tblPr>
      <w:tblGrid>
        <w:gridCol w:w="9617"/>
      </w:tblGrid>
      <w:tr w:rsidR="006F5D79" w14:paraId="2B116210" w14:textId="77777777" w:rsidTr="006F5D79">
        <w:tc>
          <w:tcPr>
            <w:tcW w:w="9617" w:type="dxa"/>
          </w:tcPr>
          <w:p w14:paraId="1E828253" w14:textId="77777777" w:rsidR="006F5D79" w:rsidRPr="006F5D79" w:rsidRDefault="006F5D79" w:rsidP="00E53894">
            <w:pPr>
              <w:jc w:val="both"/>
              <w:rPr>
                <w:b/>
                <w:bCs/>
                <w:u w:val="single"/>
              </w:rPr>
            </w:pPr>
            <w:r w:rsidRPr="006F5D79">
              <w:rPr>
                <w:b/>
                <w:bCs/>
                <w:u w:val="single"/>
              </w:rPr>
              <w:t xml:space="preserve">TS 38.133 </w:t>
            </w:r>
          </w:p>
          <w:p w14:paraId="500B0377" w14:textId="77777777" w:rsidR="006F5D79" w:rsidRPr="006F5D79" w:rsidRDefault="006F5D79" w:rsidP="00E53894">
            <w:pPr>
              <w:jc w:val="both"/>
              <w:rPr>
                <w:b/>
                <w:bCs/>
                <w:u w:val="single"/>
              </w:rPr>
            </w:pPr>
            <w:r w:rsidRPr="006F5D79">
              <w:rPr>
                <w:b/>
                <w:bCs/>
                <w:u w:val="single"/>
              </w:rPr>
              <w:t>Clause 8.1.1 (Legacy – Terrestrial Networks):</w:t>
            </w:r>
          </w:p>
          <w:p w14:paraId="3D69CB6A" w14:textId="77777777" w:rsidR="006F5D79" w:rsidRDefault="006F5D79" w:rsidP="00E53894">
            <w:pPr>
              <w:jc w:val="both"/>
            </w:pPr>
          </w:p>
          <w:p w14:paraId="079509B5" w14:textId="77777777" w:rsidR="006F5D79" w:rsidRDefault="006F5D79" w:rsidP="006F5D79">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Pr>
                <w:rFonts w:eastAsia="?? ??"/>
                <w:i/>
              </w:rPr>
              <w:t>highSpeedMeasFlagFR2-r17</w:t>
            </w:r>
            <w:r>
              <w:rPr>
                <w:rFonts w:eastAsia="?? ??"/>
              </w:rPr>
              <w:t xml:space="preserve"> is not configured</w:t>
            </w:r>
          </w:p>
          <w:p w14:paraId="4221F06D" w14:textId="3E57AE84" w:rsidR="006F5D79" w:rsidRDefault="006F5D79" w:rsidP="00E53894">
            <w:pPr>
              <w:jc w:val="both"/>
            </w:pPr>
          </w:p>
        </w:tc>
      </w:tr>
    </w:tbl>
    <w:p w14:paraId="598F0765" w14:textId="77777777" w:rsidR="006F5D79" w:rsidRDefault="006F5D79" w:rsidP="00E53894">
      <w:pPr>
        <w:jc w:val="both"/>
      </w:pPr>
    </w:p>
    <w:p w14:paraId="638AA566" w14:textId="38CCF8D0" w:rsidR="00DA4162" w:rsidRDefault="00DA4162" w:rsidP="00E53894">
      <w:pPr>
        <w:jc w:val="both"/>
      </w:pPr>
      <w:r>
        <w:t xml:space="preserve">For mechanical beam sweeping is not expected that the UE is capable of performing the measurements across multiple beam directions. </w:t>
      </w:r>
    </w:p>
    <w:p w14:paraId="7338941E" w14:textId="6CAB3D60" w:rsidR="00DA4162" w:rsidRDefault="00DA4162" w:rsidP="00DA4162">
      <w:pPr>
        <w:pStyle w:val="RAN4proposal"/>
      </w:pPr>
      <w:bookmarkStart w:id="8" w:name="_Toc146733217"/>
      <w:r>
        <w:t>For fully-mechanically steered beams, the scaling factor for T</w:t>
      </w:r>
      <w:r>
        <w:rPr>
          <w:vertAlign w:val="subscript"/>
        </w:rPr>
        <w:t>Evaluate_out_SSB</w:t>
      </w:r>
      <w:r>
        <w:rPr>
          <w:rFonts w:eastAsia="?? ??"/>
        </w:rPr>
        <w:t xml:space="preserve"> and </w:t>
      </w:r>
      <w:r>
        <w:t>T</w:t>
      </w:r>
      <w:r>
        <w:rPr>
          <w:vertAlign w:val="subscript"/>
        </w:rPr>
        <w:t xml:space="preserve">Evaluate_in_SSB </w:t>
      </w:r>
      <w:r w:rsidRPr="00DA4162">
        <w:t>shall be set to 1 (no beam sweeping).</w:t>
      </w:r>
      <w:bookmarkEnd w:id="8"/>
    </w:p>
    <w:p w14:paraId="61EC4D36" w14:textId="6419AE5E" w:rsidR="00E53894" w:rsidRDefault="00DA4162" w:rsidP="00E53894">
      <w:pPr>
        <w:jc w:val="both"/>
      </w:pPr>
      <w:r>
        <w:t xml:space="preserve">Another question to be considered is the potential collisions between L1 and L3 measurements on the RLM-RS resources. </w:t>
      </w:r>
      <w:r w:rsidR="00E53894">
        <w:t xml:space="preserve">Previously in NTN, RLM requirements were adapted to cover for the cases where L1 and L3 measurements toward neighbor satellites collided in time, such that the UE should be capable to perform the measurements, when some measurements opportunities are lost to neighbor satellites. </w:t>
      </w:r>
    </w:p>
    <w:p w14:paraId="4E025241" w14:textId="2EC37CD2" w:rsidR="00E53894" w:rsidRDefault="00E53894" w:rsidP="00E53894">
      <w:pPr>
        <w:jc w:val="both"/>
      </w:pPr>
      <w:r>
        <w:t>However, for mechanically steered beams, this might not be applicable</w:t>
      </w:r>
      <w:r w:rsidR="006811E4">
        <w:t xml:space="preserve">. The maximum duration of a measurement gap is 20 ms limited to  and the maximum duration of a SMTC is 5 ms. If a UE with fully mechanically steered beam requires hundreds of ms to retune its RF chain, collect measurements from neighbor satellites and return to its original alignment to maintain the link with the serving satellite, it is fair to assume that this UE is not capable to complete neighbor satellite measurements within the interval of a SMTC or a MG.  </w:t>
      </w:r>
    </w:p>
    <w:p w14:paraId="195EEF41" w14:textId="3A98C6A5" w:rsidR="00E53894" w:rsidRDefault="00E53894" w:rsidP="00E53894">
      <w:pPr>
        <w:pStyle w:val="RAN4observation0"/>
      </w:pPr>
      <w:bookmarkStart w:id="9" w:name="_Toc146733218"/>
      <w:r>
        <w:t>Assuming a UE with fully mechanically steered beam requires hundreds of ms to sweep for measurements of neighbor satellites and return to be aligned with the serving satellite, such UEs are not considered capable of measuring a neighbor satellite in the duration of a Measurement Gap or in the duration of a SMTC.</w:t>
      </w:r>
      <w:bookmarkEnd w:id="9"/>
      <w:r>
        <w:t xml:space="preserve"> </w:t>
      </w:r>
    </w:p>
    <w:p w14:paraId="1B1DF826" w14:textId="0D492BAA" w:rsidR="006811E4" w:rsidRDefault="006811E4" w:rsidP="006811E4">
      <w:pPr>
        <w:pStyle w:val="RAN4observation0"/>
      </w:pPr>
      <w:bookmarkStart w:id="10" w:name="_Toc146733219"/>
      <w:r>
        <w:t xml:space="preserve">UEs </w:t>
      </w:r>
      <w:r w:rsidR="00464DFA">
        <w:t>with fully mechanically steered beams should not be configured to measure neighbor satellites while in connected mode.</w:t>
      </w:r>
      <w:bookmarkEnd w:id="10"/>
      <w:r w:rsidR="00464DFA">
        <w:t xml:space="preserve"> </w:t>
      </w:r>
    </w:p>
    <w:p w14:paraId="79CDB86B" w14:textId="5E2EF04C" w:rsidR="00464DFA" w:rsidRDefault="00464DFA" w:rsidP="00464DFA">
      <w:r>
        <w:t xml:space="preserve">From the observations above, it is possible to infer that this UE does not face collisions between L1 and L3 measurements of neighbor satellites. </w:t>
      </w:r>
      <w:r w:rsidR="00DA4162">
        <w:t xml:space="preserve"> The only MGs that might affect the measurements of a fully mechanically steered beam UE are MGs for inter-frequency measurements.  </w:t>
      </w:r>
    </w:p>
    <w:p w14:paraId="0054F598" w14:textId="22656C27" w:rsidR="00464DFA" w:rsidRDefault="00DA4162" w:rsidP="00464DFA">
      <w:pPr>
        <w:pStyle w:val="RAN4proposal"/>
      </w:pPr>
      <w:bookmarkStart w:id="11" w:name="_Toc146733220"/>
      <w:r>
        <w:t>Fully-mechanically beam-steered UEs are not required to perform measurements towards neighbor satellites.</w:t>
      </w:r>
      <w:bookmarkEnd w:id="11"/>
      <w:r>
        <w:t xml:space="preserve"> </w:t>
      </w:r>
    </w:p>
    <w:p w14:paraId="27FBB573" w14:textId="4A3F516F" w:rsidR="00DA4162" w:rsidRDefault="00DA4162" w:rsidP="00DA4162">
      <w:pPr>
        <w:pStyle w:val="RAN4proposal"/>
      </w:pPr>
      <w:bookmarkStart w:id="12" w:name="_Toc146733221"/>
      <w:r>
        <w:lastRenderedPageBreak/>
        <w:t>Use the legacy terrestrial (FR1) requirements as baseline for the RLM requirements for UEs with fully-mechanically steered beams</w:t>
      </w:r>
      <w:r w:rsidR="006B0DAF">
        <w:t>.</w:t>
      </w:r>
      <w:bookmarkEnd w:id="12"/>
      <w:r w:rsidR="006B0DAF">
        <w:t xml:space="preserve"> </w:t>
      </w:r>
    </w:p>
    <w:p w14:paraId="4C6A5C50" w14:textId="27A340DF" w:rsidR="006B0DAF" w:rsidRDefault="00527472" w:rsidP="006B0DAF">
      <w:r>
        <w:t xml:space="preserve">The differences between mechanical and electronic steered beams seem to be considerable to justify that both are treated in different clauses, to avoid a confuse clause to be created with several “if-elses”. </w:t>
      </w:r>
    </w:p>
    <w:p w14:paraId="3E5932AE" w14:textId="02D341F2" w:rsidR="00527472" w:rsidRDefault="00527472" w:rsidP="00527472">
      <w:pPr>
        <w:pStyle w:val="RAN4proposal"/>
      </w:pPr>
      <w:bookmarkStart w:id="13" w:name="_Toc146733222"/>
      <w:r>
        <w:t>Specify RLM requirements for mechanically and electronically steered beams in different subclauses of section 8.1C.</w:t>
      </w:r>
      <w:bookmarkEnd w:id="13"/>
      <w:r>
        <w:t xml:space="preserve"> </w:t>
      </w:r>
    </w:p>
    <w:p w14:paraId="4BDD6FCC" w14:textId="1B15FE74" w:rsidR="006B0DAF" w:rsidRPr="006B0DAF" w:rsidRDefault="006B0DAF" w:rsidP="006B0DAF">
      <w:pPr>
        <w:pStyle w:val="RAN4H3"/>
      </w:pPr>
      <w:r>
        <w:t>Handover Requirements</w:t>
      </w:r>
    </w:p>
    <w:p w14:paraId="155B6ADC" w14:textId="504927C4" w:rsidR="0032500C" w:rsidRDefault="006B0DAF" w:rsidP="0032500C">
      <w:r>
        <w:t xml:space="preserve">When a UE with a mechanical steered-beam is deployed in a NTN, the handover requirements are only affected if the UE is required to retune its mechanical beam towards the target cell during the HO procedure. In other words, for intra-satellite HO, there are no impact on the HO requirements, as it is expected that the UE do not need to retune its mechanical beam. However, when the target cell is in a different satellite, most likely in situations of blind HO, the UE will be required to retune its beam before the HO is completed. </w:t>
      </w:r>
    </w:p>
    <w:p w14:paraId="39F28FD3" w14:textId="1C608D0A" w:rsidR="006B0DAF" w:rsidRPr="0032500C" w:rsidRDefault="00820C7C" w:rsidP="00820C7C">
      <w:pPr>
        <w:pStyle w:val="RAN4proposal"/>
      </w:pPr>
      <w:bookmarkStart w:id="14" w:name="_Toc146733223"/>
      <w:r>
        <w:t>For the HO requirements, add an additional interruption component for the retuning of the mechanical beam when the target cell belongs to a different satellite.</w:t>
      </w:r>
      <w:bookmarkEnd w:id="14"/>
      <w:r>
        <w:t xml:space="preserve"> </w:t>
      </w:r>
    </w:p>
    <w:p w14:paraId="16CCCA60" w14:textId="31247591" w:rsidR="008F4559" w:rsidRDefault="00820C7C" w:rsidP="009C6E9D">
      <w:pPr>
        <w:jc w:val="both"/>
      </w:pPr>
      <w:r>
        <w:t>Like previously discussed, it is not expected that the UE can perform measurements towards the neighbor satellites while in connected mode. So, while it is expected that a Blind HO can be performed</w:t>
      </w:r>
      <w:r w:rsidR="00527472">
        <w:t xml:space="preserve">, it is unlikely that a conditional handover will ever be triggered by a UE with mechanical steered beam toward a different satellite. </w:t>
      </w:r>
    </w:p>
    <w:p w14:paraId="63785CD2" w14:textId="33493E6A" w:rsidR="00527472" w:rsidRDefault="00527472" w:rsidP="00527472">
      <w:pPr>
        <w:pStyle w:val="RAN4proposal"/>
      </w:pPr>
      <w:bookmarkStart w:id="15" w:name="_Toc146733224"/>
      <w:r>
        <w:t>Conditional HO requirements do not apply to UEs with mechanically steered beams, when the target cell is in a different satellite.</w:t>
      </w:r>
      <w:bookmarkEnd w:id="15"/>
      <w:r>
        <w:t xml:space="preserve"> </w:t>
      </w:r>
    </w:p>
    <w:p w14:paraId="52133DFE" w14:textId="77777777" w:rsidR="00527472" w:rsidRDefault="00527472" w:rsidP="00527472"/>
    <w:p w14:paraId="2507E3C8" w14:textId="36334864" w:rsidR="00527472" w:rsidRDefault="00527472" w:rsidP="00527472">
      <w:pPr>
        <w:pStyle w:val="RAN4H3"/>
      </w:pPr>
      <w:r>
        <w:t>UE capabilities</w:t>
      </w:r>
    </w:p>
    <w:p w14:paraId="36010495" w14:textId="0C4F8ABF" w:rsidR="00527472" w:rsidRPr="006B0DAF" w:rsidRDefault="00527472" w:rsidP="00527472">
      <w:pPr>
        <w:jc w:val="both"/>
      </w:pPr>
      <w:r>
        <w:t xml:space="preserve">It is clear from the discussions above that a Type 2 UE cannot perform measurements towards different satellites while in connected mode. Therefore, it is not reasonable to allow the NW to configure this UE with measurement objects in neighbor satellites or to expect the UE to execute measurements or conditional HO to such target </w:t>
      </w:r>
      <w:r w:rsidR="000611B5">
        <w:t>cells when</w:t>
      </w:r>
      <w:r>
        <w:t xml:space="preserve"> this is not possible. Therefore, it is important that the UE is identified between type 2 or type 1. </w:t>
      </w:r>
    </w:p>
    <w:p w14:paraId="11310653" w14:textId="4701ED80" w:rsidR="00527472" w:rsidRDefault="000611B5" w:rsidP="000611B5">
      <w:pPr>
        <w:pStyle w:val="RAN4proposal"/>
      </w:pPr>
      <w:bookmarkStart w:id="16" w:name="_Toc146733225"/>
      <w:r>
        <w:t>Ask RAN2 to create a new capability to identify a UE type that it is not capable of executing measurements of neighbor satellites within the interval of a SMTC or a MG (Type 2 UE).</w:t>
      </w:r>
      <w:bookmarkEnd w:id="16"/>
    </w:p>
    <w:p w14:paraId="3738C5A0" w14:textId="77777777" w:rsidR="00527472" w:rsidRDefault="00527472" w:rsidP="00527472"/>
    <w:p w14:paraId="343C4DD0" w14:textId="77777777" w:rsidR="00B002EA" w:rsidRPr="008C39F7" w:rsidRDefault="00B002EA" w:rsidP="00B002EA">
      <w:pPr>
        <w:pStyle w:val="RAN4H1"/>
      </w:pPr>
      <w:bookmarkStart w:id="17" w:name="_Toc116995848"/>
      <w:r w:rsidRPr="008C39F7">
        <w:t>Conclusion</w:t>
      </w:r>
      <w:bookmarkEnd w:id="17"/>
    </w:p>
    <w:p w14:paraId="0881EB13" w14:textId="38E5FAD0" w:rsidR="00B002EA" w:rsidRDefault="00B002EA" w:rsidP="00B002EA">
      <w:r>
        <w:t xml:space="preserve">In this paper we discussed the operation in NTN for frequencies above 10 GHz for UE Type </w:t>
      </w:r>
      <w:r w:rsidR="00B342B0">
        <w:t>2</w:t>
      </w:r>
      <w:r>
        <w:t>(</w:t>
      </w:r>
      <w:r w:rsidR="00B342B0">
        <w:t>mechanically</w:t>
      </w:r>
      <w:r>
        <w:t>-steered beams). Based on our discussion, the following set of observations and proposals was made:</w:t>
      </w:r>
    </w:p>
    <w:p w14:paraId="7B23E874" w14:textId="77777777" w:rsidR="00B002EA" w:rsidRPr="008C39F7" w:rsidRDefault="00B002EA" w:rsidP="00B002EA">
      <w:pPr>
        <w:rPr>
          <w:highlight w:val="yellow"/>
        </w:rPr>
      </w:pPr>
    </w:p>
    <w:p w14:paraId="3EB6F30A" w14:textId="4D70C5CA" w:rsidR="00B002EA" w:rsidRPr="00B342B0" w:rsidRDefault="00B002EA">
      <w:pPr>
        <w:pStyle w:val="TOC1"/>
        <w:rPr>
          <w:rFonts w:asciiTheme="minorHAnsi" w:eastAsiaTheme="minorEastAsia" w:hAnsiTheme="minorHAnsi"/>
          <w:b w:val="0"/>
          <w:iCs w:val="0"/>
          <w:kern w:val="2"/>
          <w:sz w:val="22"/>
          <w:u w:val="none"/>
          <w:lang w:val="en-GB" w:eastAsia="en-GB"/>
          <w14:ligatures w14:val="standardContextual"/>
        </w:rPr>
      </w:pPr>
      <w:r w:rsidRPr="00B342B0">
        <w:rPr>
          <w:b w:val="0"/>
          <w:i/>
          <w:u w:val="none"/>
        </w:rPr>
        <w:fldChar w:fldCharType="begin"/>
      </w:r>
      <w:r w:rsidRPr="00B342B0">
        <w:rPr>
          <w:b w:val="0"/>
          <w:i/>
          <w:u w:val="none"/>
        </w:rPr>
        <w:instrText xml:space="preserve"> TOC \n \h \z \t "RAN4 proposal;1;RAN4 observation;1" </w:instrText>
      </w:r>
      <w:r w:rsidRPr="00B342B0">
        <w:rPr>
          <w:b w:val="0"/>
          <w:i/>
          <w:u w:val="none"/>
        </w:rPr>
        <w:fldChar w:fldCharType="separate"/>
      </w:r>
      <w:hyperlink w:anchor="_Toc146733216" w:history="1">
        <w:r w:rsidRPr="00B342B0">
          <w:rPr>
            <w:rStyle w:val="Hyperlink"/>
            <w:u w:val="none"/>
          </w:rPr>
          <w:t>Observation 1: The UE UL timing accuracy does not depend on the UE type and should be discussed separately as a general requirement.</w:t>
        </w:r>
      </w:hyperlink>
    </w:p>
    <w:p w14:paraId="0B96983C" w14:textId="6D54C9D9"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17" w:history="1">
        <w:r w:rsidR="00B002EA" w:rsidRPr="00B342B0">
          <w:rPr>
            <w:rStyle w:val="Hyperlink"/>
            <w:u w:val="none"/>
          </w:rPr>
          <w:t>Proposal 1: For fully-mechanically steered beams, the scaling factor for T</w:t>
        </w:r>
        <w:r w:rsidR="00B002EA" w:rsidRPr="00B342B0">
          <w:rPr>
            <w:rStyle w:val="Hyperlink"/>
            <w:u w:val="none"/>
            <w:vertAlign w:val="subscript"/>
          </w:rPr>
          <w:t>Evaluate_out_SSB</w:t>
        </w:r>
        <w:r w:rsidR="00B002EA" w:rsidRPr="00B342B0">
          <w:rPr>
            <w:rStyle w:val="Hyperlink"/>
            <w:rFonts w:eastAsia="?? ??"/>
            <w:u w:val="none"/>
          </w:rPr>
          <w:t xml:space="preserve"> and </w:t>
        </w:r>
        <w:r w:rsidR="00B002EA" w:rsidRPr="00B342B0">
          <w:rPr>
            <w:rStyle w:val="Hyperlink"/>
            <w:u w:val="none"/>
          </w:rPr>
          <w:t>T</w:t>
        </w:r>
        <w:r w:rsidR="00B002EA" w:rsidRPr="00B342B0">
          <w:rPr>
            <w:rStyle w:val="Hyperlink"/>
            <w:u w:val="none"/>
            <w:vertAlign w:val="subscript"/>
          </w:rPr>
          <w:t xml:space="preserve">Evaluate_in_SSB </w:t>
        </w:r>
        <w:r w:rsidR="00B002EA" w:rsidRPr="00B342B0">
          <w:rPr>
            <w:rStyle w:val="Hyperlink"/>
            <w:u w:val="none"/>
          </w:rPr>
          <w:t>shall be set to 1 (no beam sweeping).</w:t>
        </w:r>
      </w:hyperlink>
    </w:p>
    <w:p w14:paraId="2B5AE1DB" w14:textId="1F52BACD"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18" w:history="1">
        <w:r w:rsidR="00B002EA" w:rsidRPr="00B342B0">
          <w:rPr>
            <w:rStyle w:val="Hyperlink"/>
            <w:u w:val="none"/>
          </w:rPr>
          <w:t>Observation 2: Assuming a UE with fully mechanically steered beam requires hundreds of ms to sweep for measurements of neighbor satellites and return to be aligned with the serving satellite, such UEs are not considered capable of measuring a neighbor satellite in the duration of a Measurement Gap or in the duration of a SMTC.</w:t>
        </w:r>
      </w:hyperlink>
    </w:p>
    <w:p w14:paraId="589760E7" w14:textId="5E4177E3"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19" w:history="1">
        <w:r w:rsidR="00B002EA" w:rsidRPr="00B342B0">
          <w:rPr>
            <w:rStyle w:val="Hyperlink"/>
            <w:u w:val="none"/>
          </w:rPr>
          <w:t>Observation 3: UEs with fully mechanically steered beams should not be configured to measure neighbor satellites while in connected mode.</w:t>
        </w:r>
      </w:hyperlink>
    </w:p>
    <w:p w14:paraId="426D6FA9" w14:textId="1020ADD4"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20" w:history="1">
        <w:r w:rsidR="00B002EA" w:rsidRPr="00B342B0">
          <w:rPr>
            <w:rStyle w:val="Hyperlink"/>
            <w:u w:val="none"/>
          </w:rPr>
          <w:t>Proposal 2: Fully-mechanically beam-steered UEs are not required to perform measurements towards neighbor satellites.</w:t>
        </w:r>
      </w:hyperlink>
    </w:p>
    <w:p w14:paraId="7B6175E4" w14:textId="728BE884"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21" w:history="1">
        <w:r w:rsidR="00B002EA" w:rsidRPr="00B342B0">
          <w:rPr>
            <w:rStyle w:val="Hyperlink"/>
            <w:u w:val="none"/>
          </w:rPr>
          <w:t>Proposal 3: Use the legacy terrestrial (FR1) requirements as baseline for the RLM requirements for UEs with fully-mechanically steered beams.</w:t>
        </w:r>
      </w:hyperlink>
    </w:p>
    <w:p w14:paraId="64F4A150" w14:textId="267638BA"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22" w:history="1">
        <w:r w:rsidR="00B002EA" w:rsidRPr="00B342B0">
          <w:rPr>
            <w:rStyle w:val="Hyperlink"/>
            <w:u w:val="none"/>
          </w:rPr>
          <w:t>Proposal 4: Specify RLM requirements for mechanically and electronically steered beams in different subclauses of section 8.1C.</w:t>
        </w:r>
      </w:hyperlink>
    </w:p>
    <w:p w14:paraId="17DD7313" w14:textId="40DEFBFF"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23" w:history="1">
        <w:r w:rsidR="00B002EA" w:rsidRPr="00B342B0">
          <w:rPr>
            <w:rStyle w:val="Hyperlink"/>
            <w:u w:val="none"/>
          </w:rPr>
          <w:t>Proposal 5: For the HO requirements, add an additional interruption component for the retuning of the mechanical beam when the target cell belongs to a different satellite.</w:t>
        </w:r>
      </w:hyperlink>
    </w:p>
    <w:p w14:paraId="259460CB" w14:textId="652BB474"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24" w:history="1">
        <w:r w:rsidR="00B002EA" w:rsidRPr="00B342B0">
          <w:rPr>
            <w:rStyle w:val="Hyperlink"/>
            <w:u w:val="none"/>
          </w:rPr>
          <w:t>Proposal 6: Conditional HO requirements do not apply to UEs with mechanically steered beams, when the target cell is in a different satellite.</w:t>
        </w:r>
      </w:hyperlink>
    </w:p>
    <w:p w14:paraId="48520AC3" w14:textId="764E765D" w:rsidR="00B002EA" w:rsidRPr="00B342B0" w:rsidRDefault="00CD1554">
      <w:pPr>
        <w:pStyle w:val="TOC1"/>
        <w:rPr>
          <w:rFonts w:asciiTheme="minorHAnsi" w:eastAsiaTheme="minorEastAsia" w:hAnsiTheme="minorHAnsi"/>
          <w:b w:val="0"/>
          <w:iCs w:val="0"/>
          <w:kern w:val="2"/>
          <w:sz w:val="22"/>
          <w:u w:val="none"/>
          <w:lang w:val="en-GB" w:eastAsia="en-GB"/>
          <w14:ligatures w14:val="standardContextual"/>
        </w:rPr>
      </w:pPr>
      <w:hyperlink w:anchor="_Toc146733225" w:history="1">
        <w:r w:rsidR="00B002EA" w:rsidRPr="00B342B0">
          <w:rPr>
            <w:rStyle w:val="Hyperlink"/>
            <w:u w:val="none"/>
          </w:rPr>
          <w:t>Proposal 7: Ask RAN2 to create a new capability to identify a UE type that it is not capable of executing measurements of neighbor satellites within the interval of a SMTC or a MG (Type 2 UE).</w:t>
        </w:r>
      </w:hyperlink>
    </w:p>
    <w:p w14:paraId="42F7B735" w14:textId="0E73AB77" w:rsidR="00B002EA" w:rsidRPr="00527472" w:rsidRDefault="00B002EA" w:rsidP="00B002EA">
      <w:r w:rsidRPr="00B342B0">
        <w:rPr>
          <w:b/>
          <w:i/>
          <w:noProof/>
        </w:rPr>
        <w:fldChar w:fldCharType="end"/>
      </w:r>
    </w:p>
    <w:p w14:paraId="7BECF8AD" w14:textId="781214C3" w:rsidR="00847264" w:rsidRPr="008C39F7" w:rsidRDefault="00847264" w:rsidP="008C39F7">
      <w:bookmarkStart w:id="18" w:name="_Toc116995849"/>
    </w:p>
    <w:p w14:paraId="4D0D074C" w14:textId="77777777" w:rsidR="003B659E" w:rsidRPr="008C39F7" w:rsidRDefault="003B659E" w:rsidP="0060543D">
      <w:pPr>
        <w:pStyle w:val="RAN4H1"/>
        <w:numPr>
          <w:ilvl w:val="0"/>
          <w:numId w:val="0"/>
        </w:numPr>
        <w:ind w:left="360" w:hanging="360"/>
      </w:pPr>
      <w:r w:rsidRPr="008C39F7">
        <w:t>References</w:t>
      </w:r>
      <w:bookmarkEnd w:id="18"/>
    </w:p>
    <w:p w14:paraId="1A066D8E"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19" w:name="_Ref114500673"/>
      <w:bookmarkStart w:id="20" w:name="_Ref54013899"/>
      <w:bookmarkEnd w:id="19"/>
      <w:r w:rsidRPr="00FD51CE">
        <w:t>RP-223534</w:t>
      </w:r>
      <w:r w:rsidRPr="00FF6B64">
        <w:t xml:space="preserve">, </w:t>
      </w:r>
      <w:bookmarkEnd w:id="20"/>
      <w:r w:rsidRPr="001D7FDE">
        <w:t>NR NTN (Non-Terrestrial Networks) enhancements</w:t>
      </w:r>
      <w:r>
        <w:t>, Thales</w:t>
      </w:r>
    </w:p>
    <w:p w14:paraId="7265A91C" w14:textId="36510943" w:rsidR="00C07B05" w:rsidRDefault="00C07B05" w:rsidP="001C0296">
      <w:pPr>
        <w:numPr>
          <w:ilvl w:val="0"/>
          <w:numId w:val="21"/>
        </w:numPr>
        <w:overflowPunct w:val="0"/>
        <w:autoSpaceDE w:val="0"/>
        <w:autoSpaceDN w:val="0"/>
        <w:adjustRightInd w:val="0"/>
        <w:spacing w:after="0" w:line="240" w:lineRule="auto"/>
        <w:jc w:val="both"/>
        <w:textAlignment w:val="baseline"/>
      </w:pPr>
      <w:bookmarkStart w:id="21" w:name="_Ref141279246"/>
      <w:r w:rsidRPr="00C07B05">
        <w:t>R4-2310168</w:t>
      </w:r>
      <w:r>
        <w:t xml:space="preserve">, </w:t>
      </w:r>
      <w:r w:rsidRPr="00C07B05">
        <w:rPr>
          <w:i/>
          <w:iCs/>
        </w:rPr>
        <w:t>WF on NR NTN enhancements RRM requirements</w:t>
      </w:r>
      <w:r>
        <w:t>, Qualcomm Incorporated, 3GPP WG RAN4 #107, Incheon</w:t>
      </w:r>
      <w:bookmarkEnd w:id="21"/>
      <w:r>
        <w:t xml:space="preserve"> </w:t>
      </w:r>
    </w:p>
    <w:p w14:paraId="03A58FDF" w14:textId="77777777" w:rsidR="001C0296" w:rsidRDefault="001C0296" w:rsidP="001C0296">
      <w:pPr>
        <w:numPr>
          <w:ilvl w:val="0"/>
          <w:numId w:val="21"/>
        </w:numPr>
        <w:overflowPunct w:val="0"/>
        <w:autoSpaceDE w:val="0"/>
        <w:autoSpaceDN w:val="0"/>
        <w:adjustRightInd w:val="0"/>
        <w:spacing w:after="0" w:line="240" w:lineRule="auto"/>
        <w:jc w:val="both"/>
        <w:textAlignment w:val="baseline"/>
      </w:pPr>
      <w:bookmarkStart w:id="22" w:name="_Ref134708583"/>
      <w:r w:rsidRPr="00D71116">
        <w:t>R4-2302998</w:t>
      </w:r>
      <w:r w:rsidRPr="00FF6B64">
        <w:t xml:space="preserve">, </w:t>
      </w:r>
      <w:r w:rsidRPr="00D71116">
        <w:rPr>
          <w:i/>
          <w:iCs/>
        </w:rPr>
        <w:t>WF for system parameters of above 10 GHz NTN band</w:t>
      </w:r>
      <w:r>
        <w:t>, Thales (Moderator)</w:t>
      </w:r>
      <w:bookmarkEnd w:id="22"/>
    </w:p>
    <w:p w14:paraId="0F3D3ED7" w14:textId="77777777" w:rsidR="008F4559" w:rsidRDefault="008F4559" w:rsidP="008F4559">
      <w:pPr>
        <w:numPr>
          <w:ilvl w:val="0"/>
          <w:numId w:val="21"/>
        </w:numPr>
        <w:overflowPunct w:val="0"/>
        <w:autoSpaceDE w:val="0"/>
        <w:autoSpaceDN w:val="0"/>
        <w:adjustRightInd w:val="0"/>
        <w:spacing w:after="0" w:line="240" w:lineRule="auto"/>
        <w:jc w:val="both"/>
        <w:textAlignment w:val="baseline"/>
      </w:pPr>
      <w:bookmarkStart w:id="23" w:name="_Ref146543281"/>
      <w:r w:rsidRPr="002E5AC7">
        <w:t>RP-232694</w:t>
      </w:r>
      <w:r>
        <w:t xml:space="preserve">, </w:t>
      </w:r>
      <w:r w:rsidRPr="002E5AC7">
        <w:rPr>
          <w:i/>
          <w:iCs/>
        </w:rPr>
        <w:t>“WF on potential RRM objectives for NR-NTN deployment in above 10 GHz</w:t>
      </w:r>
      <w:r w:rsidRPr="002E5AC7">
        <w:rPr>
          <w:i/>
          <w:iCs/>
        </w:rPr>
        <w:br/>
        <w:t xml:space="preserve"> (NR-NTN-enh WID)”</w:t>
      </w:r>
      <w:r>
        <w:rPr>
          <w:i/>
          <w:iCs/>
        </w:rPr>
        <w:t xml:space="preserve">, </w:t>
      </w:r>
      <w:r>
        <w:t>Thales, RAN #101, Bangalore, 11-15 September, 2023.</w:t>
      </w:r>
      <w:bookmarkEnd w:id="23"/>
      <w:r>
        <w:t xml:space="preserve"> </w:t>
      </w:r>
    </w:p>
    <w:p w14:paraId="67A3BAAC" w14:textId="77777777" w:rsidR="008F4559" w:rsidRDefault="008F4559" w:rsidP="008F4559">
      <w:pPr>
        <w:overflowPunct w:val="0"/>
        <w:autoSpaceDE w:val="0"/>
        <w:autoSpaceDN w:val="0"/>
        <w:adjustRightInd w:val="0"/>
        <w:spacing w:after="0" w:line="240" w:lineRule="auto"/>
        <w:jc w:val="both"/>
        <w:textAlignment w:val="baseline"/>
      </w:pPr>
    </w:p>
    <w:p w14:paraId="4B1E40AC" w14:textId="77777777" w:rsidR="008F4559" w:rsidRDefault="008F4559" w:rsidP="008F4559">
      <w:pPr>
        <w:overflowPunct w:val="0"/>
        <w:autoSpaceDE w:val="0"/>
        <w:autoSpaceDN w:val="0"/>
        <w:adjustRightInd w:val="0"/>
        <w:spacing w:after="0" w:line="240" w:lineRule="auto"/>
        <w:jc w:val="both"/>
        <w:textAlignment w:val="baseline"/>
      </w:pPr>
    </w:p>
    <w:p w14:paraId="41D3997E" w14:textId="77777777" w:rsidR="008F4559" w:rsidRDefault="008F4559" w:rsidP="008F4559">
      <w:pPr>
        <w:overflowPunct w:val="0"/>
        <w:autoSpaceDE w:val="0"/>
        <w:autoSpaceDN w:val="0"/>
        <w:adjustRightInd w:val="0"/>
        <w:spacing w:after="0" w:line="240" w:lineRule="auto"/>
        <w:jc w:val="both"/>
        <w:textAlignment w:val="baseline"/>
      </w:pPr>
    </w:p>
    <w:p w14:paraId="60B1C315" w14:textId="77777777" w:rsidR="001934BB" w:rsidRPr="00847264" w:rsidRDefault="001934BB" w:rsidP="001934BB">
      <w:pPr>
        <w:ind w:right="-22"/>
      </w:pPr>
    </w:p>
    <w:sectPr w:rsidR="001934BB"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0BF05" w14:textId="77777777" w:rsidR="005B2136" w:rsidRDefault="005B2136" w:rsidP="00001C9B">
      <w:pPr>
        <w:spacing w:after="0" w:line="240" w:lineRule="auto"/>
      </w:pPr>
      <w:r>
        <w:separator/>
      </w:r>
    </w:p>
  </w:endnote>
  <w:endnote w:type="continuationSeparator" w:id="0">
    <w:p w14:paraId="597CFFE5" w14:textId="77777777" w:rsidR="005B2136" w:rsidRDefault="005B2136" w:rsidP="00001C9B">
      <w:pPr>
        <w:spacing w:after="0" w:line="240" w:lineRule="auto"/>
      </w:pPr>
      <w:r>
        <w:continuationSeparator/>
      </w:r>
    </w:p>
  </w:endnote>
  <w:endnote w:type="continuationNotice" w:id="1">
    <w:p w14:paraId="4A751DFF" w14:textId="77777777" w:rsidR="005B2136" w:rsidRDefault="005B21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65EE0" w14:textId="77777777" w:rsidR="005B2136" w:rsidRDefault="005B2136" w:rsidP="00001C9B">
      <w:pPr>
        <w:spacing w:after="0" w:line="240" w:lineRule="auto"/>
      </w:pPr>
      <w:r>
        <w:separator/>
      </w:r>
    </w:p>
  </w:footnote>
  <w:footnote w:type="continuationSeparator" w:id="0">
    <w:p w14:paraId="6CBCD896" w14:textId="77777777" w:rsidR="005B2136" w:rsidRDefault="005B2136" w:rsidP="00001C9B">
      <w:pPr>
        <w:spacing w:after="0" w:line="240" w:lineRule="auto"/>
      </w:pPr>
      <w:r>
        <w:continuationSeparator/>
      </w:r>
    </w:p>
  </w:footnote>
  <w:footnote w:type="continuationNotice" w:id="1">
    <w:p w14:paraId="2A3E5DF4" w14:textId="77777777" w:rsidR="005B2136" w:rsidRDefault="005B21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363A7D"/>
    <w:multiLevelType w:val="hybridMultilevel"/>
    <w:tmpl w:val="F844F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495E98"/>
    <w:multiLevelType w:val="hybridMultilevel"/>
    <w:tmpl w:val="7B42F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0D524F"/>
    <w:multiLevelType w:val="hybridMultilevel"/>
    <w:tmpl w:val="EB34A9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8230A7"/>
    <w:multiLevelType w:val="hybridMultilevel"/>
    <w:tmpl w:val="6CA208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167AA3"/>
    <w:multiLevelType w:val="hybridMultilevel"/>
    <w:tmpl w:val="3F783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51081EA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03C7ED3"/>
    <w:multiLevelType w:val="hybridMultilevel"/>
    <w:tmpl w:val="8D1A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5"/>
  </w:num>
  <w:num w:numId="4" w16cid:durableId="517735681">
    <w:abstractNumId w:val="5"/>
  </w:num>
  <w:num w:numId="5" w16cid:durableId="1142041724">
    <w:abstractNumId w:val="20"/>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2"/>
  </w:num>
  <w:num w:numId="16" w16cid:durableId="516113510">
    <w:abstractNumId w:val="4"/>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1"/>
  </w:num>
  <w:num w:numId="21" w16cid:durableId="1659071369">
    <w:abstractNumId w:val="16"/>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661154510">
    <w:abstractNumId w:val="3"/>
  </w:num>
  <w:num w:numId="28" w16cid:durableId="2124037807">
    <w:abstractNumId w:val="23"/>
  </w:num>
  <w:num w:numId="29" w16cid:durableId="2052608810">
    <w:abstractNumId w:val="21"/>
  </w:num>
  <w:num w:numId="30" w16cid:durableId="304354281">
    <w:abstractNumId w:val="19"/>
  </w:num>
  <w:num w:numId="31" w16cid:durableId="136840271">
    <w:abstractNumId w:val="7"/>
  </w:num>
  <w:num w:numId="32" w16cid:durableId="1583295858">
    <w:abstractNumId w:val="10"/>
  </w:num>
  <w:num w:numId="33" w16cid:durableId="45836843">
    <w:abstractNumId w:val="12"/>
  </w:num>
  <w:num w:numId="34" w16cid:durableId="1002047310">
    <w:abstractNumId w:val="17"/>
  </w:num>
  <w:num w:numId="35" w16cid:durableId="1094546394">
    <w:abstractNumId w:val="9"/>
  </w:num>
  <w:num w:numId="36" w16cid:durableId="20313702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F8141A"/>
    <w:rsid w:val="00001C9B"/>
    <w:rsid w:val="000040DC"/>
    <w:rsid w:val="00011784"/>
    <w:rsid w:val="00012CE7"/>
    <w:rsid w:val="000151EF"/>
    <w:rsid w:val="000239F5"/>
    <w:rsid w:val="00025C10"/>
    <w:rsid w:val="00025D3F"/>
    <w:rsid w:val="00036ACD"/>
    <w:rsid w:val="00041B56"/>
    <w:rsid w:val="00050C56"/>
    <w:rsid w:val="000611B5"/>
    <w:rsid w:val="00080D2C"/>
    <w:rsid w:val="0008612A"/>
    <w:rsid w:val="00090E18"/>
    <w:rsid w:val="00094903"/>
    <w:rsid w:val="000A10BC"/>
    <w:rsid w:val="000A57C1"/>
    <w:rsid w:val="000B0056"/>
    <w:rsid w:val="000C3C7B"/>
    <w:rsid w:val="000C511F"/>
    <w:rsid w:val="000D0F93"/>
    <w:rsid w:val="00106416"/>
    <w:rsid w:val="00110481"/>
    <w:rsid w:val="001127C9"/>
    <w:rsid w:val="00114498"/>
    <w:rsid w:val="00115B88"/>
    <w:rsid w:val="0012611D"/>
    <w:rsid w:val="00132F6A"/>
    <w:rsid w:val="00133913"/>
    <w:rsid w:val="00140221"/>
    <w:rsid w:val="00141817"/>
    <w:rsid w:val="001642FC"/>
    <w:rsid w:val="0016496B"/>
    <w:rsid w:val="0017276F"/>
    <w:rsid w:val="001743E2"/>
    <w:rsid w:val="001745F8"/>
    <w:rsid w:val="001838CF"/>
    <w:rsid w:val="0018428F"/>
    <w:rsid w:val="001868EE"/>
    <w:rsid w:val="001934BB"/>
    <w:rsid w:val="001A3BA4"/>
    <w:rsid w:val="001A6D1F"/>
    <w:rsid w:val="001C0296"/>
    <w:rsid w:val="001D2282"/>
    <w:rsid w:val="001E30F6"/>
    <w:rsid w:val="00204021"/>
    <w:rsid w:val="00217EE5"/>
    <w:rsid w:val="002264D7"/>
    <w:rsid w:val="00227031"/>
    <w:rsid w:val="00235F5C"/>
    <w:rsid w:val="00244745"/>
    <w:rsid w:val="00257FA3"/>
    <w:rsid w:val="00277B56"/>
    <w:rsid w:val="00280B89"/>
    <w:rsid w:val="002864C5"/>
    <w:rsid w:val="002A19F5"/>
    <w:rsid w:val="002B4922"/>
    <w:rsid w:val="002C0EEC"/>
    <w:rsid w:val="002C22C3"/>
    <w:rsid w:val="002C2D19"/>
    <w:rsid w:val="002D10FA"/>
    <w:rsid w:val="002D2024"/>
    <w:rsid w:val="002D4C55"/>
    <w:rsid w:val="002E6DED"/>
    <w:rsid w:val="00300956"/>
    <w:rsid w:val="0030455F"/>
    <w:rsid w:val="00305820"/>
    <w:rsid w:val="00317187"/>
    <w:rsid w:val="00320144"/>
    <w:rsid w:val="003230DC"/>
    <w:rsid w:val="0032499A"/>
    <w:rsid w:val="0032500C"/>
    <w:rsid w:val="003341F7"/>
    <w:rsid w:val="00347FEC"/>
    <w:rsid w:val="003509DF"/>
    <w:rsid w:val="00356F45"/>
    <w:rsid w:val="00363F7D"/>
    <w:rsid w:val="00366B74"/>
    <w:rsid w:val="00386A83"/>
    <w:rsid w:val="0039406B"/>
    <w:rsid w:val="00394E9E"/>
    <w:rsid w:val="00395F6A"/>
    <w:rsid w:val="003A111C"/>
    <w:rsid w:val="003A710A"/>
    <w:rsid w:val="003B659E"/>
    <w:rsid w:val="003C275E"/>
    <w:rsid w:val="003C37D6"/>
    <w:rsid w:val="003C4FDE"/>
    <w:rsid w:val="003D2041"/>
    <w:rsid w:val="003E58DF"/>
    <w:rsid w:val="003F2161"/>
    <w:rsid w:val="00404C4C"/>
    <w:rsid w:val="0041423F"/>
    <w:rsid w:val="00414F81"/>
    <w:rsid w:val="0043680A"/>
    <w:rsid w:val="00436A0F"/>
    <w:rsid w:val="00437150"/>
    <w:rsid w:val="0043750A"/>
    <w:rsid w:val="00441EA9"/>
    <w:rsid w:val="00447577"/>
    <w:rsid w:val="00460BED"/>
    <w:rsid w:val="00464DFA"/>
    <w:rsid w:val="004732E9"/>
    <w:rsid w:val="0048211A"/>
    <w:rsid w:val="004854BB"/>
    <w:rsid w:val="00494493"/>
    <w:rsid w:val="00496606"/>
    <w:rsid w:val="004C3486"/>
    <w:rsid w:val="004D24FB"/>
    <w:rsid w:val="004E5E66"/>
    <w:rsid w:val="004E7ADB"/>
    <w:rsid w:val="00503B4D"/>
    <w:rsid w:val="00504EE9"/>
    <w:rsid w:val="0051476D"/>
    <w:rsid w:val="00521576"/>
    <w:rsid w:val="00522897"/>
    <w:rsid w:val="005250E6"/>
    <w:rsid w:val="00525A8B"/>
    <w:rsid w:val="00527472"/>
    <w:rsid w:val="005319C4"/>
    <w:rsid w:val="00531FC6"/>
    <w:rsid w:val="00542357"/>
    <w:rsid w:val="00542D23"/>
    <w:rsid w:val="0054442C"/>
    <w:rsid w:val="00550285"/>
    <w:rsid w:val="00551E90"/>
    <w:rsid w:val="00562492"/>
    <w:rsid w:val="0056617A"/>
    <w:rsid w:val="005705A0"/>
    <w:rsid w:val="00572A20"/>
    <w:rsid w:val="005836F8"/>
    <w:rsid w:val="005918FA"/>
    <w:rsid w:val="00592A86"/>
    <w:rsid w:val="00593318"/>
    <w:rsid w:val="005B2136"/>
    <w:rsid w:val="005B3D49"/>
    <w:rsid w:val="005B4801"/>
    <w:rsid w:val="005C23A4"/>
    <w:rsid w:val="005D1CDF"/>
    <w:rsid w:val="005D2BB7"/>
    <w:rsid w:val="005E61A8"/>
    <w:rsid w:val="005F6419"/>
    <w:rsid w:val="005F744B"/>
    <w:rsid w:val="0060543D"/>
    <w:rsid w:val="006104DD"/>
    <w:rsid w:val="006130B5"/>
    <w:rsid w:val="00614F27"/>
    <w:rsid w:val="00617400"/>
    <w:rsid w:val="00632D29"/>
    <w:rsid w:val="00657BA2"/>
    <w:rsid w:val="00664950"/>
    <w:rsid w:val="0067119A"/>
    <w:rsid w:val="00677A4B"/>
    <w:rsid w:val="006811E4"/>
    <w:rsid w:val="00681596"/>
    <w:rsid w:val="00683220"/>
    <w:rsid w:val="006837A8"/>
    <w:rsid w:val="00687FA0"/>
    <w:rsid w:val="00690D0C"/>
    <w:rsid w:val="00696E96"/>
    <w:rsid w:val="006A07D7"/>
    <w:rsid w:val="006A3C11"/>
    <w:rsid w:val="006B0DAF"/>
    <w:rsid w:val="006B7010"/>
    <w:rsid w:val="006B7908"/>
    <w:rsid w:val="006C0328"/>
    <w:rsid w:val="006C3095"/>
    <w:rsid w:val="006D069D"/>
    <w:rsid w:val="006D728A"/>
    <w:rsid w:val="006E1151"/>
    <w:rsid w:val="006E6311"/>
    <w:rsid w:val="006F5D79"/>
    <w:rsid w:val="007108A0"/>
    <w:rsid w:val="00710BE6"/>
    <w:rsid w:val="007145FF"/>
    <w:rsid w:val="00715B2A"/>
    <w:rsid w:val="007450F1"/>
    <w:rsid w:val="00751515"/>
    <w:rsid w:val="00753B1D"/>
    <w:rsid w:val="007606F1"/>
    <w:rsid w:val="007626B7"/>
    <w:rsid w:val="007725CB"/>
    <w:rsid w:val="00775489"/>
    <w:rsid w:val="00780E81"/>
    <w:rsid w:val="0078212B"/>
    <w:rsid w:val="00782724"/>
    <w:rsid w:val="00784DF6"/>
    <w:rsid w:val="00785232"/>
    <w:rsid w:val="00792B58"/>
    <w:rsid w:val="00792B6D"/>
    <w:rsid w:val="007B186C"/>
    <w:rsid w:val="007B5AF7"/>
    <w:rsid w:val="007C1696"/>
    <w:rsid w:val="007C3ED0"/>
    <w:rsid w:val="007C5971"/>
    <w:rsid w:val="007D1B67"/>
    <w:rsid w:val="007E5785"/>
    <w:rsid w:val="007F54B9"/>
    <w:rsid w:val="0080081C"/>
    <w:rsid w:val="00806A76"/>
    <w:rsid w:val="008074AB"/>
    <w:rsid w:val="00811C9D"/>
    <w:rsid w:val="00816C80"/>
    <w:rsid w:val="00820C7C"/>
    <w:rsid w:val="008310FA"/>
    <w:rsid w:val="00841BCD"/>
    <w:rsid w:val="00847264"/>
    <w:rsid w:val="00851A8E"/>
    <w:rsid w:val="0085365B"/>
    <w:rsid w:val="008826C1"/>
    <w:rsid w:val="00883DFD"/>
    <w:rsid w:val="008979C8"/>
    <w:rsid w:val="008A1BF7"/>
    <w:rsid w:val="008A5B0E"/>
    <w:rsid w:val="008B0961"/>
    <w:rsid w:val="008B0BEC"/>
    <w:rsid w:val="008C39F7"/>
    <w:rsid w:val="008C536B"/>
    <w:rsid w:val="008D7ABE"/>
    <w:rsid w:val="008E071E"/>
    <w:rsid w:val="008E372A"/>
    <w:rsid w:val="008E7E55"/>
    <w:rsid w:val="008F4559"/>
    <w:rsid w:val="0090091A"/>
    <w:rsid w:val="009042BD"/>
    <w:rsid w:val="00904FE4"/>
    <w:rsid w:val="00911E45"/>
    <w:rsid w:val="00926253"/>
    <w:rsid w:val="00936159"/>
    <w:rsid w:val="00977E1D"/>
    <w:rsid w:val="00983A6B"/>
    <w:rsid w:val="009A2477"/>
    <w:rsid w:val="009B0573"/>
    <w:rsid w:val="009B7B4B"/>
    <w:rsid w:val="009B7C21"/>
    <w:rsid w:val="009C2E67"/>
    <w:rsid w:val="009C2EEA"/>
    <w:rsid w:val="009C6E9D"/>
    <w:rsid w:val="009C7A94"/>
    <w:rsid w:val="00A04992"/>
    <w:rsid w:val="00A07553"/>
    <w:rsid w:val="00A147AA"/>
    <w:rsid w:val="00A1585A"/>
    <w:rsid w:val="00A21D71"/>
    <w:rsid w:val="00A22B78"/>
    <w:rsid w:val="00A25AE5"/>
    <w:rsid w:val="00A3155A"/>
    <w:rsid w:val="00A37002"/>
    <w:rsid w:val="00A4355E"/>
    <w:rsid w:val="00A520D9"/>
    <w:rsid w:val="00A92BCD"/>
    <w:rsid w:val="00AA1B0E"/>
    <w:rsid w:val="00AA47B6"/>
    <w:rsid w:val="00AB6F6F"/>
    <w:rsid w:val="00AC163B"/>
    <w:rsid w:val="00AC5861"/>
    <w:rsid w:val="00AC5CA7"/>
    <w:rsid w:val="00AC6058"/>
    <w:rsid w:val="00AD0082"/>
    <w:rsid w:val="00AE2BA5"/>
    <w:rsid w:val="00AE56B1"/>
    <w:rsid w:val="00AE6D09"/>
    <w:rsid w:val="00AF7A7C"/>
    <w:rsid w:val="00B002EA"/>
    <w:rsid w:val="00B02070"/>
    <w:rsid w:val="00B129FD"/>
    <w:rsid w:val="00B2039E"/>
    <w:rsid w:val="00B31208"/>
    <w:rsid w:val="00B3156B"/>
    <w:rsid w:val="00B342B0"/>
    <w:rsid w:val="00B408B6"/>
    <w:rsid w:val="00B54013"/>
    <w:rsid w:val="00B542DA"/>
    <w:rsid w:val="00B57F9B"/>
    <w:rsid w:val="00B73862"/>
    <w:rsid w:val="00B73F43"/>
    <w:rsid w:val="00B75BBF"/>
    <w:rsid w:val="00BA6B66"/>
    <w:rsid w:val="00BA6E48"/>
    <w:rsid w:val="00BB2FD3"/>
    <w:rsid w:val="00BB3939"/>
    <w:rsid w:val="00BC2BEB"/>
    <w:rsid w:val="00BD4D12"/>
    <w:rsid w:val="00BE0AF6"/>
    <w:rsid w:val="00BE1F03"/>
    <w:rsid w:val="00BE58A7"/>
    <w:rsid w:val="00BF0EDD"/>
    <w:rsid w:val="00BF2218"/>
    <w:rsid w:val="00BF5CE9"/>
    <w:rsid w:val="00C0426B"/>
    <w:rsid w:val="00C045DF"/>
    <w:rsid w:val="00C07B05"/>
    <w:rsid w:val="00C20473"/>
    <w:rsid w:val="00C26D43"/>
    <w:rsid w:val="00C4466E"/>
    <w:rsid w:val="00C46548"/>
    <w:rsid w:val="00C574D5"/>
    <w:rsid w:val="00C72DAB"/>
    <w:rsid w:val="00C73F32"/>
    <w:rsid w:val="00C751B9"/>
    <w:rsid w:val="00C77803"/>
    <w:rsid w:val="00C85643"/>
    <w:rsid w:val="00C87462"/>
    <w:rsid w:val="00CA180C"/>
    <w:rsid w:val="00CB22B2"/>
    <w:rsid w:val="00CC3EE2"/>
    <w:rsid w:val="00CD1554"/>
    <w:rsid w:val="00CD7492"/>
    <w:rsid w:val="00CD7EDB"/>
    <w:rsid w:val="00CE2703"/>
    <w:rsid w:val="00CE3A6B"/>
    <w:rsid w:val="00CE5D1F"/>
    <w:rsid w:val="00CF0BE2"/>
    <w:rsid w:val="00CF7E20"/>
    <w:rsid w:val="00D00211"/>
    <w:rsid w:val="00D03BD3"/>
    <w:rsid w:val="00D06309"/>
    <w:rsid w:val="00D24E42"/>
    <w:rsid w:val="00D351EA"/>
    <w:rsid w:val="00D3597A"/>
    <w:rsid w:val="00D40288"/>
    <w:rsid w:val="00D43403"/>
    <w:rsid w:val="00D5270B"/>
    <w:rsid w:val="00D62E71"/>
    <w:rsid w:val="00D64192"/>
    <w:rsid w:val="00D6430D"/>
    <w:rsid w:val="00D66188"/>
    <w:rsid w:val="00D7027C"/>
    <w:rsid w:val="00D731F6"/>
    <w:rsid w:val="00D740CA"/>
    <w:rsid w:val="00D85728"/>
    <w:rsid w:val="00D8631A"/>
    <w:rsid w:val="00D863D0"/>
    <w:rsid w:val="00D95481"/>
    <w:rsid w:val="00D96F39"/>
    <w:rsid w:val="00D97975"/>
    <w:rsid w:val="00D97D04"/>
    <w:rsid w:val="00DA4162"/>
    <w:rsid w:val="00DC7A13"/>
    <w:rsid w:val="00DF2997"/>
    <w:rsid w:val="00E10BC4"/>
    <w:rsid w:val="00E1415D"/>
    <w:rsid w:val="00E20FA2"/>
    <w:rsid w:val="00E23321"/>
    <w:rsid w:val="00E323E9"/>
    <w:rsid w:val="00E3323E"/>
    <w:rsid w:val="00E34018"/>
    <w:rsid w:val="00E3417B"/>
    <w:rsid w:val="00E43799"/>
    <w:rsid w:val="00E437D2"/>
    <w:rsid w:val="00E44901"/>
    <w:rsid w:val="00E53894"/>
    <w:rsid w:val="00E55751"/>
    <w:rsid w:val="00E66BC2"/>
    <w:rsid w:val="00E679AC"/>
    <w:rsid w:val="00E87EA0"/>
    <w:rsid w:val="00EA2311"/>
    <w:rsid w:val="00EC1F58"/>
    <w:rsid w:val="00EC3698"/>
    <w:rsid w:val="00EC3E77"/>
    <w:rsid w:val="00EC7BC3"/>
    <w:rsid w:val="00ED1787"/>
    <w:rsid w:val="00ED1D3C"/>
    <w:rsid w:val="00ED7600"/>
    <w:rsid w:val="00EF6073"/>
    <w:rsid w:val="00EF698B"/>
    <w:rsid w:val="00EF76B6"/>
    <w:rsid w:val="00F1362C"/>
    <w:rsid w:val="00F35C29"/>
    <w:rsid w:val="00F414F1"/>
    <w:rsid w:val="00F47795"/>
    <w:rsid w:val="00F508B8"/>
    <w:rsid w:val="00F5307C"/>
    <w:rsid w:val="00F658D0"/>
    <w:rsid w:val="00F72CB1"/>
    <w:rsid w:val="00F8141A"/>
    <w:rsid w:val="00F8215E"/>
    <w:rsid w:val="00F824F5"/>
    <w:rsid w:val="00F84C4F"/>
    <w:rsid w:val="00F90FAB"/>
    <w:rsid w:val="00F9374D"/>
    <w:rsid w:val="00FA513E"/>
    <w:rsid w:val="00FC29B9"/>
    <w:rsid w:val="00FC6FD3"/>
    <w:rsid w:val="00FE2AA4"/>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D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70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D8631A"/>
    <w:pPr>
      <w:tabs>
        <w:tab w:val="right" w:leader="dot" w:pos="9617"/>
      </w:tabs>
      <w:spacing w:after="100"/>
    </w:pPr>
    <w:rPr>
      <w:b/>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hnschrift Light" w:hAnsi="Bahnschrift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07553"/>
    <w:rPr>
      <w:b/>
    </w:rPr>
  </w:style>
  <w:style w:type="paragraph" w:customStyle="1" w:styleId="TAC">
    <w:name w:val="TAC"/>
    <w:basedOn w:val="Normal"/>
    <w:link w:val="TACChar"/>
    <w:rsid w:val="00A075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07553"/>
    <w:rPr>
      <w:rFonts w:ascii="Arial" w:eastAsia="Times New Roman" w:hAnsi="Arial" w:cs="Times New Roman"/>
      <w:sz w:val="18"/>
      <w:szCs w:val="20"/>
      <w:lang w:val="en-GB" w:eastAsia="en-GB"/>
    </w:rPr>
  </w:style>
  <w:style w:type="character" w:customStyle="1" w:styleId="TAHCar">
    <w:name w:val="TAH Car"/>
    <w:link w:val="TAH"/>
    <w:qFormat/>
    <w:rsid w:val="00A07553"/>
    <w:rPr>
      <w:rFonts w:ascii="Arial" w:eastAsia="Times New Roman" w:hAnsi="Arial" w:cs="Times New Roman"/>
      <w:b/>
      <w:sz w:val="18"/>
      <w:szCs w:val="20"/>
      <w:lang w:val="en-GB" w:eastAsia="en-GB"/>
    </w:rPr>
  </w:style>
  <w:style w:type="paragraph" w:customStyle="1" w:styleId="TH">
    <w:name w:val="TH"/>
    <w:basedOn w:val="Normal"/>
    <w:link w:val="THChar"/>
    <w:rsid w:val="00A075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07553"/>
    <w:rPr>
      <w:rFonts w:ascii="Arial" w:eastAsia="Times New Roman" w:hAnsi="Arial" w:cs="Times New Roman"/>
      <w:b/>
      <w:sz w:val="20"/>
      <w:szCs w:val="20"/>
      <w:lang w:val="en-GB" w:eastAsia="en-GB"/>
    </w:rPr>
  </w:style>
  <w:style w:type="paragraph" w:customStyle="1" w:styleId="TAN">
    <w:name w:val="TAN"/>
    <w:basedOn w:val="Normal"/>
    <w:link w:val="TANChar"/>
    <w:rsid w:val="00A075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07553"/>
    <w:rPr>
      <w:rFonts w:ascii="Arial" w:eastAsia="Times New Roman" w:hAnsi="Arial" w:cs="Times New Roman"/>
      <w:sz w:val="18"/>
      <w:szCs w:val="20"/>
      <w:lang w:val="en-GB" w:eastAsia="en-GB"/>
    </w:rPr>
  </w:style>
  <w:style w:type="paragraph" w:styleId="Header">
    <w:name w:val="header"/>
    <w:basedOn w:val="Normal"/>
    <w:link w:val="HeaderChar"/>
    <w:uiPriority w:val="99"/>
    <w:unhideWhenUsed/>
    <w:rsid w:val="00C85643"/>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5643"/>
    <w:rPr>
      <w:rFonts w:ascii="Times New Roman" w:hAnsi="Times New Roman"/>
      <w:sz w:val="20"/>
    </w:rPr>
  </w:style>
  <w:style w:type="paragraph" w:styleId="Footer">
    <w:name w:val="footer"/>
    <w:basedOn w:val="Normal"/>
    <w:link w:val="FooterChar"/>
    <w:uiPriority w:val="99"/>
    <w:unhideWhenUsed/>
    <w:rsid w:val="00C85643"/>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5643"/>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60788">
      <w:bodyDiv w:val="1"/>
      <w:marLeft w:val="0"/>
      <w:marRight w:val="0"/>
      <w:marTop w:val="0"/>
      <w:marBottom w:val="0"/>
      <w:divBdr>
        <w:top w:val="none" w:sz="0" w:space="0" w:color="auto"/>
        <w:left w:val="none" w:sz="0" w:space="0" w:color="auto"/>
        <w:bottom w:val="none" w:sz="0" w:space="0" w:color="auto"/>
        <w:right w:val="none" w:sz="0" w:space="0" w:color="auto"/>
      </w:divBdr>
    </w:div>
    <w:div w:id="433356021">
      <w:bodyDiv w:val="1"/>
      <w:marLeft w:val="0"/>
      <w:marRight w:val="0"/>
      <w:marTop w:val="0"/>
      <w:marBottom w:val="0"/>
      <w:divBdr>
        <w:top w:val="none" w:sz="0" w:space="0" w:color="auto"/>
        <w:left w:val="none" w:sz="0" w:space="0" w:color="auto"/>
        <w:bottom w:val="none" w:sz="0" w:space="0" w:color="auto"/>
        <w:right w:val="none" w:sz="0" w:space="0" w:color="auto"/>
      </w:divBdr>
    </w:div>
    <w:div w:id="550119732">
      <w:bodyDiv w:val="1"/>
      <w:marLeft w:val="0"/>
      <w:marRight w:val="0"/>
      <w:marTop w:val="0"/>
      <w:marBottom w:val="0"/>
      <w:divBdr>
        <w:top w:val="none" w:sz="0" w:space="0" w:color="auto"/>
        <w:left w:val="none" w:sz="0" w:space="0" w:color="auto"/>
        <w:bottom w:val="none" w:sz="0" w:space="0" w:color="auto"/>
        <w:right w:val="none" w:sz="0" w:space="0" w:color="auto"/>
      </w:divBdr>
    </w:div>
    <w:div w:id="635722530">
      <w:bodyDiv w:val="1"/>
      <w:marLeft w:val="0"/>
      <w:marRight w:val="0"/>
      <w:marTop w:val="0"/>
      <w:marBottom w:val="0"/>
      <w:divBdr>
        <w:top w:val="none" w:sz="0" w:space="0" w:color="auto"/>
        <w:left w:val="none" w:sz="0" w:space="0" w:color="auto"/>
        <w:bottom w:val="none" w:sz="0" w:space="0" w:color="auto"/>
        <w:right w:val="none" w:sz="0" w:space="0" w:color="auto"/>
      </w:divBdr>
    </w:div>
    <w:div w:id="921910251">
      <w:bodyDiv w:val="1"/>
      <w:marLeft w:val="0"/>
      <w:marRight w:val="0"/>
      <w:marTop w:val="0"/>
      <w:marBottom w:val="0"/>
      <w:divBdr>
        <w:top w:val="none" w:sz="0" w:space="0" w:color="auto"/>
        <w:left w:val="none" w:sz="0" w:space="0" w:color="auto"/>
        <w:bottom w:val="none" w:sz="0" w:space="0" w:color="auto"/>
        <w:right w:val="none" w:sz="0" w:space="0" w:color="auto"/>
      </w:divBdr>
    </w:div>
    <w:div w:id="1269507524">
      <w:bodyDiv w:val="1"/>
      <w:marLeft w:val="0"/>
      <w:marRight w:val="0"/>
      <w:marTop w:val="0"/>
      <w:marBottom w:val="0"/>
      <w:divBdr>
        <w:top w:val="none" w:sz="0" w:space="0" w:color="auto"/>
        <w:left w:val="none" w:sz="0" w:space="0" w:color="auto"/>
        <w:bottom w:val="none" w:sz="0" w:space="0" w:color="auto"/>
        <w:right w:val="none" w:sz="0" w:space="0" w:color="auto"/>
      </w:divBdr>
    </w:div>
    <w:div w:id="2003921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71BF9-93EE-43FF-BCDF-498E020C8278}">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2075</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2023-09-27T17:35:00Z</dcterms:created>
  <dcterms:modified xsi:type="dcterms:W3CDTF">2023-09-27T17:35:00Z</dcterms:modified>
</cp:coreProperties>
</file>