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R4-2315198</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5.19.2.2.3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UE RF requirements for SBFD</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default" w:ascii="Times New Roman" w:hAnsi="Times New Roman"/>
          <w:sz w:val="20"/>
          <w:lang w:val="en-US" w:eastAsia="zh-CN"/>
        </w:rPr>
      </w:pPr>
      <w:r>
        <w:rPr>
          <w:rFonts w:hint="eastAsia" w:ascii="Times New Roman" w:hAnsi="Times New Roman"/>
          <w:sz w:val="20"/>
          <w:lang w:val="en-US" w:eastAsia="zh-CN"/>
        </w:rPr>
        <w:t>We only have two meetings to complete SBFD SI. In this contribution, we list our suggestions for UE RF requirements and add the TP as annex.</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2"/>
        </w:numPr>
        <w:ind w:left="420" w:leftChars="0" w:hanging="420" w:firstLineChars="0"/>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Detailed scenarios and cases from co-existence study to conclude UE RF requirements</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UE RF requirements are discussed in RAN4 #107 meeting with following WF.</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5"/>
              <w:numPr>
                <w:ilvl w:val="1"/>
                <w:numId w:val="3"/>
              </w:numPr>
              <w:spacing w:before="120" w:line="280" w:lineRule="atLeast"/>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 xml:space="preserve">FFS the impact on UE RF requirements pending on the co-existence study conclusion. </w:t>
            </w:r>
          </w:p>
          <w:p>
            <w:pPr>
              <w:pStyle w:val="25"/>
              <w:numPr>
                <w:ilvl w:val="2"/>
                <w:numId w:val="3"/>
              </w:numPr>
              <w:spacing w:before="120" w:line="280" w:lineRule="atLeast"/>
              <w:rPr>
                <w:rFonts w:hint="default" w:ascii="Times New Roman" w:hAnsi="Times New Roman" w:cs="Times New Roman"/>
                <w:kern w:val="0"/>
                <w:sz w:val="20"/>
                <w:szCs w:val="20"/>
                <w:highlight w:val="none"/>
                <w:vertAlign w:val="baseline"/>
                <w:lang w:val="en-US" w:eastAsia="zh-CN"/>
              </w:rPr>
            </w:pPr>
            <w:r>
              <w:rPr>
                <w:rFonts w:hint="default" w:ascii="Times New Roman" w:hAnsi="Times New Roman" w:cs="Times New Roman"/>
                <w:bCs/>
                <w:sz w:val="20"/>
                <w:szCs w:val="20"/>
                <w:highlight w:val="none"/>
              </w:rPr>
              <w:t>If no issues identified by co-existence study, existing UE RF requirements can be applied as default assumption for study phase conclusion. Detailed UE RF requirements if any should be discussed during WID phase.</w:t>
            </w:r>
            <w:r>
              <w:rPr>
                <w:bCs/>
                <w:highlight w:val="none"/>
              </w:rPr>
              <w:t xml:space="preserve"> </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This is the last meeting for simulation results. Before concluding UE RF requirement, we should find out simulation results from which scenario and which case are applicable for UE RF requirements and if there is enough simulation results to conclude UE RF requirements. Following list our proposals.</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Regarding scenarios, there are total 8 scenarios (original scenario 7 is down-selected in last meeting due to weak received signal with large penetration loss). Usually when we define UE RF requirements, all cell scenarios are concluded. So it</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suggested to consider all the scenarios when conclude UE RF requirements. Among these scenarios, scenario 2 with cluster-based UE distribution would introduce high opportunity of UEs in proximity. Besides, in macro scenario, UE may transmit with larger output power at cell edge. Therefore, scenario 2 will introduce much larger UE-to-UE interference compared with other scenarios. We can focus on scenario 2 in theory. But for safe, it</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still to consider all scenarios.</w:t>
      </w:r>
    </w:p>
    <w:p>
      <w:pPr>
        <w:jc w:val="center"/>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drawing>
          <wp:inline distT="0" distB="0" distL="114300" distR="114300">
            <wp:extent cx="4441190" cy="2356485"/>
            <wp:effectExtent l="0" t="0" r="3810" b="5715"/>
            <wp:docPr id="1" name="图片 1" descr="1695611944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5611944248"/>
                    <pic:cNvPicPr>
                      <a:picLocks noChangeAspect="1"/>
                    </pic:cNvPicPr>
                  </pic:nvPicPr>
                  <pic:blipFill>
                    <a:blip r:embed="rId5"/>
                    <a:stretch>
                      <a:fillRect/>
                    </a:stretch>
                  </pic:blipFill>
                  <pic:spPr>
                    <a:xfrm>
                      <a:off x="0" y="0"/>
                      <a:ext cx="4441190" cy="23564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default" w:ascii="Times New Roman" w:hAnsi="Times New Roman" w:cs="Times New Roman"/>
          <w:b/>
          <w:bCs/>
          <w:kern w:val="0"/>
          <w:sz w:val="20"/>
          <w:szCs w:val="20"/>
          <w:lang w:val="en-US" w:eastAsia="zh-CN"/>
        </w:rPr>
      </w:pPr>
      <w:r>
        <w:rPr>
          <w:rFonts w:hint="eastAsia" w:ascii="Times New Roman" w:hAnsi="Times New Roman" w:cs="Times New Roman"/>
          <w:b/>
          <w:bCs/>
          <w:kern w:val="0"/>
          <w:sz w:val="20"/>
          <w:szCs w:val="20"/>
          <w:lang w:val="en-US" w:eastAsia="zh-CN"/>
        </w:rPr>
        <w:t xml:space="preserve">Proposal 1: simulation results from all scenarios(total 8) should be taken into consideration for UE RF requirement. </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There are 4 cases in simulation results as below, case 1 and 4 will reflect UE-to-UE CLI. But for case 1, it</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 xml:space="preserve">s the aggregated interference from both SBFD gNB and UE to victim UE. According to our simulation results, in case 1, compared with UE-to-UE interference, gNB-to-UE is the main dominant interference. In theory, if throughput loss is observed in case 1, we should further check the ratio of UE-to-UE interference. In case 1 simulation, we simulates with baseline ACIR, +2 dB, +4dB, +6dB, +8dB based on baseline ACIR values. Here, enhanced ACIR is at gNB side. With larger ACIR of gNB, the gNB-to-UE interference will be reduced whereas the contribution ratio from UE-to-UE interference will increase. Therefore, for case 1 we should use the simulation results from +8dB ACIR requirements instead of baseline ACIR. If there is still observed throughput loss in case 1, in next meeting, detailed simulation results from SBFD UL to NR DL is required to help conclude UE RF requirements </w:t>
      </w:r>
    </w:p>
    <w:p>
      <w:pPr>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drawing>
          <wp:inline distT="0" distB="0" distL="114300" distR="114300">
            <wp:extent cx="6186170" cy="1535430"/>
            <wp:effectExtent l="0" t="0" r="11430" b="1270"/>
            <wp:docPr id="2" name="图片 2" descr="16956120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5612007230"/>
                    <pic:cNvPicPr>
                      <a:picLocks noChangeAspect="1"/>
                    </pic:cNvPicPr>
                  </pic:nvPicPr>
                  <pic:blipFill>
                    <a:blip r:embed="rId6"/>
                    <a:stretch>
                      <a:fillRect/>
                    </a:stretch>
                  </pic:blipFill>
                  <pic:spPr>
                    <a:xfrm>
                      <a:off x="0" y="0"/>
                      <a:ext cx="6186170" cy="153543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kern w:val="0"/>
          <w:sz w:val="20"/>
          <w:szCs w:val="20"/>
          <w:lang w:val="en-US" w:eastAsia="zh-CN"/>
        </w:rPr>
      </w:pPr>
      <w:r>
        <w:rPr>
          <w:rFonts w:hint="eastAsia" w:ascii="Times New Roman" w:hAnsi="Times New Roman" w:cs="Times New Roman"/>
          <w:b/>
          <w:bCs/>
          <w:kern w:val="0"/>
          <w:sz w:val="20"/>
          <w:szCs w:val="20"/>
          <w:lang w:val="en-US" w:eastAsia="zh-CN"/>
        </w:rPr>
        <w:t>Proposal 2: simulation results from case 1 and case 4 should be taken into consideration for UE RF requirement. For case 1, we should consider the results with baseline ACIR +8dB. And if interference is still observed,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suggested to show detailed simulation results from SBFD U to NR TDD DL.</w:t>
      </w:r>
      <w:r>
        <w:rPr>
          <w:rFonts w:hint="eastAsia" w:ascii="Times New Roman" w:hAnsi="Times New Roman" w:cs="Times New Roman"/>
          <w:kern w:val="0"/>
          <w:sz w:val="20"/>
          <w:szCs w:val="20"/>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Simulation results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Following list all the simulation observations from case 1 and case 4 for scenario 1, 2, 3, 5 and 6 in our simulation. There is no observed throughput loss. Therefore, existing UE RF requirements can be applied as default assumption for study phase conclusion. Detailed UE RF requirements if any should be discussed during WID phase. </w:t>
      </w:r>
    </w:p>
    <w:p>
      <w:pPr>
        <w:numPr>
          <w:ilvl w:val="0"/>
          <w:numId w:val="5"/>
        </w:numPr>
        <w:ind w:left="420" w:leftChars="0" w:hanging="420" w:firstLineChars="0"/>
        <w:rPr>
          <w:rFonts w:hint="eastAsia" w:ascii="Times New Roman" w:hAnsi="Times New Roman" w:cs="Times New Roman"/>
          <w:b w:val="0"/>
          <w:bCs w:val="0"/>
          <w:kern w:val="0"/>
          <w:sz w:val="20"/>
          <w:szCs w:val="20"/>
          <w:lang w:val="en-US" w:eastAsia="zh-CN"/>
        </w:rPr>
      </w:pPr>
      <w:r>
        <w:rPr>
          <w:rFonts w:hint="eastAsia" w:ascii="Times New Roman" w:hAnsi="Times New Roman" w:cs="Times New Roman"/>
          <w:b w:val="0"/>
          <w:bCs w:val="0"/>
          <w:kern w:val="0"/>
          <w:sz w:val="20"/>
          <w:szCs w:val="20"/>
          <w:lang w:val="en-US" w:eastAsia="zh-CN"/>
        </w:rPr>
        <w:t xml:space="preserve">For scenario 1, </w:t>
      </w:r>
    </w:p>
    <w:p>
      <w:pPr>
        <w:numPr>
          <w:ilvl w:val="1"/>
          <w:numId w:val="5"/>
        </w:numPr>
        <w:ind w:left="840" w:leftChars="0" w:hanging="420" w:firstLineChars="0"/>
        <w:rPr>
          <w:rFonts w:hint="eastAsia" w:ascii="Times New Roman" w:hAnsi="Times New Roman" w:cs="Times New Roman"/>
          <w:b w:val="0"/>
          <w:bCs w:val="0"/>
          <w:kern w:val="0"/>
          <w:sz w:val="20"/>
          <w:szCs w:val="20"/>
          <w:lang w:val="en-US" w:eastAsia="zh-CN"/>
        </w:rPr>
      </w:pPr>
      <w:r>
        <w:rPr>
          <w:rFonts w:hint="eastAsia" w:ascii="Times New Roman" w:hAnsi="Times New Roman" w:cs="Times New Roman"/>
          <w:b w:val="0"/>
          <w:bCs w:val="0"/>
          <w:kern w:val="0"/>
          <w:sz w:val="20"/>
          <w:szCs w:val="20"/>
          <w:lang w:val="en-US" w:eastAsia="zh-CN"/>
        </w:rPr>
        <w:t>for case 1 when SBFD DU interfere NR TDD DL, the main interference com from gNB-to-UE interference rather than from UE-to-UE interference. For random uniform distribution, the loss for cell average and cell edge are both less than 5% throughput loss, interference is acceptable.</w:t>
      </w:r>
    </w:p>
    <w:p>
      <w:pPr>
        <w:numPr>
          <w:ilvl w:val="1"/>
          <w:numId w:val="5"/>
        </w:numPr>
        <w:ind w:left="840" w:leftChars="0" w:hanging="420" w:firstLineChars="0"/>
        <w:rPr>
          <w:rFonts w:hint="eastAsia"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4 when NR TDD UL interfere SBFD DU, the loss for cell average and cell edge are both less than 5% throughput loss with baseline ACIR assumption, interference is acceptable.</w:t>
      </w:r>
    </w:p>
    <w:p>
      <w:pPr>
        <w:numPr>
          <w:ilvl w:val="0"/>
          <w:numId w:val="5"/>
        </w:numPr>
        <w:ind w:left="42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kern w:val="0"/>
          <w:sz w:val="20"/>
          <w:szCs w:val="20"/>
          <w:lang w:val="en-US" w:eastAsia="zh-CN"/>
        </w:rPr>
        <w:t>For scenario 2:</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1 when SBFD DU interfere NR TDD DL, the main interference com from gNB-to-UE interference rather than from UE-to-UE interference. For cluster based UE distribution, the loss for cell average and cell edge are both less than 5% throughput loss with baseline or enhanced ACIR, interference is acceptable.</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4 when NR TDD UL interfere SBFD DU, the loss for cell average and cell edge are both less than 5% throughput loss with baseline assumption, interference is acceptable.</w:t>
      </w:r>
    </w:p>
    <w:p>
      <w:pPr>
        <w:numPr>
          <w:ilvl w:val="0"/>
          <w:numId w:val="5"/>
        </w:numPr>
        <w:ind w:left="42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kern w:val="0"/>
          <w:sz w:val="20"/>
          <w:szCs w:val="20"/>
          <w:lang w:val="en-US" w:eastAsia="zh-CN"/>
        </w:rPr>
        <w:t>For scenario 3: f</w:t>
      </w:r>
      <w:r>
        <w:rPr>
          <w:rFonts w:hint="eastAsia" w:ascii="Times New Roman" w:hAnsi="Times New Roman" w:cs="Times New Roman"/>
          <w:b w:val="0"/>
          <w:bCs w:val="0"/>
          <w:lang w:val="en-US" w:eastAsia="zh-CN"/>
        </w:rPr>
        <w:t>or all the cases, final simulation results show interference is acceptable and throughput loss could be less than 5% for cell average and cell edge.</w:t>
      </w:r>
    </w:p>
    <w:p>
      <w:pPr>
        <w:numPr>
          <w:ilvl w:val="0"/>
          <w:numId w:val="5"/>
        </w:numPr>
        <w:ind w:left="42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scenario 5:</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default" w:ascii="Times New Roman" w:hAnsi="Times New Roman" w:cs="Times New Roman"/>
          <w:b w:val="0"/>
          <w:bCs w:val="0"/>
          <w:kern w:val="0"/>
          <w:sz w:val="20"/>
          <w:szCs w:val="20"/>
          <w:lang w:val="en-US" w:eastAsia="zh-CN"/>
        </w:rPr>
        <w:t>for case 1 when SBFD DU interfere NR TDD DL, for both 38dBm and 46dBm output power, the loss for cell edge could be reduced to below 5% with 4dB enhanced ACIR and the loss for cell average could be less than 5% even with baseline ACIR assumption.</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4 when NR TDD UL interfere SBFD DU, for both 38dBm and 46dBm output power, the loss for cell average and cell edge are both less than 5% throughput loss with baseline or enhanced ACIR assumption, interference is acceptable</w:t>
      </w:r>
    </w:p>
    <w:p>
      <w:pPr>
        <w:numPr>
          <w:ilvl w:val="0"/>
          <w:numId w:val="5"/>
        </w:numPr>
        <w:ind w:left="42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kern w:val="0"/>
          <w:sz w:val="20"/>
          <w:szCs w:val="20"/>
          <w:lang w:val="en-US" w:eastAsia="zh-CN"/>
        </w:rPr>
        <w:t>For scenario 6</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1 when SBFD DU interfere NR TDD DL, the loss for cell edge and cell average are all around 5% loss or less than 5% loss with baseline ACIR assumption.</w:t>
      </w:r>
    </w:p>
    <w:p>
      <w:pPr>
        <w:numPr>
          <w:ilvl w:val="1"/>
          <w:numId w:val="5"/>
        </w:numPr>
        <w:ind w:left="840" w:leftChars="0" w:hanging="420" w:firstLineChars="0"/>
        <w:rPr>
          <w:rFonts w:hint="default" w:ascii="Times New Roman" w:hAnsi="Times New Roman" w:cs="Times New Roman"/>
          <w:b w:val="0"/>
          <w:bCs w:val="0"/>
          <w:kern w:val="0"/>
          <w:sz w:val="20"/>
          <w:szCs w:val="20"/>
          <w:lang w:val="en-US" w:eastAsia="zh-CN"/>
        </w:rPr>
      </w:pPr>
      <w:r>
        <w:rPr>
          <w:rFonts w:hint="eastAsia" w:ascii="Times New Roman" w:hAnsi="Times New Roman" w:cs="Times New Roman"/>
          <w:b w:val="0"/>
          <w:bCs w:val="0"/>
          <w:lang w:val="en-US" w:eastAsia="zh-CN"/>
        </w:rPr>
        <w:t>for case 4 when NR TDD UL interfere SBFD DU, the loss for cell edge and cell average are all less than 5% loss with baseline ACIR assumption</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Observation 1: according to our simulation results, there is no observed throughput loss due to UE-to-UE CLI. Existing UE RF requirements can be applied as default assumption for study phase conclusion. Detailed UE RF requirements if any should be discussed during WID phase. </w:t>
      </w:r>
    </w:p>
    <w:p>
      <w:pPr>
        <w:rPr>
          <w:rFonts w:hint="default" w:ascii="Times New Roman" w:hAnsi="Times New Roman" w:cs="Times New Roman"/>
          <w:b/>
          <w:bCs/>
          <w:lang w:val="en-US" w:eastAsia="zh-CN"/>
        </w:rPr>
      </w:pP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UE RF requirements are discussed with following proposals and observations.</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default" w:ascii="Times New Roman" w:hAnsi="Times New Roman" w:cs="Times New Roman"/>
          <w:b/>
          <w:bCs/>
          <w:kern w:val="0"/>
          <w:sz w:val="20"/>
          <w:szCs w:val="20"/>
          <w:lang w:val="en-US" w:eastAsia="zh-CN"/>
        </w:rPr>
      </w:pPr>
      <w:r>
        <w:rPr>
          <w:rFonts w:hint="eastAsia" w:ascii="Times New Roman" w:hAnsi="Times New Roman" w:cs="Times New Roman"/>
          <w:b/>
          <w:bCs/>
          <w:kern w:val="0"/>
          <w:sz w:val="20"/>
          <w:szCs w:val="20"/>
          <w:lang w:val="en-US" w:eastAsia="zh-CN"/>
        </w:rPr>
        <w:t xml:space="preserve">Proposal 1: simulation results from all scenarios(total 8) should be taken into consideration for UE RF requirement. </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kern w:val="0"/>
          <w:sz w:val="20"/>
          <w:szCs w:val="20"/>
          <w:lang w:val="en-US" w:eastAsia="zh-CN"/>
        </w:rPr>
      </w:pPr>
      <w:r>
        <w:rPr>
          <w:rFonts w:hint="eastAsia" w:ascii="Times New Roman" w:hAnsi="Times New Roman" w:cs="Times New Roman"/>
          <w:b/>
          <w:bCs/>
          <w:kern w:val="0"/>
          <w:sz w:val="20"/>
          <w:szCs w:val="20"/>
          <w:lang w:val="en-US" w:eastAsia="zh-CN"/>
        </w:rPr>
        <w:t>Proposal 2: simulation results from case 1 and case 4 should be taken into consideration for UE RF requirement. For case 1, we should consider the results with baseline ACIR +8dB. And if interference is still observed,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suggested to show detailed simulation results from SBFD U to NR TDD DL.</w:t>
      </w:r>
      <w:r>
        <w:rPr>
          <w:rFonts w:hint="eastAsia" w:ascii="Times New Roman" w:hAnsi="Times New Roman" w:cs="Times New Roman"/>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kern w:val="0"/>
          <w:sz w:val="20"/>
          <w:szCs w:val="20"/>
          <w:lang w:val="en-US" w:eastAsia="zh-CN"/>
        </w:rPr>
      </w:pPr>
      <w:r>
        <w:rPr>
          <w:rFonts w:hint="eastAsia" w:ascii="Times New Roman" w:hAnsi="Times New Roman" w:cs="Times New Roman"/>
          <w:b/>
          <w:bCs/>
          <w:lang w:val="en-US" w:eastAsia="zh-CN"/>
        </w:rPr>
        <w:t>Observation 1: according to our simulation results, there is no observed throughput loss due to UE-to-UE CLI. Existing UE RF requirements can be applied as default assumption for study phase conclusion. Detailed UE RF requirements if any should be discussed during WID phase.</w:t>
      </w:r>
      <w:bookmarkStart w:id="0" w:name="_GoBack"/>
      <w:bookmarkEnd w:id="0"/>
      <w:r>
        <w:rPr>
          <w:rFonts w:hint="eastAsia" w:ascii="Times New Roman" w:hAnsi="Times New Roman" w:cs="Times New Roman"/>
          <w:b/>
          <w:bCs/>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 xml:space="preserve">[1] </w:t>
      </w:r>
      <w:r>
        <w:rPr>
          <w:rFonts w:ascii="Times New Roman" w:hAnsi="Times New Roman"/>
          <w:sz w:val="20"/>
          <w:szCs w:val="20"/>
        </w:rPr>
        <w:t>R4-2217464, WF on SBFD feasibility study and RF impact: BS aspects, Samsung</w:t>
      </w:r>
    </w:p>
    <w:p>
      <w:pPr>
        <w:widowControl/>
        <w:overflowPunct w:val="0"/>
        <w:autoSpaceDE w:val="0"/>
        <w:autoSpaceDN w:val="0"/>
        <w:adjustRightInd w:val="0"/>
        <w:spacing w:after="180"/>
        <w:jc w:val="left"/>
        <w:textAlignment w:val="baseline"/>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FA78F"/>
    <w:multiLevelType w:val="singleLevel"/>
    <w:tmpl w:val="AE9FA78F"/>
    <w:lvl w:ilvl="0" w:tentative="0">
      <w:start w:val="1"/>
      <w:numFmt w:val="bullet"/>
      <w:lvlText w:val=""/>
      <w:lvlJc w:val="left"/>
      <w:pPr>
        <w:ind w:left="420" w:hanging="420"/>
      </w:pPr>
      <w:rPr>
        <w:rFonts w:hint="default" w:ascii="Wingdings" w:hAnsi="Wingdings"/>
      </w:rPr>
    </w:lvl>
  </w:abstractNum>
  <w:abstractNum w:abstractNumId="1">
    <w:nsid w:val="AF8E6E0E"/>
    <w:multiLevelType w:val="singleLevel"/>
    <w:tmpl w:val="AF8E6E0E"/>
    <w:lvl w:ilvl="0" w:tentative="0">
      <w:start w:val="2"/>
      <w:numFmt w:val="decimal"/>
      <w:suff w:val="space"/>
      <w:lvlText w:val="%1."/>
      <w:lvlJc w:val="left"/>
    </w:lvl>
  </w:abstractNum>
  <w:abstractNum w:abstractNumId="2">
    <w:nsid w:val="1AFC95DE"/>
    <w:multiLevelType w:val="multilevel"/>
    <w:tmpl w:val="1AFC95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4C7B0A33"/>
    <w:multiLevelType w:val="singleLevel"/>
    <w:tmpl w:val="4C7B0A33"/>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2A"/>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D6"/>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75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9C23B2"/>
    <w:rsid w:val="020970CA"/>
    <w:rsid w:val="028E1852"/>
    <w:rsid w:val="02E5364E"/>
    <w:rsid w:val="02FD0CF5"/>
    <w:rsid w:val="031B02A5"/>
    <w:rsid w:val="03207FB0"/>
    <w:rsid w:val="035C58DB"/>
    <w:rsid w:val="0366779F"/>
    <w:rsid w:val="039B4076"/>
    <w:rsid w:val="04B65AC7"/>
    <w:rsid w:val="04C75D62"/>
    <w:rsid w:val="053C405B"/>
    <w:rsid w:val="05762682"/>
    <w:rsid w:val="05C468A8"/>
    <w:rsid w:val="05E23036"/>
    <w:rsid w:val="06316639"/>
    <w:rsid w:val="06505940"/>
    <w:rsid w:val="06F3435A"/>
    <w:rsid w:val="072E58CA"/>
    <w:rsid w:val="0769686A"/>
    <w:rsid w:val="076B000F"/>
    <w:rsid w:val="076C72BA"/>
    <w:rsid w:val="0770402F"/>
    <w:rsid w:val="07832762"/>
    <w:rsid w:val="08151628"/>
    <w:rsid w:val="08357936"/>
    <w:rsid w:val="084E46EE"/>
    <w:rsid w:val="085B49C4"/>
    <w:rsid w:val="089F1075"/>
    <w:rsid w:val="08BE33E4"/>
    <w:rsid w:val="0900762B"/>
    <w:rsid w:val="093418D3"/>
    <w:rsid w:val="09652222"/>
    <w:rsid w:val="09A618B6"/>
    <w:rsid w:val="09B37C21"/>
    <w:rsid w:val="0A231DB1"/>
    <w:rsid w:val="0A2B13BC"/>
    <w:rsid w:val="0A5E5E56"/>
    <w:rsid w:val="0A631516"/>
    <w:rsid w:val="0A7F46C9"/>
    <w:rsid w:val="0A9145E4"/>
    <w:rsid w:val="0AB04E98"/>
    <w:rsid w:val="0ADD4F15"/>
    <w:rsid w:val="0BCE3FEB"/>
    <w:rsid w:val="0C1002D8"/>
    <w:rsid w:val="0C5E6FFC"/>
    <w:rsid w:val="0CC56B02"/>
    <w:rsid w:val="0CFD24DF"/>
    <w:rsid w:val="0D1F0495"/>
    <w:rsid w:val="0DB25485"/>
    <w:rsid w:val="0DFD2635"/>
    <w:rsid w:val="0E7813A9"/>
    <w:rsid w:val="0F860884"/>
    <w:rsid w:val="0FDA030E"/>
    <w:rsid w:val="0FDF0BBB"/>
    <w:rsid w:val="0FF85987"/>
    <w:rsid w:val="1278275D"/>
    <w:rsid w:val="12A904AC"/>
    <w:rsid w:val="12E83AF4"/>
    <w:rsid w:val="13C91B9D"/>
    <w:rsid w:val="13E86413"/>
    <w:rsid w:val="14000A5D"/>
    <w:rsid w:val="14356401"/>
    <w:rsid w:val="14465C25"/>
    <w:rsid w:val="148D73C8"/>
    <w:rsid w:val="14D72CBF"/>
    <w:rsid w:val="157E4752"/>
    <w:rsid w:val="1631337C"/>
    <w:rsid w:val="169A03A1"/>
    <w:rsid w:val="17527B50"/>
    <w:rsid w:val="175D4E0A"/>
    <w:rsid w:val="17787D90"/>
    <w:rsid w:val="1812470B"/>
    <w:rsid w:val="185D4F56"/>
    <w:rsid w:val="190C5C28"/>
    <w:rsid w:val="196A3734"/>
    <w:rsid w:val="19962308"/>
    <w:rsid w:val="1A0B5B4A"/>
    <w:rsid w:val="1A240D2C"/>
    <w:rsid w:val="1A5204BD"/>
    <w:rsid w:val="1A8670A6"/>
    <w:rsid w:val="1AD928F8"/>
    <w:rsid w:val="1B00542F"/>
    <w:rsid w:val="1B155FFD"/>
    <w:rsid w:val="1B1736FE"/>
    <w:rsid w:val="1B1B5988"/>
    <w:rsid w:val="1B3F3E40"/>
    <w:rsid w:val="1B400146"/>
    <w:rsid w:val="1B8575B5"/>
    <w:rsid w:val="1BB67D84"/>
    <w:rsid w:val="1BE972DA"/>
    <w:rsid w:val="1BF509C2"/>
    <w:rsid w:val="1BF95FEE"/>
    <w:rsid w:val="1C3A255C"/>
    <w:rsid w:val="1C7F4C5C"/>
    <w:rsid w:val="1C8005C6"/>
    <w:rsid w:val="1CDB56CB"/>
    <w:rsid w:val="1D2560A8"/>
    <w:rsid w:val="1D4767D4"/>
    <w:rsid w:val="1D867707"/>
    <w:rsid w:val="1DEC57A6"/>
    <w:rsid w:val="1E321D9C"/>
    <w:rsid w:val="1E862121"/>
    <w:rsid w:val="1E915F33"/>
    <w:rsid w:val="1F2F076D"/>
    <w:rsid w:val="1F4B0BE5"/>
    <w:rsid w:val="1F4B412A"/>
    <w:rsid w:val="1FB74868"/>
    <w:rsid w:val="1FD31DC3"/>
    <w:rsid w:val="20446BFF"/>
    <w:rsid w:val="2087096D"/>
    <w:rsid w:val="20C95548"/>
    <w:rsid w:val="2110504E"/>
    <w:rsid w:val="216F2E69"/>
    <w:rsid w:val="219C6B1B"/>
    <w:rsid w:val="220F4B38"/>
    <w:rsid w:val="22181FFD"/>
    <w:rsid w:val="221C0A03"/>
    <w:rsid w:val="222402A2"/>
    <w:rsid w:val="223D47BB"/>
    <w:rsid w:val="228B3B2E"/>
    <w:rsid w:val="22C47F17"/>
    <w:rsid w:val="23190BEB"/>
    <w:rsid w:val="235E2230"/>
    <w:rsid w:val="2370600B"/>
    <w:rsid w:val="23C32038"/>
    <w:rsid w:val="23D8799B"/>
    <w:rsid w:val="23E612F3"/>
    <w:rsid w:val="242A6565"/>
    <w:rsid w:val="24323971"/>
    <w:rsid w:val="24371FF7"/>
    <w:rsid w:val="2487307B"/>
    <w:rsid w:val="249E0AA2"/>
    <w:rsid w:val="24EE3D24"/>
    <w:rsid w:val="254E0ABD"/>
    <w:rsid w:val="256571E6"/>
    <w:rsid w:val="25916DB0"/>
    <w:rsid w:val="25A10883"/>
    <w:rsid w:val="25CD1194"/>
    <w:rsid w:val="25FB09DE"/>
    <w:rsid w:val="26962DDB"/>
    <w:rsid w:val="27241745"/>
    <w:rsid w:val="273A38E9"/>
    <w:rsid w:val="276A1EBA"/>
    <w:rsid w:val="28046835"/>
    <w:rsid w:val="28341582"/>
    <w:rsid w:val="28AA4C8A"/>
    <w:rsid w:val="28F43F3F"/>
    <w:rsid w:val="297B511D"/>
    <w:rsid w:val="29C71D19"/>
    <w:rsid w:val="29E0703F"/>
    <w:rsid w:val="29EB0C54"/>
    <w:rsid w:val="2A182A1D"/>
    <w:rsid w:val="2A4312E2"/>
    <w:rsid w:val="2A801147"/>
    <w:rsid w:val="2A8020F7"/>
    <w:rsid w:val="2AAB580F"/>
    <w:rsid w:val="2AC70C94"/>
    <w:rsid w:val="2B146781"/>
    <w:rsid w:val="2BD40774"/>
    <w:rsid w:val="2C2D4686"/>
    <w:rsid w:val="2C374345"/>
    <w:rsid w:val="2C673566"/>
    <w:rsid w:val="2C855802"/>
    <w:rsid w:val="2C884632"/>
    <w:rsid w:val="2D061DEB"/>
    <w:rsid w:val="2D4D79AC"/>
    <w:rsid w:val="2D817536"/>
    <w:rsid w:val="2DD20866"/>
    <w:rsid w:val="2EEC4E92"/>
    <w:rsid w:val="2EF16493"/>
    <w:rsid w:val="2FCB6344"/>
    <w:rsid w:val="2FD8768A"/>
    <w:rsid w:val="301452F1"/>
    <w:rsid w:val="30524DF2"/>
    <w:rsid w:val="315F5D75"/>
    <w:rsid w:val="31EA3BF2"/>
    <w:rsid w:val="32812E6C"/>
    <w:rsid w:val="33851415"/>
    <w:rsid w:val="33D23A93"/>
    <w:rsid w:val="33F16A33"/>
    <w:rsid w:val="3427319D"/>
    <w:rsid w:val="342F3E2C"/>
    <w:rsid w:val="34336FAF"/>
    <w:rsid w:val="343C78BF"/>
    <w:rsid w:val="34414710"/>
    <w:rsid w:val="34E500D8"/>
    <w:rsid w:val="34E92E94"/>
    <w:rsid w:val="350C2516"/>
    <w:rsid w:val="354B12A3"/>
    <w:rsid w:val="35C267C1"/>
    <w:rsid w:val="35C8614C"/>
    <w:rsid w:val="35D319E6"/>
    <w:rsid w:val="35E844FA"/>
    <w:rsid w:val="36510879"/>
    <w:rsid w:val="367A2E01"/>
    <w:rsid w:val="37666B7D"/>
    <w:rsid w:val="37726C9D"/>
    <w:rsid w:val="37BE7500"/>
    <w:rsid w:val="37D31A24"/>
    <w:rsid w:val="38841848"/>
    <w:rsid w:val="392A064F"/>
    <w:rsid w:val="396F1445"/>
    <w:rsid w:val="39727BEB"/>
    <w:rsid w:val="39803104"/>
    <w:rsid w:val="39823A9F"/>
    <w:rsid w:val="398B405C"/>
    <w:rsid w:val="39BB3AC3"/>
    <w:rsid w:val="39FF5B17"/>
    <w:rsid w:val="3A436689"/>
    <w:rsid w:val="3A7135F2"/>
    <w:rsid w:val="3A9E53BA"/>
    <w:rsid w:val="3AA97F72"/>
    <w:rsid w:val="3AAC45FF"/>
    <w:rsid w:val="3AC577F8"/>
    <w:rsid w:val="3B662C1E"/>
    <w:rsid w:val="3BBC450D"/>
    <w:rsid w:val="3BC7289E"/>
    <w:rsid w:val="3C171533"/>
    <w:rsid w:val="3CD51844"/>
    <w:rsid w:val="3D5E74BC"/>
    <w:rsid w:val="3D957616"/>
    <w:rsid w:val="3DDF3B18"/>
    <w:rsid w:val="3E2204FF"/>
    <w:rsid w:val="3E613A4B"/>
    <w:rsid w:val="3E661EED"/>
    <w:rsid w:val="3E7E5396"/>
    <w:rsid w:val="3F05012B"/>
    <w:rsid w:val="3F28582E"/>
    <w:rsid w:val="3F6A5563"/>
    <w:rsid w:val="3F896B4D"/>
    <w:rsid w:val="3FF90105"/>
    <w:rsid w:val="401818B4"/>
    <w:rsid w:val="40225A46"/>
    <w:rsid w:val="405A1423"/>
    <w:rsid w:val="40CD24F9"/>
    <w:rsid w:val="40F02483"/>
    <w:rsid w:val="40F97CA8"/>
    <w:rsid w:val="410113A2"/>
    <w:rsid w:val="413678C2"/>
    <w:rsid w:val="41570042"/>
    <w:rsid w:val="415F544E"/>
    <w:rsid w:val="417D0B1D"/>
    <w:rsid w:val="41C60C56"/>
    <w:rsid w:val="41FF1754"/>
    <w:rsid w:val="4220550C"/>
    <w:rsid w:val="42282918"/>
    <w:rsid w:val="42D42A31"/>
    <w:rsid w:val="42FF6D16"/>
    <w:rsid w:val="4362139B"/>
    <w:rsid w:val="43B4759B"/>
    <w:rsid w:val="43B84329"/>
    <w:rsid w:val="43DF41E8"/>
    <w:rsid w:val="43F11B33"/>
    <w:rsid w:val="44225F56"/>
    <w:rsid w:val="444678CE"/>
    <w:rsid w:val="44565A46"/>
    <w:rsid w:val="4468225C"/>
    <w:rsid w:val="44815F70"/>
    <w:rsid w:val="455B51DE"/>
    <w:rsid w:val="45830A1B"/>
    <w:rsid w:val="458E2C2A"/>
    <w:rsid w:val="45C1217F"/>
    <w:rsid w:val="45F87D5E"/>
    <w:rsid w:val="46517F5C"/>
    <w:rsid w:val="467D0334"/>
    <w:rsid w:val="4687696B"/>
    <w:rsid w:val="46C741DF"/>
    <w:rsid w:val="46D92EFD"/>
    <w:rsid w:val="46E25ADA"/>
    <w:rsid w:val="46E67A01"/>
    <w:rsid w:val="46FC6684"/>
    <w:rsid w:val="479B7487"/>
    <w:rsid w:val="48552138"/>
    <w:rsid w:val="48827784"/>
    <w:rsid w:val="48BE52E4"/>
    <w:rsid w:val="48D556EC"/>
    <w:rsid w:val="49C72A36"/>
    <w:rsid w:val="4A561E76"/>
    <w:rsid w:val="4B105834"/>
    <w:rsid w:val="4C0C4027"/>
    <w:rsid w:val="4C261BDE"/>
    <w:rsid w:val="4CB8171C"/>
    <w:rsid w:val="4CF93156"/>
    <w:rsid w:val="4D102D7B"/>
    <w:rsid w:val="4D2812A5"/>
    <w:rsid w:val="4D3B1641"/>
    <w:rsid w:val="4D5E08FC"/>
    <w:rsid w:val="4D742AA0"/>
    <w:rsid w:val="4E3E401F"/>
    <w:rsid w:val="4F0624DB"/>
    <w:rsid w:val="4F5E38C5"/>
    <w:rsid w:val="4F6E60DE"/>
    <w:rsid w:val="4F8F7917"/>
    <w:rsid w:val="4FF02936"/>
    <w:rsid w:val="500243D3"/>
    <w:rsid w:val="5017227D"/>
    <w:rsid w:val="50533739"/>
    <w:rsid w:val="509636E2"/>
    <w:rsid w:val="50C2570B"/>
    <w:rsid w:val="50C54111"/>
    <w:rsid w:val="52E82B11"/>
    <w:rsid w:val="52FC46EA"/>
    <w:rsid w:val="53F47B4C"/>
    <w:rsid w:val="5403314B"/>
    <w:rsid w:val="541D2F0E"/>
    <w:rsid w:val="54C25C1B"/>
    <w:rsid w:val="550D5D6B"/>
    <w:rsid w:val="55276D1B"/>
    <w:rsid w:val="55572E3F"/>
    <w:rsid w:val="55584783"/>
    <w:rsid w:val="555D57A9"/>
    <w:rsid w:val="558E2FA7"/>
    <w:rsid w:val="559F0D66"/>
    <w:rsid w:val="55B570EF"/>
    <w:rsid w:val="55F93719"/>
    <w:rsid w:val="5650389A"/>
    <w:rsid w:val="56663D4D"/>
    <w:rsid w:val="57291787"/>
    <w:rsid w:val="57404D35"/>
    <w:rsid w:val="57533067"/>
    <w:rsid w:val="57662666"/>
    <w:rsid w:val="57684BF4"/>
    <w:rsid w:val="58492F96"/>
    <w:rsid w:val="58907EDA"/>
    <w:rsid w:val="597823D6"/>
    <w:rsid w:val="59B6573E"/>
    <w:rsid w:val="59CD78E2"/>
    <w:rsid w:val="5A1B5D37"/>
    <w:rsid w:val="5AAA72D0"/>
    <w:rsid w:val="5B3A7AB8"/>
    <w:rsid w:val="5B7C4881"/>
    <w:rsid w:val="5BBD01B3"/>
    <w:rsid w:val="5C494943"/>
    <w:rsid w:val="5C59248E"/>
    <w:rsid w:val="5CE26B6F"/>
    <w:rsid w:val="5CFB7A99"/>
    <w:rsid w:val="5D851C35"/>
    <w:rsid w:val="5E9D4C47"/>
    <w:rsid w:val="5EA842DD"/>
    <w:rsid w:val="5EBD517B"/>
    <w:rsid w:val="5FAE5D89"/>
    <w:rsid w:val="5FC86933"/>
    <w:rsid w:val="5FDC7E75"/>
    <w:rsid w:val="5FED10F1"/>
    <w:rsid w:val="5FF120B4"/>
    <w:rsid w:val="601147A8"/>
    <w:rsid w:val="601B50B8"/>
    <w:rsid w:val="605B1725"/>
    <w:rsid w:val="608060E1"/>
    <w:rsid w:val="60CE03DF"/>
    <w:rsid w:val="61615467"/>
    <w:rsid w:val="617A62F9"/>
    <w:rsid w:val="619736AB"/>
    <w:rsid w:val="61A23B37"/>
    <w:rsid w:val="61AA48CA"/>
    <w:rsid w:val="61AF0D51"/>
    <w:rsid w:val="61B606DC"/>
    <w:rsid w:val="624662DD"/>
    <w:rsid w:val="626D2409"/>
    <w:rsid w:val="62803628"/>
    <w:rsid w:val="62A328E3"/>
    <w:rsid w:val="62D00E29"/>
    <w:rsid w:val="63407442"/>
    <w:rsid w:val="63A8690E"/>
    <w:rsid w:val="641414C0"/>
    <w:rsid w:val="64440B26"/>
    <w:rsid w:val="647D1DE9"/>
    <w:rsid w:val="647D566C"/>
    <w:rsid w:val="64977BD5"/>
    <w:rsid w:val="65203CA0"/>
    <w:rsid w:val="652E1C0D"/>
    <w:rsid w:val="6566621E"/>
    <w:rsid w:val="65A044CA"/>
    <w:rsid w:val="66746C9D"/>
    <w:rsid w:val="669B59E7"/>
    <w:rsid w:val="6751640F"/>
    <w:rsid w:val="67953680"/>
    <w:rsid w:val="67A9335C"/>
    <w:rsid w:val="68A66D41"/>
    <w:rsid w:val="68DC0114"/>
    <w:rsid w:val="69156EBB"/>
    <w:rsid w:val="69686DFF"/>
    <w:rsid w:val="69A97868"/>
    <w:rsid w:val="69E93289"/>
    <w:rsid w:val="69FB3DEF"/>
    <w:rsid w:val="6A3F4DB5"/>
    <w:rsid w:val="6A5463F0"/>
    <w:rsid w:val="6A76618B"/>
    <w:rsid w:val="6AA81989"/>
    <w:rsid w:val="6AC534B8"/>
    <w:rsid w:val="6B7968A4"/>
    <w:rsid w:val="6B797546"/>
    <w:rsid w:val="6B9F60AC"/>
    <w:rsid w:val="6BC12456"/>
    <w:rsid w:val="6C062F71"/>
    <w:rsid w:val="6CAF20DF"/>
    <w:rsid w:val="6D73789E"/>
    <w:rsid w:val="6D904C50"/>
    <w:rsid w:val="6E5258C7"/>
    <w:rsid w:val="6E9111BD"/>
    <w:rsid w:val="6EB03B67"/>
    <w:rsid w:val="6FCF511A"/>
    <w:rsid w:val="701E2CFF"/>
    <w:rsid w:val="7076338E"/>
    <w:rsid w:val="708E1078"/>
    <w:rsid w:val="70D66C2B"/>
    <w:rsid w:val="719B56EF"/>
    <w:rsid w:val="724D0B3F"/>
    <w:rsid w:val="725E2DC6"/>
    <w:rsid w:val="72725752"/>
    <w:rsid w:val="72993414"/>
    <w:rsid w:val="72E66C9D"/>
    <w:rsid w:val="73A57DF9"/>
    <w:rsid w:val="73AB4364"/>
    <w:rsid w:val="73CC19D5"/>
    <w:rsid w:val="73EA6238"/>
    <w:rsid w:val="74376338"/>
    <w:rsid w:val="744E5F5D"/>
    <w:rsid w:val="746D6812"/>
    <w:rsid w:val="748B0EF2"/>
    <w:rsid w:val="756103A4"/>
    <w:rsid w:val="763A2285"/>
    <w:rsid w:val="76637BC6"/>
    <w:rsid w:val="766A2DD4"/>
    <w:rsid w:val="766D3D59"/>
    <w:rsid w:val="76847AD8"/>
    <w:rsid w:val="76CA086F"/>
    <w:rsid w:val="76E262DA"/>
    <w:rsid w:val="76F00D88"/>
    <w:rsid w:val="7728448C"/>
    <w:rsid w:val="772A6AEC"/>
    <w:rsid w:val="779260BA"/>
    <w:rsid w:val="77D52026"/>
    <w:rsid w:val="78632B8F"/>
    <w:rsid w:val="788D5058"/>
    <w:rsid w:val="78A87E00"/>
    <w:rsid w:val="78B02C8E"/>
    <w:rsid w:val="78B9366E"/>
    <w:rsid w:val="79952007"/>
    <w:rsid w:val="7A256FE4"/>
    <w:rsid w:val="7A9750AD"/>
    <w:rsid w:val="7AB962DC"/>
    <w:rsid w:val="7AEB444A"/>
    <w:rsid w:val="7B8749B6"/>
    <w:rsid w:val="7BC80470"/>
    <w:rsid w:val="7C353855"/>
    <w:rsid w:val="7C6678A7"/>
    <w:rsid w:val="7C9106EB"/>
    <w:rsid w:val="7CA3770C"/>
    <w:rsid w:val="7CF67BE6"/>
    <w:rsid w:val="7DEA41A0"/>
    <w:rsid w:val="7DFC31C0"/>
    <w:rsid w:val="7E4F565C"/>
    <w:rsid w:val="7E9F214B"/>
    <w:rsid w:val="7EB028EB"/>
    <w:rsid w:val="7ECC5976"/>
    <w:rsid w:val="7EE5313E"/>
    <w:rsid w:val="7F23352A"/>
    <w:rsid w:val="7F7D33DC"/>
    <w:rsid w:val="7F8477C4"/>
    <w:rsid w:val="7FAA1790"/>
    <w:rsid w:val="7FE52CE1"/>
    <w:rsid w:val="7FF74280"/>
    <w:rsid w:val="7FFF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260" w:after="260" w:line="240" w:lineRule="auto"/>
      <w:outlineLvl w:val="2"/>
    </w:pPr>
    <w:rPr>
      <w:rFonts w:ascii="Arial" w:hAnsi="Arial"/>
      <w:b/>
      <w:sz w:val="32"/>
      <w:szCs w:val="30"/>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2"/>
    <w:qFormat/>
    <w:uiPriority w:val="99"/>
    <w:rPr>
      <w:sz w:val="18"/>
      <w:szCs w:val="18"/>
    </w:rPr>
  </w:style>
  <w:style w:type="character" w:customStyle="1" w:styleId="22">
    <w:name w:val="Footer Char"/>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9"/>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8"/>
    <w:semiHidden/>
    <w:qFormat/>
    <w:uiPriority w:val="99"/>
    <w:rPr>
      <w:rFonts w:ascii="宋体" w:hAnsi="CG Times (WN)" w:eastAsia="宋体" w:cs="Times New Roman"/>
      <w:sz w:val="18"/>
      <w:szCs w:val="18"/>
    </w:rPr>
  </w:style>
  <w:style w:type="character" w:customStyle="1" w:styleId="40">
    <w:name w:val="Caption Char"/>
    <w:link w:val="7"/>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宋体" w:cs="Times New Roman"/>
      <w:b/>
      <w:sz w:val="32"/>
      <w:szCs w:val="30"/>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table" w:customStyle="1" w:styleId="53">
    <w:name w:val="普通表格1"/>
    <w:basedOn w:val="16"/>
    <w:semiHidden/>
    <w:qFormat/>
    <w:uiPriority w:val="0"/>
    <w:pPr>
      <w:spacing w:after="0" w:line="240" w:lineRule="auto"/>
    </w:pPr>
    <w:rPr>
      <w:rFonts w:ascii="Calibri" w:hAnsi="Calibri" w:eastAsia="Times New Roman" w:cs="Times New Roman"/>
      <w:kern w:val="0"/>
      <w:sz w:val="20"/>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2023-09-26T10:02:18Z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39A5259A1218440EBE1D778FA8F275C7</vt:lpwstr>
  </property>
</Properties>
</file>