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A4519" w14:textId="2807C8DA" w:rsidR="00821473" w:rsidRPr="00385A1F" w:rsidRDefault="00821473" w:rsidP="00821473">
      <w:pPr>
        <w:pStyle w:val="Header"/>
        <w:tabs>
          <w:tab w:val="right" w:pos="9639"/>
        </w:tabs>
        <w:rPr>
          <w:rFonts w:cs="Arial"/>
          <w:sz w:val="24"/>
          <w:szCs w:val="24"/>
          <w:lang w:val="de-DE"/>
        </w:rPr>
      </w:pPr>
      <w:r w:rsidRPr="00385A1F">
        <w:rPr>
          <w:rFonts w:cs="Arial"/>
          <w:sz w:val="24"/>
          <w:szCs w:val="24"/>
          <w:lang w:val="de-DE"/>
        </w:rPr>
        <w:t>3GPP TSG-RAN WG4 #107</w:t>
      </w:r>
      <w:r w:rsidRPr="00385A1F">
        <w:rPr>
          <w:rFonts w:cs="Arial"/>
          <w:sz w:val="24"/>
          <w:szCs w:val="24"/>
          <w:lang w:val="de-DE"/>
        </w:rPr>
        <w:tab/>
        <w:t>R4-230</w:t>
      </w:r>
      <w:r w:rsidR="00AC7D7B">
        <w:rPr>
          <w:rFonts w:cs="Arial"/>
          <w:sz w:val="24"/>
          <w:szCs w:val="24"/>
          <w:lang w:val="de-DE"/>
        </w:rPr>
        <w:t>9506</w:t>
      </w:r>
    </w:p>
    <w:p w14:paraId="1799CF8A" w14:textId="77777777" w:rsidR="00821473" w:rsidRPr="00385A1F" w:rsidRDefault="00821473" w:rsidP="00821473">
      <w:pPr>
        <w:pStyle w:val="Header"/>
        <w:tabs>
          <w:tab w:val="left" w:pos="6521"/>
        </w:tabs>
        <w:rPr>
          <w:rFonts w:cs="Arial"/>
          <w:sz w:val="24"/>
          <w:szCs w:val="24"/>
        </w:rPr>
      </w:pPr>
      <w:r w:rsidRPr="00385A1F">
        <w:rPr>
          <w:rFonts w:cs="Arial"/>
          <w:sz w:val="24"/>
          <w:szCs w:val="24"/>
        </w:rPr>
        <w:t>May 22</w:t>
      </w:r>
      <w:r w:rsidRPr="00385A1F">
        <w:rPr>
          <w:rFonts w:cs="Arial"/>
          <w:sz w:val="24"/>
          <w:szCs w:val="24"/>
          <w:vertAlign w:val="superscript"/>
        </w:rPr>
        <w:t>nd</w:t>
      </w:r>
      <w:r w:rsidRPr="00385A1F">
        <w:rPr>
          <w:rFonts w:cs="Arial"/>
          <w:sz w:val="24"/>
          <w:szCs w:val="24"/>
        </w:rPr>
        <w:t xml:space="preserve"> ‒ 26</w:t>
      </w:r>
      <w:r w:rsidRPr="00385A1F">
        <w:rPr>
          <w:rFonts w:cs="Arial"/>
          <w:sz w:val="24"/>
          <w:szCs w:val="24"/>
          <w:vertAlign w:val="superscript"/>
        </w:rPr>
        <w:t>th</w:t>
      </w:r>
      <w:r w:rsidRPr="00385A1F">
        <w:rPr>
          <w:rFonts w:cs="Arial"/>
          <w:sz w:val="24"/>
          <w:szCs w:val="24"/>
        </w:rPr>
        <w:t>, 2023</w:t>
      </w:r>
    </w:p>
    <w:p w14:paraId="02BB9390" w14:textId="77777777" w:rsidR="00821473" w:rsidRPr="00DB3907" w:rsidRDefault="00821473" w:rsidP="00821473">
      <w:pPr>
        <w:pStyle w:val="Header"/>
        <w:rPr>
          <w:rFonts w:cs="Arial"/>
          <w:sz w:val="24"/>
          <w:szCs w:val="24"/>
        </w:rPr>
      </w:pPr>
      <w:r w:rsidRPr="00385A1F">
        <w:rPr>
          <w:rFonts w:cs="Arial"/>
          <w:sz w:val="24"/>
          <w:szCs w:val="24"/>
        </w:rPr>
        <w:t>Incheon, KR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19C6A478"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3537D7">
        <w:rPr>
          <w:rFonts w:ascii="Arial" w:hAnsi="Arial"/>
          <w:sz w:val="24"/>
          <w:lang w:val="en-US"/>
        </w:rPr>
        <w:t>9.5.2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2BA7EB09" w14:textId="2E1C8393"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4B0B22">
        <w:rPr>
          <w:rFonts w:ascii="Arial" w:hAnsi="Arial"/>
          <w:sz w:val="24"/>
          <w:lang w:val="en-US"/>
        </w:rPr>
        <w:t>Guard band discussion for the e</w:t>
      </w:r>
      <w:r w:rsidR="009015BC">
        <w:rPr>
          <w:rFonts w:ascii="Arial" w:hAnsi="Arial"/>
          <w:sz w:val="24"/>
          <w:lang w:val="en-US"/>
        </w:rPr>
        <w:t>xtended L band</w:t>
      </w:r>
    </w:p>
    <w:p w14:paraId="013F978F" w14:textId="7526497D"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8431C">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A6A82DD" w14:textId="618AA393" w:rsidR="009015BC" w:rsidRDefault="00E93C0D" w:rsidP="009011AF">
      <w:r>
        <w:t>A work item</w:t>
      </w:r>
      <w:r w:rsidR="008C43CA">
        <w:t xml:space="preserve"> [1]</w:t>
      </w:r>
      <w:r>
        <w:t xml:space="preserve"> has been agreed to define new </w:t>
      </w:r>
      <w:r w:rsidR="009015BC">
        <w:t xml:space="preserve">band for LTE NB-IoT in the </w:t>
      </w:r>
      <w:r w:rsidR="008C43CA">
        <w:t xml:space="preserve">extended L band frequency range.  The initial scope of the work item is limited to </w:t>
      </w:r>
      <w:proofErr w:type="gramStart"/>
      <w:r w:rsidR="008C43CA">
        <w:t>Region</w:t>
      </w:r>
      <w:proofErr w:type="gramEnd"/>
      <w:r w:rsidR="008C43CA">
        <w:t xml:space="preserve"> 1</w:t>
      </w:r>
      <w:r w:rsidR="00DD3E96">
        <w:t xml:space="preserve"> </w:t>
      </w:r>
      <w:r w:rsidR="009A3D11">
        <w:t>suggesting</w:t>
      </w:r>
      <w:r w:rsidR="00DD3E96">
        <w:t xml:space="preserve"> that the band may be </w:t>
      </w:r>
      <w:r w:rsidR="007A56AD">
        <w:t>expanded to include other regions of the world in a future work item.  This contribution reviews the UE coexistence requirements</w:t>
      </w:r>
      <w:r w:rsidR="00ED59B0">
        <w:t xml:space="preserve"> associated with this new band.</w:t>
      </w:r>
      <w:r w:rsidR="004B1BBD">
        <w:t xml:space="preserve">  </w:t>
      </w:r>
      <w:proofErr w:type="gramStart"/>
      <w:r w:rsidR="004B1BBD">
        <w:t>In particular, as</w:t>
      </w:r>
      <w:proofErr w:type="gramEnd"/>
      <w:r w:rsidR="004B1BBD">
        <w:t xml:space="preserve"> a follow-up to </w:t>
      </w:r>
      <w:r w:rsidR="00D36B48">
        <w:t>[3]</w:t>
      </w:r>
      <w:r w:rsidR="002C7418">
        <w:t xml:space="preserve"> the ECC Report 263 [2] is examined more closely to formulate a proposal for the band plan in 3GPP.</w:t>
      </w:r>
    </w:p>
    <w:p w14:paraId="10F6602E" w14:textId="0C33EAD7" w:rsidR="007E1E78" w:rsidRDefault="007E1E78" w:rsidP="0099327E">
      <w:pPr>
        <w:pStyle w:val="Heading1"/>
        <w:tabs>
          <w:tab w:val="clear" w:pos="432"/>
          <w:tab w:val="num" w:pos="522"/>
        </w:tabs>
        <w:ind w:left="522" w:hanging="522"/>
        <w:rPr>
          <w:lang w:val="en-US"/>
        </w:rPr>
      </w:pPr>
      <w:r>
        <w:rPr>
          <w:lang w:val="en-US"/>
        </w:rPr>
        <w:t>Discussion</w:t>
      </w:r>
    </w:p>
    <w:p w14:paraId="6B490EFC" w14:textId="59AD4C81" w:rsidR="00A80FE8" w:rsidRDefault="00A80FE8" w:rsidP="00BA4B38">
      <w:pPr>
        <w:rPr>
          <w:lang w:val="en-US"/>
        </w:rPr>
      </w:pPr>
      <w:r>
        <w:rPr>
          <w:lang w:val="en-US"/>
        </w:rPr>
        <w:t>A summary of the outcome of the ECC Report 263 [2] was previously provided in [</w:t>
      </w:r>
      <w:r w:rsidR="00897EC4">
        <w:rPr>
          <w:lang w:val="en-US"/>
        </w:rPr>
        <w:t>3</w:t>
      </w:r>
      <w:r>
        <w:rPr>
          <w:lang w:val="en-US"/>
        </w:rPr>
        <w:t>]</w:t>
      </w:r>
      <w:r w:rsidR="00897EC4">
        <w:rPr>
          <w:lang w:val="en-US"/>
        </w:rPr>
        <w:t xml:space="preserve"> where it was proposed</w:t>
      </w:r>
      <w:r w:rsidR="007B782A">
        <w:rPr>
          <w:lang w:val="en-US"/>
        </w:rPr>
        <w:t xml:space="preserve"> to define the extended L band incorporat</w:t>
      </w:r>
      <w:r w:rsidR="00897EC4">
        <w:rPr>
          <w:lang w:val="en-US"/>
        </w:rPr>
        <w:t>ing</w:t>
      </w:r>
      <w:r w:rsidR="007B782A">
        <w:rPr>
          <w:lang w:val="en-US"/>
        </w:rPr>
        <w:t xml:space="preserve"> a 3 MHz guard band between the NTN band and the closest IMT</w:t>
      </w:r>
      <w:r w:rsidR="00D87E8D">
        <w:rPr>
          <w:lang w:val="en-US"/>
        </w:rPr>
        <w:t xml:space="preserve"> band.  This meant the extended L band’s downlink would be </w:t>
      </w:r>
      <w:r w:rsidR="001E4CCF">
        <w:rPr>
          <w:lang w:val="en-US"/>
        </w:rPr>
        <w:t xml:space="preserve">truncated by 3 </w:t>
      </w:r>
      <w:proofErr w:type="gramStart"/>
      <w:r w:rsidR="001E4CCF">
        <w:rPr>
          <w:lang w:val="en-US"/>
        </w:rPr>
        <w:t>MHz</w:t>
      </w:r>
      <w:proofErr w:type="gramEnd"/>
    </w:p>
    <w:p w14:paraId="1E2E46CA" w14:textId="77777777" w:rsidR="001E4CCF" w:rsidRDefault="001E4CCF" w:rsidP="001E4CCF">
      <w:pPr>
        <w:rPr>
          <w:b/>
          <w:bCs/>
          <w:lang w:val="en-US"/>
        </w:rPr>
      </w:pPr>
      <w:r w:rsidRPr="006D7309">
        <w:rPr>
          <w:b/>
          <w:bCs/>
          <w:lang w:val="en-US"/>
        </w:rPr>
        <w:t xml:space="preserve">Proposal:  </w:t>
      </w:r>
      <w:r>
        <w:rPr>
          <w:b/>
          <w:bCs/>
          <w:lang w:val="en-US"/>
        </w:rPr>
        <w:t>Define the Extended L-band downlink range lower edge at 1521 MHz to provide 3 MHz guard band with TN bands</w:t>
      </w:r>
    </w:p>
    <w:p w14:paraId="2BB20F98" w14:textId="77777777" w:rsidR="007A65DC" w:rsidRDefault="00897EC4" w:rsidP="00BA4B38">
      <w:pPr>
        <w:rPr>
          <w:lang w:val="en-US"/>
        </w:rPr>
      </w:pPr>
      <w:r>
        <w:rPr>
          <w:lang w:val="en-US"/>
        </w:rPr>
        <w:t xml:space="preserve">which has the obvious disadvantage of un-utilized spectrum.  </w:t>
      </w:r>
      <w:r w:rsidR="001E4CCF">
        <w:rPr>
          <w:lang w:val="en-US"/>
        </w:rPr>
        <w:t xml:space="preserve">Given that the </w:t>
      </w:r>
      <w:r>
        <w:rPr>
          <w:lang w:val="en-US"/>
        </w:rPr>
        <w:t xml:space="preserve">extended L </w:t>
      </w:r>
      <w:r w:rsidR="001E4CCF">
        <w:rPr>
          <w:lang w:val="en-US"/>
        </w:rPr>
        <w:t>band</w:t>
      </w:r>
      <w:r w:rsidR="007A65DC">
        <w:rPr>
          <w:lang w:val="en-US"/>
        </w:rPr>
        <w:t xml:space="preserve">, </w:t>
      </w:r>
      <w:r>
        <w:rPr>
          <w:lang w:val="en-US"/>
        </w:rPr>
        <w:t>assuming the L band</w:t>
      </w:r>
      <w:r w:rsidR="007A65DC">
        <w:rPr>
          <w:lang w:val="en-US"/>
        </w:rPr>
        <w:t xml:space="preserve"> (Band n255) is not available,</w:t>
      </w:r>
      <w:r w:rsidR="001E4CCF">
        <w:rPr>
          <w:lang w:val="en-US"/>
        </w:rPr>
        <w:t xml:space="preserve"> is only 2x7 MHz to being with, </w:t>
      </w:r>
      <w:r w:rsidR="00085FDE">
        <w:rPr>
          <w:lang w:val="en-US"/>
        </w:rPr>
        <w:t xml:space="preserve">truncating 3 MHz of the downlink is a severe penalty.  </w:t>
      </w:r>
    </w:p>
    <w:p w14:paraId="1E9354DC" w14:textId="2CB218BB" w:rsidR="00BC7094" w:rsidRDefault="00E07B39" w:rsidP="00BA4B38">
      <w:pPr>
        <w:rPr>
          <w:lang w:val="en-US"/>
        </w:rPr>
      </w:pPr>
      <w:r>
        <w:rPr>
          <w:lang w:val="en-US"/>
        </w:rPr>
        <w:t xml:space="preserve">To review, the ECC Report 263 </w:t>
      </w:r>
      <w:r w:rsidR="00CE04BC">
        <w:rPr>
          <w:lang w:val="en-US"/>
        </w:rPr>
        <w:t xml:space="preserve">concludes the </w:t>
      </w:r>
      <w:proofErr w:type="gramStart"/>
      <w:r w:rsidR="00CE04BC">
        <w:rPr>
          <w:lang w:val="en-US"/>
        </w:rPr>
        <w:t>following</w:t>
      </w:r>
      <w:proofErr w:type="gramEnd"/>
    </w:p>
    <w:p w14:paraId="30EB8B0F" w14:textId="77777777" w:rsidR="00CE04BC" w:rsidRPr="00CE04BC" w:rsidRDefault="00CE04BC" w:rsidP="00E65FD5">
      <w:pPr>
        <w:spacing w:before="240" w:after="60"/>
        <w:ind w:left="630" w:right="811" w:hanging="90"/>
        <w:jc w:val="both"/>
        <w:rPr>
          <w:rFonts w:ascii="Arial" w:eastAsia="Calibri" w:hAnsi="Arial"/>
          <w:szCs w:val="22"/>
        </w:rPr>
      </w:pPr>
      <w:r w:rsidRPr="00CE04BC">
        <w:rPr>
          <w:rFonts w:ascii="Arial" w:eastAsia="Calibri" w:hAnsi="Arial"/>
          <w:szCs w:val="22"/>
        </w:rPr>
        <w:t xml:space="preserve">Based on the </w:t>
      </w:r>
      <w:proofErr w:type="gramStart"/>
      <w:r w:rsidRPr="00CE04BC">
        <w:rPr>
          <w:rFonts w:ascii="Arial" w:eastAsia="Calibri" w:hAnsi="Arial"/>
          <w:szCs w:val="22"/>
        </w:rPr>
        <w:t>final results</w:t>
      </w:r>
      <w:proofErr w:type="gramEnd"/>
      <w:r w:rsidRPr="00CE04BC">
        <w:rPr>
          <w:rFonts w:ascii="Arial" w:eastAsia="Calibri" w:hAnsi="Arial"/>
          <w:szCs w:val="22"/>
        </w:rPr>
        <w:t xml:space="preserve"> of its compatibility studies, it is concluded that: </w:t>
      </w:r>
    </w:p>
    <w:p w14:paraId="5742900C" w14:textId="77777777" w:rsidR="00CE04BC" w:rsidRPr="00CE04BC" w:rsidRDefault="00CE04BC" w:rsidP="00E65FD5">
      <w:pPr>
        <w:tabs>
          <w:tab w:val="left" w:pos="680"/>
        </w:tabs>
        <w:spacing w:before="60" w:after="0"/>
        <w:ind w:left="630" w:right="811" w:hanging="90"/>
        <w:jc w:val="both"/>
        <w:rPr>
          <w:rFonts w:ascii="Arial" w:eastAsia="Calibri" w:hAnsi="Arial"/>
          <w:szCs w:val="22"/>
        </w:rPr>
      </w:pPr>
      <w:r w:rsidRPr="00CE04BC">
        <w:rPr>
          <w:rFonts w:ascii="Arial" w:eastAsia="Calibri" w:hAnsi="Arial"/>
          <w:szCs w:val="22"/>
        </w:rPr>
        <w:t xml:space="preserve">The minimum in-band blocking characteristic for land mobile earth stations receivers from a 5 MHz broadband signal interferer (LTE) operating below 1518 MHz shall be </w:t>
      </w:r>
      <w:r w:rsidRPr="00CE04BC">
        <w:rPr>
          <w:rFonts w:ascii="Arial" w:eastAsia="Calibri" w:hAnsi="Arial" w:cs="Arial"/>
          <w:szCs w:val="22"/>
        </w:rPr>
        <w:t>−</w:t>
      </w:r>
      <w:r w:rsidRPr="00CE04BC">
        <w:rPr>
          <w:rFonts w:ascii="Arial" w:eastAsia="Calibri" w:hAnsi="Arial"/>
          <w:szCs w:val="22"/>
        </w:rPr>
        <w:t>30dBm above 1520 MHz</w:t>
      </w:r>
      <w:r w:rsidRPr="00CE04BC">
        <w:rPr>
          <w:rFonts w:ascii="Arial" w:eastAsia="Calibri" w:hAnsi="Arial"/>
          <w:szCs w:val="22"/>
          <w:vertAlign w:val="superscript"/>
        </w:rPr>
        <w:footnoteReference w:id="1"/>
      </w:r>
      <w:r w:rsidRPr="00CE04BC">
        <w:rPr>
          <w:rFonts w:ascii="Arial" w:eastAsia="Calibri" w:hAnsi="Arial"/>
          <w:szCs w:val="22"/>
        </w:rPr>
        <w:t>;</w:t>
      </w:r>
    </w:p>
    <w:p w14:paraId="2F9CEEC8" w14:textId="77777777" w:rsidR="00CE04BC" w:rsidRPr="00CE04BC" w:rsidRDefault="00CE04BC" w:rsidP="00E65FD5">
      <w:pPr>
        <w:tabs>
          <w:tab w:val="left" w:pos="680"/>
        </w:tabs>
        <w:spacing w:before="60" w:after="0"/>
        <w:ind w:left="630" w:right="811" w:hanging="90"/>
        <w:jc w:val="both"/>
        <w:rPr>
          <w:rFonts w:ascii="Arial" w:eastAsia="Calibri" w:hAnsi="Arial"/>
          <w:szCs w:val="22"/>
        </w:rPr>
      </w:pPr>
      <w:r w:rsidRPr="00CE04BC">
        <w:rPr>
          <w:rFonts w:ascii="Arial" w:eastAsia="Calibri" w:hAnsi="Arial"/>
          <w:szCs w:val="22"/>
        </w:rPr>
        <w:t xml:space="preserve">The base station unwanted emission limits </w:t>
      </w:r>
      <w:proofErr w:type="spellStart"/>
      <w:r w:rsidRPr="00CE04BC">
        <w:rPr>
          <w:rFonts w:ascii="Arial" w:eastAsia="Calibri" w:hAnsi="Arial"/>
          <w:szCs w:val="22"/>
        </w:rPr>
        <w:t>e.i.r.p</w:t>
      </w:r>
      <w:proofErr w:type="spellEnd"/>
      <w:r w:rsidRPr="00CE04BC">
        <w:rPr>
          <w:rFonts w:ascii="Arial" w:eastAsia="Calibri" w:hAnsi="Arial"/>
          <w:szCs w:val="22"/>
        </w:rPr>
        <w:t xml:space="preserve">. for a broadband signal interferer (LTE) operating below 1518 MHz shall be </w:t>
      </w:r>
      <w:r w:rsidRPr="00CE04BC">
        <w:rPr>
          <w:rFonts w:ascii="Arial" w:eastAsia="Calibri" w:hAnsi="Arial" w:cs="Arial"/>
          <w:szCs w:val="22"/>
        </w:rPr>
        <w:t>−</w:t>
      </w:r>
      <w:r w:rsidRPr="00CE04BC">
        <w:rPr>
          <w:rFonts w:ascii="Arial" w:eastAsia="Calibri" w:hAnsi="Arial"/>
          <w:szCs w:val="22"/>
        </w:rPr>
        <w:t>30dBm/MHz above 1520 </w:t>
      </w:r>
      <w:proofErr w:type="spellStart"/>
      <w:r w:rsidRPr="00CE04BC">
        <w:rPr>
          <w:rFonts w:ascii="Arial" w:eastAsia="Calibri" w:hAnsi="Arial"/>
          <w:szCs w:val="22"/>
        </w:rPr>
        <w:t>MHz.</w:t>
      </w:r>
      <w:proofErr w:type="spellEnd"/>
      <w:r w:rsidRPr="00CE04BC">
        <w:rPr>
          <w:rFonts w:ascii="Arial" w:eastAsia="Calibri" w:hAnsi="Arial"/>
          <w:szCs w:val="22"/>
        </w:rPr>
        <w:t xml:space="preserve"> This figure is 10 dB more stringent than ECC Decision (13)03 due to a different service in the adjacent band.</w:t>
      </w:r>
    </w:p>
    <w:p w14:paraId="32814101" w14:textId="77777777" w:rsidR="00CE04BC" w:rsidRPr="00CE04BC" w:rsidRDefault="00CE04BC" w:rsidP="00E65FD5">
      <w:pPr>
        <w:spacing w:before="240" w:after="60"/>
        <w:ind w:left="630" w:right="811" w:hanging="90"/>
        <w:jc w:val="both"/>
        <w:rPr>
          <w:rFonts w:ascii="Arial" w:eastAsia="Calibri" w:hAnsi="Arial"/>
          <w:szCs w:val="22"/>
        </w:rPr>
      </w:pPr>
      <w:r w:rsidRPr="00CE04BC">
        <w:rPr>
          <w:rFonts w:ascii="Arial" w:eastAsia="Calibri" w:hAnsi="Arial"/>
          <w:szCs w:val="22"/>
        </w:rPr>
        <w:t>It is noted that the IMT block ends at 1517 </w:t>
      </w:r>
      <w:proofErr w:type="spellStart"/>
      <w:r w:rsidRPr="00CE04BC">
        <w:rPr>
          <w:rFonts w:ascii="Arial" w:eastAsia="Calibri" w:hAnsi="Arial"/>
          <w:szCs w:val="22"/>
        </w:rPr>
        <w:t>MHz.</w:t>
      </w:r>
      <w:proofErr w:type="spellEnd"/>
    </w:p>
    <w:p w14:paraId="476B8B42" w14:textId="4D40E83B" w:rsidR="00CE04BC" w:rsidRDefault="00CE04BC" w:rsidP="00E65FD5">
      <w:pPr>
        <w:ind w:left="630" w:right="811" w:hanging="90"/>
        <w:rPr>
          <w:lang w:val="en-US"/>
        </w:rPr>
      </w:pPr>
    </w:p>
    <w:p w14:paraId="2CF46D6B" w14:textId="77777777" w:rsidR="00AA6D42" w:rsidRPr="00AA6D42" w:rsidRDefault="00AA6D42" w:rsidP="00E65FD5">
      <w:pPr>
        <w:widowControl w:val="0"/>
        <w:tabs>
          <w:tab w:val="left" w:pos="284"/>
        </w:tabs>
        <w:spacing w:before="60" w:after="0"/>
        <w:ind w:left="630" w:right="811" w:hanging="90"/>
        <w:jc w:val="both"/>
        <w:rPr>
          <w:rFonts w:ascii="Arial" w:eastAsia="Calibri" w:hAnsi="Arial"/>
          <w:sz w:val="16"/>
          <w:szCs w:val="16"/>
          <w:lang w:val="en-US"/>
          <w14:cntxtAlts/>
        </w:rPr>
      </w:pPr>
      <w:r w:rsidRPr="00AA6D42">
        <w:rPr>
          <w:rFonts w:ascii="Arial" w:eastAsia="Calibri" w:hAnsi="Arial"/>
          <w:szCs w:val="16"/>
          <w:vertAlign w:val="superscript"/>
          <w:lang w:val="en-US"/>
          <w14:cntxtAlts/>
        </w:rPr>
        <w:footnoteRef/>
      </w:r>
      <w:r w:rsidRPr="00AA6D42">
        <w:rPr>
          <w:rFonts w:ascii="Arial" w:eastAsia="Calibri" w:hAnsi="Arial"/>
          <w:sz w:val="16"/>
          <w:szCs w:val="16"/>
          <w:lang w:val="en-US"/>
          <w14:cntxtAlts/>
        </w:rPr>
        <w:t xml:space="preserve"> when the MES operates above 1520 MHz</w:t>
      </w:r>
    </w:p>
    <w:p w14:paraId="4E19EE42" w14:textId="77777777" w:rsidR="00C955E7" w:rsidRDefault="00C955E7" w:rsidP="00BA4B38">
      <w:pPr>
        <w:rPr>
          <w:lang w:val="en-US"/>
        </w:rPr>
      </w:pPr>
    </w:p>
    <w:p w14:paraId="3592448C" w14:textId="0B5CB0DD" w:rsidR="00BC7094" w:rsidRDefault="00D13258" w:rsidP="00BA4B38">
      <w:pPr>
        <w:rPr>
          <w:lang w:val="en-US"/>
        </w:rPr>
      </w:pPr>
      <w:r>
        <w:rPr>
          <w:lang w:val="en-US"/>
        </w:rPr>
        <w:t>Our</w:t>
      </w:r>
      <w:r w:rsidR="00996F68">
        <w:rPr>
          <w:lang w:val="en-US"/>
        </w:rPr>
        <w:t xml:space="preserve"> interpretation</w:t>
      </w:r>
      <w:r w:rsidR="00AA6D42">
        <w:rPr>
          <w:lang w:val="en-US"/>
        </w:rPr>
        <w:t xml:space="preserve"> from this conclusion but also the body of the report </w:t>
      </w:r>
      <w:r>
        <w:rPr>
          <w:lang w:val="en-US"/>
        </w:rPr>
        <w:t>is</w:t>
      </w:r>
      <w:r w:rsidR="00AA6D42">
        <w:rPr>
          <w:lang w:val="en-US"/>
        </w:rPr>
        <w:t xml:space="preserve"> the ECC recommends a 3 MHz frequency separation between the upper edge of the IMT </w:t>
      </w:r>
      <w:r w:rsidR="00C432ED">
        <w:rPr>
          <w:lang w:val="en-US"/>
        </w:rPr>
        <w:t>(</w:t>
      </w:r>
      <w:r w:rsidR="00AA6D42">
        <w:rPr>
          <w:lang w:val="en-US"/>
        </w:rPr>
        <w:t xml:space="preserve">which is assumed to be 1517 MHz </w:t>
      </w:r>
      <w:r w:rsidR="00C432ED">
        <w:rPr>
          <w:lang w:val="en-US"/>
        </w:rPr>
        <w:t xml:space="preserve">for Europe but potentially up to 1518 MHz in other countries in the Middle East) </w:t>
      </w:r>
      <w:r w:rsidR="00AA6D42">
        <w:rPr>
          <w:lang w:val="en-US"/>
        </w:rPr>
        <w:t xml:space="preserve">and the lower edge of the MSS band which is assumed to operate above 1520 </w:t>
      </w:r>
      <w:proofErr w:type="spellStart"/>
      <w:r w:rsidR="00AA6D42">
        <w:rPr>
          <w:lang w:val="en-US"/>
        </w:rPr>
        <w:t>MHz.</w:t>
      </w:r>
      <w:proofErr w:type="spellEnd"/>
      <w:r w:rsidR="00AA6D42">
        <w:rPr>
          <w:lang w:val="en-US"/>
        </w:rPr>
        <w:t xml:space="preserve">  Moreover, the ECC concludes that the MES </w:t>
      </w:r>
      <w:r w:rsidR="008A14AB">
        <w:rPr>
          <w:lang w:val="en-US"/>
        </w:rPr>
        <w:t xml:space="preserve">receiver should be resilient to an LTE blocking signal </w:t>
      </w:r>
      <w:r w:rsidR="00996F68">
        <w:rPr>
          <w:lang w:val="en-US"/>
        </w:rPr>
        <w:t xml:space="preserve">at -30 dBm and the IMT OOBE should be at least -30 dBm/MHz with the 3 MHz guard band.  </w:t>
      </w:r>
      <w:r w:rsidR="001C6BD8">
        <w:rPr>
          <w:lang w:val="en-US"/>
        </w:rPr>
        <w:t xml:space="preserve">In fact, </w:t>
      </w:r>
      <w:r w:rsidR="0058511D">
        <w:rPr>
          <w:lang w:val="en-US"/>
        </w:rPr>
        <w:t>Inmarsat</w:t>
      </w:r>
      <w:r w:rsidR="00D4323A">
        <w:rPr>
          <w:lang w:val="en-US"/>
        </w:rPr>
        <w:t xml:space="preserve"> </w:t>
      </w:r>
      <w:r w:rsidR="00AC09AE">
        <w:rPr>
          <w:lang w:val="en-US"/>
        </w:rPr>
        <w:t xml:space="preserve">[4] </w:t>
      </w:r>
      <w:r w:rsidR="00D4323A">
        <w:rPr>
          <w:lang w:val="en-US"/>
        </w:rPr>
        <w:t>also recognizes the potential for “significant potential interference risk to MESs”</w:t>
      </w:r>
      <w:r w:rsidR="00BF52F4">
        <w:rPr>
          <w:lang w:val="en-US"/>
        </w:rPr>
        <w:t xml:space="preserve"> from MBB in the 1427 – 1518 MHz band</w:t>
      </w:r>
      <w:r w:rsidR="00461486">
        <w:rPr>
          <w:lang w:val="en-US"/>
        </w:rPr>
        <w:t xml:space="preserve">.  </w:t>
      </w:r>
      <w:r w:rsidR="00461486">
        <w:rPr>
          <w:lang w:val="en-US"/>
        </w:rPr>
        <w:lastRenderedPageBreak/>
        <w:t xml:space="preserve">Inmarsat </w:t>
      </w:r>
      <w:r w:rsidR="00D81E77">
        <w:rPr>
          <w:lang w:val="en-US"/>
        </w:rPr>
        <w:t>endorses the ECC recommended</w:t>
      </w:r>
      <w:r w:rsidR="00461486">
        <w:rPr>
          <w:lang w:val="en-US"/>
        </w:rPr>
        <w:t xml:space="preserve"> 3 MHz guard band between MBB and MSS to </w:t>
      </w:r>
      <w:r w:rsidR="00CD643F">
        <w:rPr>
          <w:lang w:val="en-US"/>
        </w:rPr>
        <w:t xml:space="preserve">mitigate the </w:t>
      </w:r>
      <w:proofErr w:type="gramStart"/>
      <w:r w:rsidR="00CD643F">
        <w:rPr>
          <w:lang w:val="en-US"/>
        </w:rPr>
        <w:t>interference</w:t>
      </w:r>
      <w:r w:rsidR="00AC09AE">
        <w:rPr>
          <w:lang w:val="en-US"/>
        </w:rPr>
        <w:t>, but</w:t>
      </w:r>
      <w:proofErr w:type="gramEnd"/>
      <w:r w:rsidR="00AC09AE">
        <w:rPr>
          <w:lang w:val="en-US"/>
        </w:rPr>
        <w:t xml:space="preserve"> proposes to place the guard band inside the MBB (IMT) band instead of the MSS band.</w:t>
      </w:r>
      <w:r w:rsidR="001C6BD8">
        <w:rPr>
          <w:lang w:val="en-US"/>
        </w:rPr>
        <w:t xml:space="preserve"> </w:t>
      </w:r>
    </w:p>
    <w:p w14:paraId="6867B4A5" w14:textId="46F3710C" w:rsidR="00B54B70" w:rsidRDefault="00B54B70" w:rsidP="00BA4B38">
      <w:pPr>
        <w:rPr>
          <w:lang w:val="en-US"/>
        </w:rPr>
      </w:pPr>
      <w:r>
        <w:rPr>
          <w:lang w:val="en-US"/>
        </w:rPr>
        <w:t xml:space="preserve">Based on the above, the utility of a 3 MHz guard band between the IMT and </w:t>
      </w:r>
      <w:r w:rsidR="00640A3E">
        <w:rPr>
          <w:lang w:val="en-US"/>
        </w:rPr>
        <w:t xml:space="preserve">MSS band </w:t>
      </w:r>
      <w:r w:rsidR="00DE5C83">
        <w:rPr>
          <w:lang w:val="en-US"/>
        </w:rPr>
        <w:t xml:space="preserve">appears to be </w:t>
      </w:r>
      <w:r w:rsidR="002113A2">
        <w:rPr>
          <w:lang w:val="en-US"/>
        </w:rPr>
        <w:t>justified</w:t>
      </w:r>
      <w:r w:rsidR="00640A3E">
        <w:rPr>
          <w:lang w:val="en-US"/>
        </w:rPr>
        <w:t xml:space="preserve">.  The following </w:t>
      </w:r>
      <w:r w:rsidR="00267797">
        <w:rPr>
          <w:lang w:val="en-US"/>
        </w:rPr>
        <w:t>options are listed below for discussion.</w:t>
      </w:r>
    </w:p>
    <w:p w14:paraId="5F712FDF" w14:textId="0B461971" w:rsidR="00640A3E" w:rsidRDefault="00F53E6F" w:rsidP="00640A3E">
      <w:pPr>
        <w:pStyle w:val="ListParagraph"/>
        <w:numPr>
          <w:ilvl w:val="0"/>
          <w:numId w:val="18"/>
        </w:numPr>
        <w:rPr>
          <w:lang w:val="en-US"/>
        </w:rPr>
      </w:pPr>
      <w:r>
        <w:rPr>
          <w:lang w:val="en-US"/>
        </w:rPr>
        <w:t>T</w:t>
      </w:r>
      <w:r w:rsidR="00640A3E">
        <w:rPr>
          <w:lang w:val="en-US"/>
        </w:rPr>
        <w:t xml:space="preserve">he guard band </w:t>
      </w:r>
      <w:r w:rsidR="004D6342">
        <w:rPr>
          <w:lang w:val="en-US"/>
        </w:rPr>
        <w:t>is</w:t>
      </w:r>
      <w:r w:rsidR="00640A3E">
        <w:rPr>
          <w:lang w:val="en-US"/>
        </w:rPr>
        <w:t xml:space="preserve"> placed </w:t>
      </w:r>
      <w:r w:rsidR="004D6342">
        <w:rPr>
          <w:lang w:val="en-US"/>
        </w:rPr>
        <w:t>1</w:t>
      </w:r>
      <w:r>
        <w:rPr>
          <w:lang w:val="en-US"/>
        </w:rPr>
        <w:t>515 – 1518 MHz</w:t>
      </w:r>
      <w:r w:rsidR="004D6342">
        <w:rPr>
          <w:lang w:val="en-US"/>
        </w:rPr>
        <w:t xml:space="preserve"> </w:t>
      </w:r>
      <w:r w:rsidR="00831AC0">
        <w:rPr>
          <w:lang w:val="en-US"/>
        </w:rPr>
        <w:t xml:space="preserve">(proposal in </w:t>
      </w:r>
      <w:r w:rsidR="004D6342">
        <w:rPr>
          <w:lang w:val="en-US"/>
        </w:rPr>
        <w:t>[4]</w:t>
      </w:r>
      <w:r w:rsidR="00831AC0">
        <w:rPr>
          <w:lang w:val="en-US"/>
        </w:rPr>
        <w:t>)</w:t>
      </w:r>
      <w:r w:rsidR="007A346B">
        <w:rPr>
          <w:lang w:val="en-US"/>
        </w:rPr>
        <w:t xml:space="preserve"> and UE blocking requirements for MSS band</w:t>
      </w:r>
      <w:r w:rsidR="006E2A7C">
        <w:rPr>
          <w:lang w:val="en-US"/>
        </w:rPr>
        <w:t xml:space="preserve"> are specified </w:t>
      </w:r>
      <w:r w:rsidR="007A346B">
        <w:rPr>
          <w:lang w:val="en-US"/>
        </w:rPr>
        <w:t>according to ECC Report 263</w:t>
      </w:r>
      <w:r w:rsidR="006E2A7C">
        <w:rPr>
          <w:lang w:val="en-US"/>
        </w:rPr>
        <w:t>,</w:t>
      </w:r>
    </w:p>
    <w:p w14:paraId="6CA8BF52" w14:textId="18000BA6" w:rsidR="004D6342" w:rsidRDefault="004D6342" w:rsidP="00640A3E">
      <w:pPr>
        <w:pStyle w:val="ListParagraph"/>
        <w:numPr>
          <w:ilvl w:val="0"/>
          <w:numId w:val="18"/>
        </w:numPr>
        <w:rPr>
          <w:lang w:val="en-US"/>
        </w:rPr>
      </w:pPr>
      <w:r>
        <w:rPr>
          <w:lang w:val="en-US"/>
        </w:rPr>
        <w:t xml:space="preserve">The guard band is placed 1518 – 1521 MHz </w:t>
      </w:r>
      <w:r w:rsidR="00831AC0">
        <w:rPr>
          <w:lang w:val="en-US"/>
        </w:rPr>
        <w:t xml:space="preserve">(proposal in </w:t>
      </w:r>
      <w:r>
        <w:rPr>
          <w:lang w:val="en-US"/>
        </w:rPr>
        <w:t>[</w:t>
      </w:r>
      <w:r w:rsidR="001D48B2">
        <w:rPr>
          <w:lang w:val="en-US"/>
        </w:rPr>
        <w:t>3</w:t>
      </w:r>
      <w:r>
        <w:rPr>
          <w:lang w:val="en-US"/>
        </w:rPr>
        <w:t>]</w:t>
      </w:r>
      <w:r w:rsidR="00831AC0">
        <w:rPr>
          <w:lang w:val="en-US"/>
        </w:rPr>
        <w:t>)</w:t>
      </w:r>
      <w:r w:rsidR="007A346B">
        <w:rPr>
          <w:lang w:val="en-US"/>
        </w:rPr>
        <w:t xml:space="preserve"> and UE blocking requirements for MSS band</w:t>
      </w:r>
      <w:r w:rsidR="006E2A7C">
        <w:rPr>
          <w:lang w:val="en-US"/>
        </w:rPr>
        <w:t xml:space="preserve"> are specified</w:t>
      </w:r>
      <w:r w:rsidR="007A346B">
        <w:rPr>
          <w:lang w:val="en-US"/>
        </w:rPr>
        <w:t xml:space="preserve"> according to ECC Report 263</w:t>
      </w:r>
      <w:r w:rsidR="006E2A7C">
        <w:rPr>
          <w:lang w:val="en-US"/>
        </w:rPr>
        <w:t>,</w:t>
      </w:r>
    </w:p>
    <w:p w14:paraId="6AC31AC6" w14:textId="094817C4" w:rsidR="001D48B2" w:rsidRDefault="001D48B2" w:rsidP="00640A3E">
      <w:pPr>
        <w:pStyle w:val="ListParagraph"/>
        <w:numPr>
          <w:ilvl w:val="0"/>
          <w:numId w:val="18"/>
        </w:numPr>
        <w:rPr>
          <w:lang w:val="en-US"/>
        </w:rPr>
      </w:pPr>
      <w:r>
        <w:rPr>
          <w:lang w:val="en-US"/>
        </w:rPr>
        <w:t>The need for a guard band, its width</w:t>
      </w:r>
      <w:r w:rsidR="00856BA3">
        <w:rPr>
          <w:lang w:val="en-US"/>
        </w:rPr>
        <w:t>, the IMT BS OOBE, and the UE blocking should be independently studied by 3GPP rather than following the outcome of ECC Report 263,</w:t>
      </w:r>
    </w:p>
    <w:p w14:paraId="2DC47A45" w14:textId="1A8938A6" w:rsidR="004F1FF4" w:rsidRDefault="004F1FF4" w:rsidP="00640A3E">
      <w:pPr>
        <w:pStyle w:val="ListParagraph"/>
        <w:numPr>
          <w:ilvl w:val="0"/>
          <w:numId w:val="18"/>
        </w:numPr>
        <w:rPr>
          <w:lang w:val="en-US"/>
        </w:rPr>
      </w:pPr>
      <w:r>
        <w:rPr>
          <w:lang w:val="en-US"/>
        </w:rPr>
        <w:t>The guard band</w:t>
      </w:r>
      <w:r w:rsidR="00065585">
        <w:rPr>
          <w:lang w:val="en-US"/>
        </w:rPr>
        <w:t xml:space="preserve"> is not “hardcoded” into the </w:t>
      </w:r>
      <w:r w:rsidR="00940CC8">
        <w:rPr>
          <w:lang w:val="en-US"/>
        </w:rPr>
        <w:t xml:space="preserve">3GPP </w:t>
      </w:r>
      <w:r w:rsidR="00065585">
        <w:rPr>
          <w:lang w:val="en-US"/>
        </w:rPr>
        <w:t>band definitions</w:t>
      </w:r>
      <w:r w:rsidR="00940CC8">
        <w:rPr>
          <w:lang w:val="en-US"/>
        </w:rPr>
        <w:t xml:space="preserve"> but rather left to </w:t>
      </w:r>
      <w:r w:rsidR="00F90256">
        <w:rPr>
          <w:lang w:val="en-US"/>
        </w:rPr>
        <w:t xml:space="preserve">the deployment of channels either in the IMT band and/or the MSS band to </w:t>
      </w:r>
      <w:r w:rsidR="00267797">
        <w:rPr>
          <w:lang w:val="en-US"/>
        </w:rPr>
        <w:t>enable a 3 MHz guard band,</w:t>
      </w:r>
      <w:r w:rsidR="006E2A7C">
        <w:rPr>
          <w:lang w:val="en-US"/>
        </w:rPr>
        <w:t xml:space="preserve"> UE blocking requirements for the MSS band are specified according to ECC Report 263</w:t>
      </w:r>
    </w:p>
    <w:p w14:paraId="1D4EFD9E" w14:textId="54A16AEB" w:rsidR="0076285E" w:rsidRPr="00640A3E" w:rsidRDefault="0076285E" w:rsidP="00640A3E">
      <w:pPr>
        <w:pStyle w:val="ListParagraph"/>
        <w:numPr>
          <w:ilvl w:val="0"/>
          <w:numId w:val="18"/>
        </w:numPr>
        <w:rPr>
          <w:lang w:val="en-US"/>
        </w:rPr>
      </w:pPr>
      <w:r>
        <w:rPr>
          <w:lang w:val="en-US"/>
        </w:rPr>
        <w:t xml:space="preserve">Option 5.  Define two extended L bands – one with </w:t>
      </w:r>
      <w:r w:rsidR="00E72D2D">
        <w:rPr>
          <w:lang w:val="en-US"/>
        </w:rPr>
        <w:t>3 MHz guard band and one without.  UE blocking is specified according to ECC report 263</w:t>
      </w:r>
      <w:r w:rsidR="00321E68">
        <w:rPr>
          <w:lang w:val="en-US"/>
        </w:rPr>
        <w:t xml:space="preserve"> for the band with 3 MHz guard band.  In this way, the operator can choose which band to deploy depending on whether coexistence with IMT is required.</w:t>
      </w:r>
    </w:p>
    <w:p w14:paraId="0458488C" w14:textId="7572BD04" w:rsidR="00C14158" w:rsidRDefault="00C14158" w:rsidP="00BA4B38">
      <w:pPr>
        <w:rPr>
          <w:lang w:val="en-US"/>
        </w:rPr>
      </w:pPr>
      <w:r w:rsidRPr="0016725D">
        <w:rPr>
          <w:u w:val="single"/>
          <w:lang w:val="en-US"/>
        </w:rPr>
        <w:t>Option 1</w:t>
      </w:r>
      <w:r>
        <w:rPr>
          <w:lang w:val="en-US"/>
        </w:rPr>
        <w:t xml:space="preserve">.  </w:t>
      </w:r>
      <w:r w:rsidR="00474FEE">
        <w:rPr>
          <w:lang w:val="en-US"/>
        </w:rPr>
        <w:t xml:space="preserve">Since 3GPP </w:t>
      </w:r>
      <w:r w:rsidR="004F68F6">
        <w:rPr>
          <w:lang w:val="en-US"/>
        </w:rPr>
        <w:t xml:space="preserve">bands 74/n74, 75/n75, n92, and n94 have already been defined up to 1517 MHz or 1518 MHz, </w:t>
      </w:r>
      <w:r w:rsidR="008A482B">
        <w:rPr>
          <w:lang w:val="en-US"/>
        </w:rPr>
        <w:t xml:space="preserve">equipment has already been developed, operators may have already deployed networks, </w:t>
      </w:r>
      <w:r w:rsidR="002C7FD7">
        <w:rPr>
          <w:lang w:val="en-US"/>
        </w:rPr>
        <w:t xml:space="preserve">redefining these bands to enable a guard band at their upper edge is not recommended.  </w:t>
      </w:r>
    </w:p>
    <w:p w14:paraId="4DCA3026" w14:textId="058D23BE" w:rsidR="00211973" w:rsidRDefault="00211973" w:rsidP="00BA4B38">
      <w:pPr>
        <w:rPr>
          <w:lang w:val="en-US"/>
        </w:rPr>
      </w:pPr>
      <w:r w:rsidRPr="0016725D">
        <w:rPr>
          <w:u w:val="single"/>
          <w:lang w:val="en-US"/>
        </w:rPr>
        <w:t>Option 2</w:t>
      </w:r>
      <w:r>
        <w:rPr>
          <w:lang w:val="en-US"/>
        </w:rPr>
        <w:t xml:space="preserve">.  This is the most straightforward option because it creates the necessary guard band, </w:t>
      </w:r>
      <w:r w:rsidR="00533AE7">
        <w:rPr>
          <w:lang w:val="en-US"/>
        </w:rPr>
        <w:t>this is the newest band to be defined</w:t>
      </w:r>
      <w:r w:rsidR="008D4234">
        <w:rPr>
          <w:lang w:val="en-US"/>
        </w:rPr>
        <w:t xml:space="preserve"> without any prior 3GPP deployment</w:t>
      </w:r>
      <w:r w:rsidR="00533AE7">
        <w:rPr>
          <w:lang w:val="en-US"/>
        </w:rPr>
        <w:t xml:space="preserve"> (i.e., it is not a legacy 3GPP band), and defining the band in this manner allows the UE Rx filter to </w:t>
      </w:r>
      <w:r w:rsidR="0085248D">
        <w:rPr>
          <w:lang w:val="en-US"/>
        </w:rPr>
        <w:t xml:space="preserve">provide protection against blocking from the IMT band.  However, it is recognized that this option robs </w:t>
      </w:r>
      <w:r w:rsidR="00D93757">
        <w:rPr>
          <w:lang w:val="en-US"/>
        </w:rPr>
        <w:t>43% of the downlink bandwidth</w:t>
      </w:r>
      <w:r w:rsidR="001D1249">
        <w:rPr>
          <w:lang w:val="en-US"/>
        </w:rPr>
        <w:t xml:space="preserve"> away from the extended L band.</w:t>
      </w:r>
    </w:p>
    <w:p w14:paraId="21A9DB71" w14:textId="566AA856" w:rsidR="007417A0" w:rsidRDefault="007417A0" w:rsidP="00BA4B38">
      <w:pPr>
        <w:rPr>
          <w:lang w:val="en-US"/>
        </w:rPr>
      </w:pPr>
      <w:r w:rsidRPr="0016725D">
        <w:rPr>
          <w:u w:val="single"/>
          <w:lang w:val="en-US"/>
        </w:rPr>
        <w:t>Option 3</w:t>
      </w:r>
      <w:r>
        <w:rPr>
          <w:lang w:val="en-US"/>
        </w:rPr>
        <w:t xml:space="preserve">.  An independent coexistence study </w:t>
      </w:r>
      <w:r w:rsidR="00D417ED">
        <w:rPr>
          <w:lang w:val="en-US"/>
        </w:rPr>
        <w:t xml:space="preserve">in 3GPP can be expected to be time intensive and very likely to produce a similar outcome to the </w:t>
      </w:r>
      <w:r w:rsidR="00A654BB">
        <w:rPr>
          <w:lang w:val="en-US"/>
        </w:rPr>
        <w:t>comprehensive</w:t>
      </w:r>
      <w:r w:rsidR="00D417ED">
        <w:rPr>
          <w:lang w:val="en-US"/>
        </w:rPr>
        <w:t xml:space="preserve"> study already </w:t>
      </w:r>
      <w:r w:rsidR="00A654BB">
        <w:rPr>
          <w:lang w:val="en-US"/>
        </w:rPr>
        <w:t xml:space="preserve">performed by the </w:t>
      </w:r>
      <w:r w:rsidR="00D417ED">
        <w:rPr>
          <w:lang w:val="en-US"/>
        </w:rPr>
        <w:t>ECC</w:t>
      </w:r>
      <w:r w:rsidR="00E84551">
        <w:rPr>
          <w:lang w:val="en-US"/>
        </w:rPr>
        <w:t>.  This option is not recommended.</w:t>
      </w:r>
    </w:p>
    <w:p w14:paraId="34C6688D" w14:textId="3CE885A1" w:rsidR="001357BB" w:rsidRDefault="00E84551" w:rsidP="00BA4B38">
      <w:pPr>
        <w:rPr>
          <w:lang w:val="en-US"/>
        </w:rPr>
      </w:pPr>
      <w:r w:rsidRPr="0016725D">
        <w:rPr>
          <w:u w:val="single"/>
          <w:lang w:val="en-US"/>
        </w:rPr>
        <w:t>Option 4</w:t>
      </w:r>
      <w:r>
        <w:rPr>
          <w:lang w:val="en-US"/>
        </w:rPr>
        <w:t xml:space="preserve">.  </w:t>
      </w:r>
      <w:r w:rsidR="000435CE">
        <w:rPr>
          <w:lang w:val="en-US"/>
        </w:rPr>
        <w:t xml:space="preserve">This </w:t>
      </w:r>
      <w:r w:rsidR="00A0532B">
        <w:rPr>
          <w:lang w:val="en-US"/>
        </w:rPr>
        <w:t xml:space="preserve">option is </w:t>
      </w:r>
      <w:r w:rsidR="00715764">
        <w:rPr>
          <w:lang w:val="en-US"/>
        </w:rPr>
        <w:t xml:space="preserve">redirecting </w:t>
      </w:r>
      <w:r w:rsidR="00A0532B">
        <w:rPr>
          <w:lang w:val="en-US"/>
        </w:rPr>
        <w:t>the problem to deployment.</w:t>
      </w:r>
      <w:r w:rsidR="00D81616">
        <w:rPr>
          <w:lang w:val="en-US"/>
        </w:rPr>
        <w:t xml:space="preserve">  It requires the NTN and TN operators in the same geographical area to coordinate their deployments to ensure a 3 MHz</w:t>
      </w:r>
      <w:r w:rsidR="009C6084">
        <w:rPr>
          <w:lang w:val="en-US"/>
        </w:rPr>
        <w:t xml:space="preserve"> guard band.  </w:t>
      </w:r>
      <w:r w:rsidR="001E625C">
        <w:rPr>
          <w:lang w:val="en-US"/>
        </w:rPr>
        <w:t xml:space="preserve">Since neither the NTN </w:t>
      </w:r>
      <w:r w:rsidR="002A43F8">
        <w:rPr>
          <w:lang w:val="en-US"/>
        </w:rPr>
        <w:t xml:space="preserve">operator nor the TN operator is likely to </w:t>
      </w:r>
      <w:r w:rsidR="00146BAA">
        <w:rPr>
          <w:lang w:val="en-US"/>
        </w:rPr>
        <w:t xml:space="preserve">willingly </w:t>
      </w:r>
      <w:r w:rsidR="002A43F8">
        <w:rPr>
          <w:lang w:val="en-US"/>
        </w:rPr>
        <w:t xml:space="preserve">carve out a guard band in their own deployment, this option </w:t>
      </w:r>
      <w:r w:rsidR="00C63763">
        <w:rPr>
          <w:lang w:val="en-US"/>
        </w:rPr>
        <w:t xml:space="preserve">has a low probability of success.  </w:t>
      </w:r>
      <w:r w:rsidR="00D54B09">
        <w:rPr>
          <w:lang w:val="en-US"/>
        </w:rPr>
        <w:t xml:space="preserve">But the option does enable full use of the spectrum for deployments where there is no coexistence </w:t>
      </w:r>
      <w:proofErr w:type="gramStart"/>
      <w:r w:rsidR="00931CE8">
        <w:rPr>
          <w:lang w:val="en-US"/>
        </w:rPr>
        <w:t>concern;</w:t>
      </w:r>
      <w:proofErr w:type="gramEnd"/>
      <w:r w:rsidR="00931CE8">
        <w:rPr>
          <w:lang w:val="en-US"/>
        </w:rPr>
        <w:t xml:space="preserve"> i.e., if a TN network is not deployed.</w:t>
      </w:r>
      <w:r w:rsidR="001357BB">
        <w:rPr>
          <w:lang w:val="en-US"/>
        </w:rPr>
        <w:t xml:space="preserve">  Without embedding the guard band in the formal definition of the band</w:t>
      </w:r>
      <w:r w:rsidR="00C84A18">
        <w:rPr>
          <w:lang w:val="en-US"/>
        </w:rPr>
        <w:t xml:space="preserve"> range, the NTN UE Rx filter will not be able to reject the blocker</w:t>
      </w:r>
      <w:r w:rsidR="005A4A9A">
        <w:rPr>
          <w:lang w:val="en-US"/>
        </w:rPr>
        <w:t xml:space="preserve">.  Hence, blocking performance is </w:t>
      </w:r>
      <w:r w:rsidR="0076285E">
        <w:rPr>
          <w:lang w:val="en-US"/>
        </w:rPr>
        <w:t>diminished</w:t>
      </w:r>
      <w:r w:rsidR="005A4A9A">
        <w:rPr>
          <w:lang w:val="en-US"/>
        </w:rPr>
        <w:t xml:space="preserve"> for this option compared to options 1 and 2.</w:t>
      </w:r>
      <w:r w:rsidR="00146BAA">
        <w:rPr>
          <w:lang w:val="en-US"/>
        </w:rPr>
        <w:t xml:space="preserve">  However, since the Rx filter is not able to provide meaningful rejection </w:t>
      </w:r>
      <w:r w:rsidR="00146BAA" w:rsidRPr="00516011">
        <w:rPr>
          <w:lang w:val="en-US"/>
        </w:rPr>
        <w:t>(</w:t>
      </w:r>
      <w:r w:rsidR="00FF20B2" w:rsidRPr="00516011">
        <w:rPr>
          <w:lang w:val="en-US"/>
        </w:rPr>
        <w:t>additional</w:t>
      </w:r>
      <w:r w:rsidR="00146BAA" w:rsidRPr="00516011">
        <w:rPr>
          <w:lang w:val="en-US"/>
        </w:rPr>
        <w:t xml:space="preserve"> confirm</w:t>
      </w:r>
      <w:r w:rsidR="00FF20B2" w:rsidRPr="00516011">
        <w:rPr>
          <w:lang w:val="en-US"/>
        </w:rPr>
        <w:t>ation is welcomed</w:t>
      </w:r>
      <w:r w:rsidR="00146BAA" w:rsidRPr="00516011">
        <w:rPr>
          <w:lang w:val="en-US"/>
        </w:rPr>
        <w:t>)</w:t>
      </w:r>
      <w:r w:rsidR="00146BAA">
        <w:rPr>
          <w:lang w:val="en-US"/>
        </w:rPr>
        <w:t xml:space="preserve"> with only 3 MHz separation, the blocker advantage from the filter is </w:t>
      </w:r>
      <w:r w:rsidR="003B0AEE">
        <w:rPr>
          <w:lang w:val="en-US"/>
        </w:rPr>
        <w:t>available perhaps only from the second IMT channel.</w:t>
      </w:r>
    </w:p>
    <w:p w14:paraId="33F0EACA" w14:textId="24259446" w:rsidR="00E84551" w:rsidRDefault="001357BB" w:rsidP="00BA4B38">
      <w:pPr>
        <w:rPr>
          <w:lang w:val="en-US"/>
        </w:rPr>
      </w:pPr>
      <w:r w:rsidRPr="0016725D">
        <w:rPr>
          <w:u w:val="single"/>
          <w:lang w:val="en-US"/>
        </w:rPr>
        <w:t>Option 5</w:t>
      </w:r>
      <w:r>
        <w:rPr>
          <w:lang w:val="en-US"/>
        </w:rPr>
        <w:t>.</w:t>
      </w:r>
      <w:r w:rsidR="000C078B">
        <w:rPr>
          <w:lang w:val="en-US"/>
        </w:rPr>
        <w:t xml:space="preserve">  </w:t>
      </w:r>
      <w:r w:rsidR="003B0AEE">
        <w:rPr>
          <w:lang w:val="en-US"/>
        </w:rPr>
        <w:t>With this option f</w:t>
      </w:r>
      <w:r w:rsidR="00C775D4">
        <w:rPr>
          <w:lang w:val="en-US"/>
        </w:rPr>
        <w:t>or deployments where there is no coexistence, the full band is available</w:t>
      </w:r>
      <w:r w:rsidR="003B0AEE">
        <w:rPr>
          <w:lang w:val="en-US"/>
        </w:rPr>
        <w:t xml:space="preserve"> since the full 1518 – 1525 MHz band could be broadcast</w:t>
      </w:r>
      <w:r w:rsidR="00C775D4">
        <w:rPr>
          <w:lang w:val="en-US"/>
        </w:rPr>
        <w:t xml:space="preserve">.  For deployments where there is coexistence, </w:t>
      </w:r>
      <w:r w:rsidR="00DD3977">
        <w:rPr>
          <w:lang w:val="en-US"/>
        </w:rPr>
        <w:t xml:space="preserve">blocking performance of the NTN UE is </w:t>
      </w:r>
      <w:r w:rsidR="00887F8B">
        <w:rPr>
          <w:lang w:val="en-US"/>
        </w:rPr>
        <w:t xml:space="preserve">enhanced and IMT OOBE is reduced with a guard band according to ECC Report 263.  </w:t>
      </w:r>
      <w:r w:rsidR="003B0AEE">
        <w:rPr>
          <w:lang w:val="en-US"/>
        </w:rPr>
        <w:t xml:space="preserve">However, since the coverage area of the satellite is so vast and TN deployments can evolve over time, it may be challenging to identify which downlink beams must broadcast the truncated band and which ones can broadcast the full band.  Another </w:t>
      </w:r>
      <w:r w:rsidR="00887F8B">
        <w:rPr>
          <w:lang w:val="en-US"/>
        </w:rPr>
        <w:t xml:space="preserve">disadvantage of this option is the </w:t>
      </w:r>
      <w:r w:rsidR="004E2912">
        <w:rPr>
          <w:lang w:val="en-US"/>
        </w:rPr>
        <w:t xml:space="preserve">UE support.  It is unlikely for a UE to populate two separate </w:t>
      </w:r>
      <w:r w:rsidR="00CB79A9">
        <w:rPr>
          <w:lang w:val="en-US"/>
        </w:rPr>
        <w:t xml:space="preserve">RF </w:t>
      </w:r>
      <w:r w:rsidR="004E2912">
        <w:rPr>
          <w:lang w:val="en-US"/>
        </w:rPr>
        <w:t>filters</w:t>
      </w:r>
      <w:r w:rsidR="009D3F3B">
        <w:rPr>
          <w:lang w:val="en-US"/>
        </w:rPr>
        <w:t xml:space="preserve"> in its front-end.  Therefore, it should be expected that the UE front-end will consist of a filter with cutoff frequency at 1518 MHz (even for the band </w:t>
      </w:r>
      <w:r w:rsidR="00415725">
        <w:rPr>
          <w:lang w:val="en-US"/>
        </w:rPr>
        <w:t xml:space="preserve">starting at 1521 MHz) </w:t>
      </w:r>
      <w:r w:rsidR="009D3F3B">
        <w:rPr>
          <w:lang w:val="en-US"/>
        </w:rPr>
        <w:t xml:space="preserve">and therefore will not be able to provide rejection against </w:t>
      </w:r>
      <w:r w:rsidR="00415725">
        <w:rPr>
          <w:lang w:val="en-US"/>
        </w:rPr>
        <w:t xml:space="preserve">the IMT blocker.  </w:t>
      </w:r>
      <w:r w:rsidR="00CB79A9">
        <w:rPr>
          <w:lang w:val="en-US"/>
        </w:rPr>
        <w:t>The baseband filter, however, will be able to provide some rejection but cannot provide protection to the previous Rx chain stages such as the LNA and mixer.  Also, while t</w:t>
      </w:r>
      <w:r w:rsidR="00415725">
        <w:rPr>
          <w:lang w:val="en-US"/>
        </w:rPr>
        <w:t xml:space="preserve">he UE can still take advantage of the guard band to reduce the IMT BS OOBE, but UE blocking </w:t>
      </w:r>
      <w:r w:rsidR="00CB79A9">
        <w:rPr>
          <w:lang w:val="en-US"/>
        </w:rPr>
        <w:t xml:space="preserve">is expected to be </w:t>
      </w:r>
      <w:r w:rsidR="00415725">
        <w:rPr>
          <w:lang w:val="en-US"/>
        </w:rPr>
        <w:t>degrade</w:t>
      </w:r>
      <w:r w:rsidR="00CB79A9">
        <w:rPr>
          <w:lang w:val="en-US"/>
        </w:rPr>
        <w:t>d</w:t>
      </w:r>
      <w:r w:rsidR="00415725">
        <w:rPr>
          <w:lang w:val="en-US"/>
        </w:rPr>
        <w:t xml:space="preserve"> </w:t>
      </w:r>
      <w:r w:rsidR="00CB79A9">
        <w:rPr>
          <w:lang w:val="en-US"/>
        </w:rPr>
        <w:t>c</w:t>
      </w:r>
      <w:r w:rsidR="00415725">
        <w:rPr>
          <w:lang w:val="en-US"/>
        </w:rPr>
        <w:t xml:space="preserve">ompared to option </w:t>
      </w:r>
      <w:r w:rsidR="00D739D9">
        <w:rPr>
          <w:lang w:val="en-US"/>
        </w:rPr>
        <w:t>1 or 2.</w:t>
      </w:r>
    </w:p>
    <w:p w14:paraId="5E541DB8" w14:textId="381B1084" w:rsidR="0016725D" w:rsidRDefault="0016725D" w:rsidP="00BA4B38">
      <w:pPr>
        <w:rPr>
          <w:lang w:val="en-US"/>
        </w:rPr>
      </w:pPr>
      <w:r>
        <w:rPr>
          <w:lang w:val="en-US"/>
        </w:rPr>
        <w:t>From the discussion of the above-listed options, there does not appear to be an ideal solution.  Each option carries with it significant disadvantages whether that be the loss in spectrum or the possibility of interference.  In an interference scenario, the spectrum is anyways not useful</w:t>
      </w:r>
      <w:r w:rsidR="002934BF">
        <w:rPr>
          <w:lang w:val="en-US"/>
        </w:rPr>
        <w:t xml:space="preserve"> for service so whether its loss comes from carving out a guard band or from interference is immaterial.  Our recommendation is option 5.  With option 5, the NTN operator is provided a choice to deploy with a guard band (but lose 3 MHz of spectrum) to mitigate the probability of interference, even if the TN operator deploys later in time and without the need to specifically identify which areas might be vulnerable to interference, etc.  The NTN operator can also choose to deploy the full band, but with the understanding that interference </w:t>
      </w:r>
      <w:r w:rsidR="00A47127">
        <w:rPr>
          <w:lang w:val="en-US"/>
        </w:rPr>
        <w:t xml:space="preserve">leading to service outage </w:t>
      </w:r>
      <w:r w:rsidR="002934BF">
        <w:rPr>
          <w:lang w:val="en-US"/>
        </w:rPr>
        <w:t>may be present and may not be easily predictable.  Since 3GPP should not publish specifications where s</w:t>
      </w:r>
      <w:r w:rsidR="00A47127">
        <w:rPr>
          <w:lang w:val="en-US"/>
        </w:rPr>
        <w:t xml:space="preserve">ervice outage is expected or unpredictable, a note of warning should be included in the specification illustrating the risk of harmful interference if the full band is deployed.  The NTN operator then takes full </w:t>
      </w:r>
      <w:r w:rsidR="00A47127">
        <w:rPr>
          <w:lang w:val="en-US"/>
        </w:rPr>
        <w:lastRenderedPageBreak/>
        <w:t xml:space="preserve">responsibility if deploying without protection mechanisms offered by the truncated band.  For example, the NTN operator may choose to take this risk to maximize available spectrum if it has other means </w:t>
      </w:r>
      <w:r w:rsidR="00CB79A9">
        <w:rPr>
          <w:lang w:val="en-US"/>
        </w:rPr>
        <w:t xml:space="preserve">and willingness </w:t>
      </w:r>
      <w:r w:rsidR="00A47127">
        <w:rPr>
          <w:lang w:val="en-US"/>
        </w:rPr>
        <w:t xml:space="preserve">to contain the risk, for example, other </w:t>
      </w:r>
      <w:r w:rsidR="00E54D89">
        <w:rPr>
          <w:lang w:val="en-US"/>
        </w:rPr>
        <w:t>channels within the beam footprint, bilateral agreements with TN operators, etc.</w:t>
      </w:r>
      <w:r w:rsidR="00CB79A9">
        <w:rPr>
          <w:lang w:val="en-US"/>
        </w:rPr>
        <w:t xml:space="preserve">  The problem of UE filtering remains.  With a desire to minimize UE fragmentation and UE designs that only support one of the two bands, it should be assumed the UE will carry a common RF front-end between the two bands – this implies that Rx filter will be designed to cover the full band.</w:t>
      </w:r>
    </w:p>
    <w:p w14:paraId="64B131BF" w14:textId="4BFC7B74" w:rsidR="00A47127" w:rsidRPr="00A47127" w:rsidRDefault="00A47127" w:rsidP="00BA4B38">
      <w:pPr>
        <w:rPr>
          <w:b/>
          <w:bCs/>
          <w:lang w:val="en-US"/>
        </w:rPr>
      </w:pPr>
      <w:r w:rsidRPr="00A47127">
        <w:rPr>
          <w:b/>
          <w:bCs/>
          <w:lang w:val="en-US"/>
        </w:rPr>
        <w:t xml:space="preserve">Proposal:  Option 5 is selected.  Two bands are defined where one has interference protection by including a 3 MHz guard band in the extended L band and enhanced UE blocking (FFS).  The second band does not include the interference mitigation mechanisms but enables usage of the full extended L band.  A note is included in the 3GPP specification to indicate the risk for harmful interference, but the NTN operator is free to choose which band to deploy depending on needs and its ability to </w:t>
      </w:r>
      <w:r w:rsidR="0097211C">
        <w:rPr>
          <w:b/>
          <w:bCs/>
          <w:lang w:val="en-US"/>
        </w:rPr>
        <w:t xml:space="preserve">otherwise </w:t>
      </w:r>
      <w:r w:rsidRPr="00A47127">
        <w:rPr>
          <w:b/>
          <w:bCs/>
          <w:lang w:val="en-US"/>
        </w:rPr>
        <w:t>contain the risk.</w:t>
      </w:r>
    </w:p>
    <w:p w14:paraId="508B7514" w14:textId="1A84E05F" w:rsidR="002934BF" w:rsidRDefault="00CB79A9" w:rsidP="00BA4B38">
      <w:pPr>
        <w:rPr>
          <w:lang w:val="en-US"/>
        </w:rPr>
      </w:pPr>
      <w:r>
        <w:rPr>
          <w:lang w:val="en-US"/>
        </w:rPr>
        <w:t>UE blocking performance is still to be studied.  Depending on the outcome of the study and the feasibility of UE blocking, the appropriate specifications should be defined no matter which band option is selected.  UE blocking is the subjected for a separate paper [5].</w:t>
      </w:r>
    </w:p>
    <w:p w14:paraId="3F8BEA58" w14:textId="0B5AFBA1" w:rsidR="009C37D0" w:rsidRDefault="00FA01C7" w:rsidP="009C37D0">
      <w:pPr>
        <w:pStyle w:val="Heading1"/>
        <w:tabs>
          <w:tab w:val="clear" w:pos="432"/>
          <w:tab w:val="num" w:pos="522"/>
        </w:tabs>
        <w:ind w:left="522" w:hanging="522"/>
        <w:rPr>
          <w:lang w:val="en-US"/>
        </w:rPr>
      </w:pPr>
      <w:r>
        <w:rPr>
          <w:lang w:val="en-US"/>
        </w:rPr>
        <w:t>Conclusion</w:t>
      </w:r>
    </w:p>
    <w:p w14:paraId="17DCBB22" w14:textId="24A055B9" w:rsidR="00252001" w:rsidRDefault="00FD7378" w:rsidP="001903FE">
      <w:pPr>
        <w:ind w:right="1"/>
        <w:rPr>
          <w:lang w:val="en-US"/>
        </w:rPr>
      </w:pPr>
      <w:r>
        <w:rPr>
          <w:lang w:val="en-US"/>
        </w:rPr>
        <w:t xml:space="preserve">The extended L band is </w:t>
      </w:r>
      <w:proofErr w:type="gramStart"/>
      <w:r>
        <w:rPr>
          <w:lang w:val="en-US"/>
        </w:rPr>
        <w:t>in close proximity to</w:t>
      </w:r>
      <w:proofErr w:type="gramEnd"/>
      <w:r>
        <w:rPr>
          <w:lang w:val="en-US"/>
        </w:rPr>
        <w:t xml:space="preserve"> a number of TN bands and may therefore cause or experience interference when deployed in the same geographical area.  </w:t>
      </w:r>
      <w:r w:rsidR="006E2BBF">
        <w:rPr>
          <w:lang w:val="en-US"/>
        </w:rPr>
        <w:t xml:space="preserve">The scope of the work item is limited to </w:t>
      </w:r>
      <w:proofErr w:type="gramStart"/>
      <w:r w:rsidR="006E2BBF">
        <w:rPr>
          <w:lang w:val="en-US"/>
        </w:rPr>
        <w:t>Region</w:t>
      </w:r>
      <w:proofErr w:type="gramEnd"/>
      <w:r w:rsidR="006E2BBF">
        <w:rPr>
          <w:lang w:val="en-US"/>
        </w:rPr>
        <w:t xml:space="preserve"> 1, so the </w:t>
      </w:r>
      <w:r w:rsidR="003A77B0">
        <w:rPr>
          <w:lang w:val="en-US"/>
        </w:rPr>
        <w:t>TN bands of potential interference have been identified as Bands 74/n74, 75/n75, n92, and n94.  The ECC CEPT in Europe conducted a study on compatibility between IMT adjacent to the extended L band</w:t>
      </w:r>
      <w:r w:rsidR="00252001">
        <w:rPr>
          <w:lang w:val="en-US"/>
        </w:rPr>
        <w:t xml:space="preserve"> and produced ECC Report 263 with a set of recommendations.  The recommendations include </w:t>
      </w:r>
      <w:r w:rsidR="00010FF9">
        <w:rPr>
          <w:lang w:val="en-US"/>
        </w:rPr>
        <w:t xml:space="preserve">frequency separation (guard band), IMT BS out-of-band emissions, and enhanced MES UE blocking.  This contribution focuses on the guard band and offers five options for consideration of how this guard band could be implemented in 3GPP specifications.  After a discussion of the advantages and disadvantages, a recommendation is provided to define two bands to enable the NTN operator to make </w:t>
      </w:r>
      <w:proofErr w:type="gramStart"/>
      <w:r w:rsidR="00010FF9">
        <w:rPr>
          <w:lang w:val="en-US"/>
        </w:rPr>
        <w:t>an</w:t>
      </w:r>
      <w:proofErr w:type="gramEnd"/>
      <w:r w:rsidR="00010FF9">
        <w:rPr>
          <w:lang w:val="en-US"/>
        </w:rPr>
        <w:t xml:space="preserve"> choice based on </w:t>
      </w:r>
      <w:r w:rsidR="0097211C">
        <w:rPr>
          <w:lang w:val="en-US"/>
        </w:rPr>
        <w:t xml:space="preserve">its </w:t>
      </w:r>
      <w:r w:rsidR="00010FF9">
        <w:rPr>
          <w:lang w:val="en-US"/>
        </w:rPr>
        <w:t xml:space="preserve">specific needs </w:t>
      </w:r>
      <w:r w:rsidR="0097211C">
        <w:rPr>
          <w:lang w:val="en-US"/>
        </w:rPr>
        <w:t>and ability to otherwise circumvent interference.</w:t>
      </w:r>
    </w:p>
    <w:p w14:paraId="0D675900" w14:textId="77777777" w:rsidR="0097211C" w:rsidRPr="00A47127" w:rsidRDefault="0097211C" w:rsidP="0097211C">
      <w:pPr>
        <w:rPr>
          <w:b/>
          <w:bCs/>
          <w:lang w:val="en-US"/>
        </w:rPr>
      </w:pPr>
      <w:r w:rsidRPr="00A47127">
        <w:rPr>
          <w:b/>
          <w:bCs/>
          <w:lang w:val="en-US"/>
        </w:rPr>
        <w:t xml:space="preserve">Proposal:  Option 5 is selected.  Two bands are defined where one has interference protection by including a 3 MHz guard band in the extended L band and enhanced UE blocking (FFS).  The second band does not include the interference mitigation mechanisms but enables usage of the full extended L band.  A note is included in the 3GPP specification to indicate the risk for harmful interference, but the NTN operator is free to choose which band to deploy depending on needs and its ability to </w:t>
      </w:r>
      <w:r>
        <w:rPr>
          <w:b/>
          <w:bCs/>
          <w:lang w:val="en-US"/>
        </w:rPr>
        <w:t xml:space="preserve">otherwise </w:t>
      </w:r>
      <w:r w:rsidRPr="00A47127">
        <w:rPr>
          <w:b/>
          <w:bCs/>
          <w:lang w:val="en-US"/>
        </w:rPr>
        <w:t>contain the risk.</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CFE3384" w14:textId="004BD3A0" w:rsidR="00A44AB1" w:rsidRDefault="00996AFF" w:rsidP="00D23312">
      <w:pPr>
        <w:numPr>
          <w:ilvl w:val="0"/>
          <w:numId w:val="2"/>
        </w:numPr>
        <w:tabs>
          <w:tab w:val="left" w:pos="1080"/>
        </w:tabs>
        <w:rPr>
          <w:lang w:val="en-US" w:eastAsia="x-none"/>
        </w:rPr>
      </w:pPr>
      <w:bookmarkStart w:id="0" w:name="_Hlk859252"/>
      <w:r>
        <w:rPr>
          <w:lang w:val="en-US" w:eastAsia="x-none"/>
        </w:rPr>
        <w:t>RP-2307</w:t>
      </w:r>
      <w:r w:rsidR="007D75E3">
        <w:rPr>
          <w:lang w:val="en-US" w:eastAsia="x-none"/>
        </w:rPr>
        <w:t>90</w:t>
      </w:r>
      <w:r>
        <w:rPr>
          <w:lang w:val="en-US" w:eastAsia="x-none"/>
        </w:rPr>
        <w:t>, “</w:t>
      </w:r>
      <w:r w:rsidR="00FB676D" w:rsidRPr="00FB676D">
        <w:rPr>
          <w:lang w:val="en-US" w:eastAsia="x-none"/>
        </w:rPr>
        <w:t>New WID on Introduction of the Extended L-band (UL 1668-1675, DL 1518-1525) for IoT NTN</w:t>
      </w:r>
      <w:r w:rsidR="000E7C59">
        <w:rPr>
          <w:lang w:val="en-US" w:eastAsia="x-none"/>
        </w:rPr>
        <w:t xml:space="preserve">,” </w:t>
      </w:r>
      <w:r w:rsidR="00FB676D">
        <w:rPr>
          <w:lang w:val="en-US" w:eastAsia="x-none"/>
        </w:rPr>
        <w:t>Inmarsat</w:t>
      </w:r>
    </w:p>
    <w:p w14:paraId="13C8F938" w14:textId="1AA07A8D" w:rsidR="00AF4D02" w:rsidRPr="004B1BBD" w:rsidRDefault="00AF4D02" w:rsidP="00D23312">
      <w:pPr>
        <w:numPr>
          <w:ilvl w:val="0"/>
          <w:numId w:val="2"/>
        </w:numPr>
        <w:tabs>
          <w:tab w:val="left" w:pos="1080"/>
        </w:tabs>
        <w:rPr>
          <w:rStyle w:val="Hyperlink"/>
          <w:color w:val="auto"/>
          <w:u w:val="none"/>
          <w:lang w:val="en-US" w:eastAsia="x-none"/>
        </w:rPr>
      </w:pPr>
      <w:r>
        <w:rPr>
          <w:lang w:val="en-US" w:eastAsia="x-none"/>
        </w:rPr>
        <w:t>ECC Report 263</w:t>
      </w:r>
      <w:r w:rsidR="00FE37BF">
        <w:rPr>
          <w:lang w:val="en-US" w:eastAsia="x-none"/>
        </w:rPr>
        <w:t>, “Adjacent band compatibility studies between IMT operating in the frequency band 1492-1518</w:t>
      </w:r>
      <w:r w:rsidR="009029FC">
        <w:rPr>
          <w:lang w:val="en-US" w:eastAsia="x-none"/>
        </w:rPr>
        <w:t xml:space="preserve"> MHz and the MSS operating in the frequency band 1518-1552 MHz,” Approved 03 March 2017</w:t>
      </w:r>
      <w:r>
        <w:rPr>
          <w:lang w:val="en-US" w:eastAsia="x-none"/>
        </w:rPr>
        <w:t xml:space="preserve">.  </w:t>
      </w:r>
      <w:hyperlink r:id="rId8" w:history="1">
        <w:r w:rsidRPr="00480F09">
          <w:rPr>
            <w:rStyle w:val="Hyperlink"/>
            <w:lang w:val="en-US" w:eastAsia="x-none"/>
          </w:rPr>
          <w:t>https://docdb.cept.org/document/967</w:t>
        </w:r>
      </w:hyperlink>
    </w:p>
    <w:p w14:paraId="198A3D41" w14:textId="21650C94" w:rsidR="004B1BBD" w:rsidRDefault="004B1BBD" w:rsidP="00D23312">
      <w:pPr>
        <w:numPr>
          <w:ilvl w:val="0"/>
          <w:numId w:val="2"/>
        </w:numPr>
        <w:tabs>
          <w:tab w:val="left" w:pos="1080"/>
        </w:tabs>
        <w:rPr>
          <w:lang w:val="en-US" w:eastAsia="x-none"/>
        </w:rPr>
      </w:pPr>
      <w:r>
        <w:rPr>
          <w:lang w:val="en-US" w:eastAsia="x-none"/>
        </w:rPr>
        <w:t>R4-</w:t>
      </w:r>
      <w:r w:rsidR="00D36B48">
        <w:rPr>
          <w:lang w:val="en-US" w:eastAsia="x-none"/>
        </w:rPr>
        <w:t>2305825, “</w:t>
      </w:r>
      <w:r w:rsidR="00D36B48" w:rsidRPr="00D36B48">
        <w:rPr>
          <w:lang w:val="en-US" w:eastAsia="x-none"/>
        </w:rPr>
        <w:t>Extended L band for LTE NB-IoT</w:t>
      </w:r>
      <w:r w:rsidR="00D36B48">
        <w:rPr>
          <w:lang w:val="en-US" w:eastAsia="x-none"/>
        </w:rPr>
        <w:t>,” Qualcomm Incorporated</w:t>
      </w:r>
    </w:p>
    <w:p w14:paraId="3CA0524C" w14:textId="6C935890" w:rsidR="00AC09AE" w:rsidRPr="00FC08BA" w:rsidRDefault="007526E4" w:rsidP="00D23312">
      <w:pPr>
        <w:numPr>
          <w:ilvl w:val="0"/>
          <w:numId w:val="2"/>
        </w:numPr>
        <w:tabs>
          <w:tab w:val="left" w:pos="1080"/>
        </w:tabs>
        <w:rPr>
          <w:rStyle w:val="Hyperlink"/>
          <w:color w:val="auto"/>
          <w:u w:val="none"/>
          <w:lang w:val="en-US" w:eastAsia="x-none"/>
        </w:rPr>
      </w:pPr>
      <w:r>
        <w:rPr>
          <w:lang w:val="en-US" w:eastAsia="x-none"/>
        </w:rPr>
        <w:t xml:space="preserve">International Satellite Symposium 2017, “Part 1: From WRC-15 to WRC-19 – Setting the </w:t>
      </w:r>
      <w:r w:rsidR="00664CC4">
        <w:rPr>
          <w:lang w:val="en-US" w:eastAsia="x-none"/>
        </w:rPr>
        <w:t xml:space="preserve">basis,” Inmarsat </w:t>
      </w:r>
      <w:hyperlink r:id="rId9" w:history="1">
        <w:r w:rsidR="007F45DE" w:rsidRPr="006448C9">
          <w:rPr>
            <w:rStyle w:val="Hyperlink"/>
            <w:lang w:val="en-US" w:eastAsia="x-none"/>
          </w:rPr>
          <w:t>https://www.itu.int/en/ITU-D/Regional-Presence/AsiaPacific/Documents/Events/2017/Aug-ISS2017/PPT_S1_Bob_Horton.pdf</w:t>
        </w:r>
      </w:hyperlink>
    </w:p>
    <w:p w14:paraId="604219C1" w14:textId="182F88EC" w:rsidR="000976CE" w:rsidRPr="00AC7D7B" w:rsidRDefault="00FC08BA" w:rsidP="00D23312">
      <w:pPr>
        <w:numPr>
          <w:ilvl w:val="0"/>
          <w:numId w:val="2"/>
        </w:numPr>
        <w:tabs>
          <w:tab w:val="left" w:pos="1080"/>
        </w:tabs>
        <w:rPr>
          <w:lang w:val="en-US" w:eastAsia="x-none"/>
        </w:rPr>
      </w:pPr>
      <w:r w:rsidRPr="00AC7D7B">
        <w:rPr>
          <w:lang w:val="en-US" w:eastAsia="x-none"/>
        </w:rPr>
        <w:t>R4-230</w:t>
      </w:r>
      <w:r w:rsidR="00AC7D7B" w:rsidRPr="00AC7D7B">
        <w:rPr>
          <w:lang w:val="en-US" w:eastAsia="x-none"/>
        </w:rPr>
        <w:t>9507</w:t>
      </w:r>
      <w:r w:rsidRPr="00AC7D7B">
        <w:rPr>
          <w:lang w:val="en-US" w:eastAsia="x-none"/>
        </w:rPr>
        <w:t>, “</w:t>
      </w:r>
      <w:r w:rsidR="000976CE" w:rsidRPr="00AC7D7B">
        <w:rPr>
          <w:lang w:val="en-US" w:eastAsia="x-none"/>
        </w:rPr>
        <w:t>UE blocking requirements for the Extended L band,” Qualcomm Incorporated</w:t>
      </w:r>
    </w:p>
    <w:bookmarkEnd w:id="0"/>
    <w:p w14:paraId="4554CE56" w14:textId="77777777" w:rsidR="007C5C1C" w:rsidRPr="00590169" w:rsidRDefault="007C5C1C" w:rsidP="00590169">
      <w:pPr>
        <w:tabs>
          <w:tab w:val="left" w:pos="1080"/>
        </w:tabs>
        <w:ind w:left="360"/>
        <w:rPr>
          <w:lang w:val="en-US" w:eastAsia="x-none"/>
        </w:rPr>
      </w:pPr>
    </w:p>
    <w:sectPr w:rsidR="007C5C1C" w:rsidRPr="00590169"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EA2D7" w14:textId="77777777" w:rsidR="005F34CC" w:rsidRDefault="005F34CC">
      <w:r>
        <w:separator/>
      </w:r>
    </w:p>
  </w:endnote>
  <w:endnote w:type="continuationSeparator" w:id="0">
    <w:p w14:paraId="5DA66F78" w14:textId="77777777" w:rsidR="005F34CC" w:rsidRDefault="005F3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66CDB" w14:textId="77777777" w:rsidR="005F34CC" w:rsidRDefault="005F34CC">
      <w:r>
        <w:separator/>
      </w:r>
    </w:p>
  </w:footnote>
  <w:footnote w:type="continuationSeparator" w:id="0">
    <w:p w14:paraId="7AC262F3" w14:textId="77777777" w:rsidR="005F34CC" w:rsidRDefault="005F34CC">
      <w:r>
        <w:continuationSeparator/>
      </w:r>
    </w:p>
  </w:footnote>
  <w:footnote w:id="1">
    <w:p w14:paraId="23A78EBE" w14:textId="4EE0FD6A" w:rsidR="00CE04BC" w:rsidRDefault="00CE04BC" w:rsidP="00CE04BC">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9D91D51"/>
    <w:multiLevelType w:val="hybridMultilevel"/>
    <w:tmpl w:val="BD6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062B81"/>
    <w:multiLevelType w:val="hybridMultilevel"/>
    <w:tmpl w:val="1F02D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B469FE"/>
    <w:multiLevelType w:val="hybridMultilevel"/>
    <w:tmpl w:val="F0988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121AD7"/>
    <w:multiLevelType w:val="hybridMultilevel"/>
    <w:tmpl w:val="2EE0BBE6"/>
    <w:lvl w:ilvl="0" w:tplc="8E609D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7"/>
  </w:num>
  <w:num w:numId="2" w16cid:durableId="513963709">
    <w:abstractNumId w:val="12"/>
  </w:num>
  <w:num w:numId="3" w16cid:durableId="30959319">
    <w:abstractNumId w:val="15"/>
  </w:num>
  <w:num w:numId="4" w16cid:durableId="1579515455">
    <w:abstractNumId w:val="16"/>
  </w:num>
  <w:num w:numId="5" w16cid:durableId="1213884486">
    <w:abstractNumId w:val="11"/>
  </w:num>
  <w:num w:numId="6" w16cid:durableId="895549640">
    <w:abstractNumId w:val="5"/>
  </w:num>
  <w:num w:numId="7" w16cid:durableId="1494643654">
    <w:abstractNumId w:val="1"/>
  </w:num>
  <w:num w:numId="8" w16cid:durableId="1777947175">
    <w:abstractNumId w:val="14"/>
  </w:num>
  <w:num w:numId="9" w16cid:durableId="461308997">
    <w:abstractNumId w:val="6"/>
  </w:num>
  <w:num w:numId="10" w16cid:durableId="1624651259">
    <w:abstractNumId w:val="9"/>
  </w:num>
  <w:num w:numId="11" w16cid:durableId="1362783709">
    <w:abstractNumId w:val="17"/>
  </w:num>
  <w:num w:numId="12" w16cid:durableId="1425344883">
    <w:abstractNumId w:val="4"/>
  </w:num>
  <w:num w:numId="13" w16cid:durableId="1491755988">
    <w:abstractNumId w:val="0"/>
  </w:num>
  <w:num w:numId="14" w16cid:durableId="1161502242">
    <w:abstractNumId w:val="13"/>
  </w:num>
  <w:num w:numId="15" w16cid:durableId="661813150">
    <w:abstractNumId w:val="3"/>
  </w:num>
  <w:num w:numId="16" w16cid:durableId="1688680471">
    <w:abstractNumId w:val="2"/>
  </w:num>
  <w:num w:numId="17" w16cid:durableId="1440295595">
    <w:abstractNumId w:val="8"/>
  </w:num>
  <w:num w:numId="18" w16cid:durableId="35462327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4E8"/>
    <w:rsid w:val="00004852"/>
    <w:rsid w:val="0000518F"/>
    <w:rsid w:val="00005856"/>
    <w:rsid w:val="00005F10"/>
    <w:rsid w:val="00006110"/>
    <w:rsid w:val="00006186"/>
    <w:rsid w:val="00006198"/>
    <w:rsid w:val="000062E4"/>
    <w:rsid w:val="00006351"/>
    <w:rsid w:val="000065AA"/>
    <w:rsid w:val="0000667F"/>
    <w:rsid w:val="00006710"/>
    <w:rsid w:val="00006C4A"/>
    <w:rsid w:val="00006F97"/>
    <w:rsid w:val="0000702C"/>
    <w:rsid w:val="000071B2"/>
    <w:rsid w:val="00007C8E"/>
    <w:rsid w:val="00010EE0"/>
    <w:rsid w:val="00010FF9"/>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17FD2"/>
    <w:rsid w:val="00020424"/>
    <w:rsid w:val="00020464"/>
    <w:rsid w:val="0002046E"/>
    <w:rsid w:val="00020690"/>
    <w:rsid w:val="0002074A"/>
    <w:rsid w:val="00020B64"/>
    <w:rsid w:val="00021335"/>
    <w:rsid w:val="0002180A"/>
    <w:rsid w:val="000218D1"/>
    <w:rsid w:val="000219E5"/>
    <w:rsid w:val="00022190"/>
    <w:rsid w:val="000223EE"/>
    <w:rsid w:val="00022423"/>
    <w:rsid w:val="00022640"/>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5CE"/>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0CD1"/>
    <w:rsid w:val="00051030"/>
    <w:rsid w:val="00051601"/>
    <w:rsid w:val="0005186B"/>
    <w:rsid w:val="00051B04"/>
    <w:rsid w:val="00051E24"/>
    <w:rsid w:val="000523C3"/>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585"/>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94C"/>
    <w:rsid w:val="00075AC2"/>
    <w:rsid w:val="00075AFE"/>
    <w:rsid w:val="00075B65"/>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4F48"/>
    <w:rsid w:val="0008501F"/>
    <w:rsid w:val="0008544F"/>
    <w:rsid w:val="00085A9C"/>
    <w:rsid w:val="00085BE1"/>
    <w:rsid w:val="00085C24"/>
    <w:rsid w:val="00085DB7"/>
    <w:rsid w:val="00085FDE"/>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8DD"/>
    <w:rsid w:val="00094FFF"/>
    <w:rsid w:val="00095326"/>
    <w:rsid w:val="00096860"/>
    <w:rsid w:val="00096C3C"/>
    <w:rsid w:val="000972E8"/>
    <w:rsid w:val="000974E6"/>
    <w:rsid w:val="0009768A"/>
    <w:rsid w:val="000976CE"/>
    <w:rsid w:val="00097714"/>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5D62"/>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78B"/>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EA4"/>
    <w:rsid w:val="000E2F43"/>
    <w:rsid w:val="000E337E"/>
    <w:rsid w:val="000E3B40"/>
    <w:rsid w:val="000E3D46"/>
    <w:rsid w:val="000E3DD1"/>
    <w:rsid w:val="000E4FBB"/>
    <w:rsid w:val="000E58CF"/>
    <w:rsid w:val="000E59B7"/>
    <w:rsid w:val="000E5C51"/>
    <w:rsid w:val="000E5D80"/>
    <w:rsid w:val="000E60A4"/>
    <w:rsid w:val="000E6208"/>
    <w:rsid w:val="000E6D31"/>
    <w:rsid w:val="000E6F68"/>
    <w:rsid w:val="000E7110"/>
    <w:rsid w:val="000E7250"/>
    <w:rsid w:val="000E791F"/>
    <w:rsid w:val="000E7A46"/>
    <w:rsid w:val="000E7BD3"/>
    <w:rsid w:val="000E7C59"/>
    <w:rsid w:val="000F0E0B"/>
    <w:rsid w:val="000F0FD2"/>
    <w:rsid w:val="000F120F"/>
    <w:rsid w:val="000F1DA5"/>
    <w:rsid w:val="000F267E"/>
    <w:rsid w:val="000F2C1B"/>
    <w:rsid w:val="000F323B"/>
    <w:rsid w:val="000F41E3"/>
    <w:rsid w:val="000F5297"/>
    <w:rsid w:val="000F52C4"/>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AB4"/>
    <w:rsid w:val="00110D11"/>
    <w:rsid w:val="00110D8F"/>
    <w:rsid w:val="001116BA"/>
    <w:rsid w:val="00111FFF"/>
    <w:rsid w:val="00112756"/>
    <w:rsid w:val="0011296F"/>
    <w:rsid w:val="00112A1A"/>
    <w:rsid w:val="001135B2"/>
    <w:rsid w:val="001135F5"/>
    <w:rsid w:val="00113626"/>
    <w:rsid w:val="00113700"/>
    <w:rsid w:val="001139A0"/>
    <w:rsid w:val="00113B01"/>
    <w:rsid w:val="00113C0D"/>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2F02"/>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F4"/>
    <w:rsid w:val="001271F9"/>
    <w:rsid w:val="001274D2"/>
    <w:rsid w:val="00127832"/>
    <w:rsid w:val="00127DEC"/>
    <w:rsid w:val="00127E45"/>
    <w:rsid w:val="00127E48"/>
    <w:rsid w:val="00130287"/>
    <w:rsid w:val="001303FD"/>
    <w:rsid w:val="00130ECD"/>
    <w:rsid w:val="001310DC"/>
    <w:rsid w:val="0013166F"/>
    <w:rsid w:val="00131FD4"/>
    <w:rsid w:val="001323CD"/>
    <w:rsid w:val="00133879"/>
    <w:rsid w:val="00133FDC"/>
    <w:rsid w:val="00134405"/>
    <w:rsid w:val="00134647"/>
    <w:rsid w:val="00134A8F"/>
    <w:rsid w:val="00134FDE"/>
    <w:rsid w:val="0013513B"/>
    <w:rsid w:val="0013546D"/>
    <w:rsid w:val="001357BB"/>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6BA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25D"/>
    <w:rsid w:val="001679C5"/>
    <w:rsid w:val="00167B3A"/>
    <w:rsid w:val="001703E5"/>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6F5"/>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42"/>
    <w:rsid w:val="00194582"/>
    <w:rsid w:val="00194DEE"/>
    <w:rsid w:val="00194E91"/>
    <w:rsid w:val="00195007"/>
    <w:rsid w:val="00195150"/>
    <w:rsid w:val="00195E87"/>
    <w:rsid w:val="00196782"/>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B7C"/>
    <w:rsid w:val="001B2F8C"/>
    <w:rsid w:val="001B30DD"/>
    <w:rsid w:val="001B3291"/>
    <w:rsid w:val="001B3B22"/>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BD8"/>
    <w:rsid w:val="001C6C24"/>
    <w:rsid w:val="001C7868"/>
    <w:rsid w:val="001C78CF"/>
    <w:rsid w:val="001D002A"/>
    <w:rsid w:val="001D02BF"/>
    <w:rsid w:val="001D04B9"/>
    <w:rsid w:val="001D09B3"/>
    <w:rsid w:val="001D0B0F"/>
    <w:rsid w:val="001D1048"/>
    <w:rsid w:val="001D1126"/>
    <w:rsid w:val="001D1249"/>
    <w:rsid w:val="001D134E"/>
    <w:rsid w:val="001D1447"/>
    <w:rsid w:val="001D1841"/>
    <w:rsid w:val="001D18FF"/>
    <w:rsid w:val="001D21FC"/>
    <w:rsid w:val="001D2401"/>
    <w:rsid w:val="001D2D91"/>
    <w:rsid w:val="001D309C"/>
    <w:rsid w:val="001D342A"/>
    <w:rsid w:val="001D3AAF"/>
    <w:rsid w:val="001D3CC1"/>
    <w:rsid w:val="001D3D55"/>
    <w:rsid w:val="001D3E98"/>
    <w:rsid w:val="001D4299"/>
    <w:rsid w:val="001D43C3"/>
    <w:rsid w:val="001D448D"/>
    <w:rsid w:val="001D44F6"/>
    <w:rsid w:val="001D45C9"/>
    <w:rsid w:val="001D472D"/>
    <w:rsid w:val="001D48B2"/>
    <w:rsid w:val="001D4ABF"/>
    <w:rsid w:val="001D52C2"/>
    <w:rsid w:val="001D52E4"/>
    <w:rsid w:val="001D539C"/>
    <w:rsid w:val="001D57D1"/>
    <w:rsid w:val="001D6776"/>
    <w:rsid w:val="001D6E97"/>
    <w:rsid w:val="001D6FF9"/>
    <w:rsid w:val="001D791E"/>
    <w:rsid w:val="001D7BA7"/>
    <w:rsid w:val="001D7D50"/>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4CCF"/>
    <w:rsid w:val="001E57E7"/>
    <w:rsid w:val="001E584A"/>
    <w:rsid w:val="001E5A46"/>
    <w:rsid w:val="001E5D8B"/>
    <w:rsid w:val="001E61F1"/>
    <w:rsid w:val="001E625C"/>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3B44"/>
    <w:rsid w:val="001F4191"/>
    <w:rsid w:val="001F422C"/>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3A2"/>
    <w:rsid w:val="00211772"/>
    <w:rsid w:val="00211973"/>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17FA7"/>
    <w:rsid w:val="002204C0"/>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571"/>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63"/>
    <w:rsid w:val="002475F7"/>
    <w:rsid w:val="002478CB"/>
    <w:rsid w:val="00247BC2"/>
    <w:rsid w:val="002501CF"/>
    <w:rsid w:val="00250998"/>
    <w:rsid w:val="00251463"/>
    <w:rsid w:val="00251908"/>
    <w:rsid w:val="00251AE9"/>
    <w:rsid w:val="00251B67"/>
    <w:rsid w:val="00252001"/>
    <w:rsid w:val="002527A1"/>
    <w:rsid w:val="00252C9A"/>
    <w:rsid w:val="00253180"/>
    <w:rsid w:val="00253D02"/>
    <w:rsid w:val="002541E7"/>
    <w:rsid w:val="00254888"/>
    <w:rsid w:val="00254D4E"/>
    <w:rsid w:val="002551F4"/>
    <w:rsid w:val="002556E1"/>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28"/>
    <w:rsid w:val="002604B0"/>
    <w:rsid w:val="00260833"/>
    <w:rsid w:val="00261335"/>
    <w:rsid w:val="0026168B"/>
    <w:rsid w:val="0026182D"/>
    <w:rsid w:val="00261FFD"/>
    <w:rsid w:val="00262113"/>
    <w:rsid w:val="002623A5"/>
    <w:rsid w:val="002635B5"/>
    <w:rsid w:val="002639CD"/>
    <w:rsid w:val="00263A40"/>
    <w:rsid w:val="00263B56"/>
    <w:rsid w:val="00264019"/>
    <w:rsid w:val="00264090"/>
    <w:rsid w:val="002642D2"/>
    <w:rsid w:val="002643A6"/>
    <w:rsid w:val="002647D1"/>
    <w:rsid w:val="00265201"/>
    <w:rsid w:val="002658E7"/>
    <w:rsid w:val="002659E3"/>
    <w:rsid w:val="00265EC8"/>
    <w:rsid w:val="00266622"/>
    <w:rsid w:val="00266B5B"/>
    <w:rsid w:val="00266E01"/>
    <w:rsid w:val="00266EB5"/>
    <w:rsid w:val="00266FA5"/>
    <w:rsid w:val="00267702"/>
    <w:rsid w:val="00267797"/>
    <w:rsid w:val="00267985"/>
    <w:rsid w:val="00267D26"/>
    <w:rsid w:val="00267E4B"/>
    <w:rsid w:val="002701B7"/>
    <w:rsid w:val="00270F79"/>
    <w:rsid w:val="0027136E"/>
    <w:rsid w:val="002717FD"/>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352"/>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34BF"/>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8D4"/>
    <w:rsid w:val="002A3BFD"/>
    <w:rsid w:val="002A3CA4"/>
    <w:rsid w:val="002A3F15"/>
    <w:rsid w:val="002A4159"/>
    <w:rsid w:val="002A43F8"/>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418"/>
    <w:rsid w:val="002C7C8C"/>
    <w:rsid w:val="002C7DED"/>
    <w:rsid w:val="002C7FD7"/>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AA7"/>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267C"/>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246"/>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DD2"/>
    <w:rsid w:val="00315EB5"/>
    <w:rsid w:val="0031602A"/>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1C53"/>
    <w:rsid w:val="00321E68"/>
    <w:rsid w:val="00322083"/>
    <w:rsid w:val="00322720"/>
    <w:rsid w:val="003228AD"/>
    <w:rsid w:val="00322EBD"/>
    <w:rsid w:val="003235EE"/>
    <w:rsid w:val="00323DF6"/>
    <w:rsid w:val="00323F04"/>
    <w:rsid w:val="0032408E"/>
    <w:rsid w:val="00324340"/>
    <w:rsid w:val="00324696"/>
    <w:rsid w:val="00324937"/>
    <w:rsid w:val="0032544F"/>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4D6"/>
    <w:rsid w:val="003427F4"/>
    <w:rsid w:val="00342D54"/>
    <w:rsid w:val="00343AE0"/>
    <w:rsid w:val="003443F9"/>
    <w:rsid w:val="003445DB"/>
    <w:rsid w:val="00344D9A"/>
    <w:rsid w:val="00344FE2"/>
    <w:rsid w:val="00345CDD"/>
    <w:rsid w:val="00345F62"/>
    <w:rsid w:val="00345FDB"/>
    <w:rsid w:val="00345FF9"/>
    <w:rsid w:val="0034613F"/>
    <w:rsid w:val="00346628"/>
    <w:rsid w:val="0034670C"/>
    <w:rsid w:val="00346BAD"/>
    <w:rsid w:val="00346D70"/>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7D7"/>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CA0"/>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1E0"/>
    <w:rsid w:val="00385B1E"/>
    <w:rsid w:val="00385D57"/>
    <w:rsid w:val="0038614C"/>
    <w:rsid w:val="003861E5"/>
    <w:rsid w:val="003874FB"/>
    <w:rsid w:val="00387539"/>
    <w:rsid w:val="003875E9"/>
    <w:rsid w:val="003878AD"/>
    <w:rsid w:val="00387A87"/>
    <w:rsid w:val="00387BA4"/>
    <w:rsid w:val="00387CB5"/>
    <w:rsid w:val="00390A6F"/>
    <w:rsid w:val="00391754"/>
    <w:rsid w:val="00391A20"/>
    <w:rsid w:val="00391BDB"/>
    <w:rsid w:val="00391CF7"/>
    <w:rsid w:val="00392F02"/>
    <w:rsid w:val="00393109"/>
    <w:rsid w:val="003931B6"/>
    <w:rsid w:val="00393306"/>
    <w:rsid w:val="0039354A"/>
    <w:rsid w:val="00394151"/>
    <w:rsid w:val="00394216"/>
    <w:rsid w:val="0039426F"/>
    <w:rsid w:val="003942D8"/>
    <w:rsid w:val="00394515"/>
    <w:rsid w:val="0039457B"/>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C11"/>
    <w:rsid w:val="00396E03"/>
    <w:rsid w:val="00396FEC"/>
    <w:rsid w:val="0039712B"/>
    <w:rsid w:val="00397437"/>
    <w:rsid w:val="003A06B7"/>
    <w:rsid w:val="003A0B91"/>
    <w:rsid w:val="003A0DF1"/>
    <w:rsid w:val="003A1532"/>
    <w:rsid w:val="003A169D"/>
    <w:rsid w:val="003A196D"/>
    <w:rsid w:val="003A1C0F"/>
    <w:rsid w:val="003A1D5A"/>
    <w:rsid w:val="003A249A"/>
    <w:rsid w:val="003A269D"/>
    <w:rsid w:val="003A3229"/>
    <w:rsid w:val="003A32A2"/>
    <w:rsid w:val="003A3E1F"/>
    <w:rsid w:val="003A4260"/>
    <w:rsid w:val="003A4689"/>
    <w:rsid w:val="003A47FD"/>
    <w:rsid w:val="003A4826"/>
    <w:rsid w:val="003A5540"/>
    <w:rsid w:val="003A5A4E"/>
    <w:rsid w:val="003A5AA8"/>
    <w:rsid w:val="003A61B9"/>
    <w:rsid w:val="003A6236"/>
    <w:rsid w:val="003A67F1"/>
    <w:rsid w:val="003A6865"/>
    <w:rsid w:val="003A6A23"/>
    <w:rsid w:val="003A6B12"/>
    <w:rsid w:val="003A6B1B"/>
    <w:rsid w:val="003A6BED"/>
    <w:rsid w:val="003A6F80"/>
    <w:rsid w:val="003A727F"/>
    <w:rsid w:val="003A73DF"/>
    <w:rsid w:val="003A77B0"/>
    <w:rsid w:val="003A79BE"/>
    <w:rsid w:val="003A79E1"/>
    <w:rsid w:val="003A7A72"/>
    <w:rsid w:val="003A7ADE"/>
    <w:rsid w:val="003A7B83"/>
    <w:rsid w:val="003B0495"/>
    <w:rsid w:val="003B04FC"/>
    <w:rsid w:val="003B0AEE"/>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B2F"/>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E68"/>
    <w:rsid w:val="003E506F"/>
    <w:rsid w:val="003E5136"/>
    <w:rsid w:val="003E5E44"/>
    <w:rsid w:val="003E5F17"/>
    <w:rsid w:val="003E61D4"/>
    <w:rsid w:val="003E626D"/>
    <w:rsid w:val="003E658E"/>
    <w:rsid w:val="003E65BD"/>
    <w:rsid w:val="003E6626"/>
    <w:rsid w:val="003E69B9"/>
    <w:rsid w:val="003E7070"/>
    <w:rsid w:val="003E70C7"/>
    <w:rsid w:val="003E7208"/>
    <w:rsid w:val="003E75CF"/>
    <w:rsid w:val="003E7A37"/>
    <w:rsid w:val="003E7B9A"/>
    <w:rsid w:val="003F0004"/>
    <w:rsid w:val="003F072F"/>
    <w:rsid w:val="003F1282"/>
    <w:rsid w:val="003F18B1"/>
    <w:rsid w:val="003F1985"/>
    <w:rsid w:val="003F1A0E"/>
    <w:rsid w:val="003F1B43"/>
    <w:rsid w:val="003F1CE1"/>
    <w:rsid w:val="003F1CE6"/>
    <w:rsid w:val="003F1D09"/>
    <w:rsid w:val="003F2028"/>
    <w:rsid w:val="003F24C0"/>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135"/>
    <w:rsid w:val="004073F3"/>
    <w:rsid w:val="00407576"/>
    <w:rsid w:val="004079A4"/>
    <w:rsid w:val="00407A40"/>
    <w:rsid w:val="00407FF9"/>
    <w:rsid w:val="00410141"/>
    <w:rsid w:val="004102A2"/>
    <w:rsid w:val="004103C7"/>
    <w:rsid w:val="00410579"/>
    <w:rsid w:val="004105DB"/>
    <w:rsid w:val="00410AB0"/>
    <w:rsid w:val="00411821"/>
    <w:rsid w:val="00411DE9"/>
    <w:rsid w:val="00412138"/>
    <w:rsid w:val="004124A6"/>
    <w:rsid w:val="00412BAF"/>
    <w:rsid w:val="00412DB3"/>
    <w:rsid w:val="00412E18"/>
    <w:rsid w:val="0041346E"/>
    <w:rsid w:val="00413DE4"/>
    <w:rsid w:val="004148FF"/>
    <w:rsid w:val="00414BD6"/>
    <w:rsid w:val="00415201"/>
    <w:rsid w:val="00415725"/>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A"/>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486"/>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063"/>
    <w:rsid w:val="004663D0"/>
    <w:rsid w:val="0046693F"/>
    <w:rsid w:val="00466C1F"/>
    <w:rsid w:val="00466C90"/>
    <w:rsid w:val="00466CE2"/>
    <w:rsid w:val="00466DA4"/>
    <w:rsid w:val="004672D9"/>
    <w:rsid w:val="00467417"/>
    <w:rsid w:val="0046778F"/>
    <w:rsid w:val="00470D35"/>
    <w:rsid w:val="00470F26"/>
    <w:rsid w:val="00471138"/>
    <w:rsid w:val="0047125D"/>
    <w:rsid w:val="0047157A"/>
    <w:rsid w:val="004716F0"/>
    <w:rsid w:val="0047181D"/>
    <w:rsid w:val="00471B2D"/>
    <w:rsid w:val="00472250"/>
    <w:rsid w:val="004729B1"/>
    <w:rsid w:val="00472C58"/>
    <w:rsid w:val="00472D8B"/>
    <w:rsid w:val="00473355"/>
    <w:rsid w:val="0047361D"/>
    <w:rsid w:val="00473B87"/>
    <w:rsid w:val="00473BD0"/>
    <w:rsid w:val="00474729"/>
    <w:rsid w:val="00474907"/>
    <w:rsid w:val="00474A1B"/>
    <w:rsid w:val="00474A60"/>
    <w:rsid w:val="00474D36"/>
    <w:rsid w:val="00474EF8"/>
    <w:rsid w:val="00474FEE"/>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025"/>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5FE"/>
    <w:rsid w:val="004A5B46"/>
    <w:rsid w:val="004A6B1D"/>
    <w:rsid w:val="004A6BB2"/>
    <w:rsid w:val="004A6F6E"/>
    <w:rsid w:val="004A7727"/>
    <w:rsid w:val="004A79ED"/>
    <w:rsid w:val="004A7B1E"/>
    <w:rsid w:val="004B0B22"/>
    <w:rsid w:val="004B0B75"/>
    <w:rsid w:val="004B0F26"/>
    <w:rsid w:val="004B10DC"/>
    <w:rsid w:val="004B10E8"/>
    <w:rsid w:val="004B11BD"/>
    <w:rsid w:val="004B18D3"/>
    <w:rsid w:val="004B1BAB"/>
    <w:rsid w:val="004B1BBD"/>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E5B"/>
    <w:rsid w:val="004B50D1"/>
    <w:rsid w:val="004B51C6"/>
    <w:rsid w:val="004B55C6"/>
    <w:rsid w:val="004B5819"/>
    <w:rsid w:val="004B5A1C"/>
    <w:rsid w:val="004B6441"/>
    <w:rsid w:val="004B64D8"/>
    <w:rsid w:val="004B709D"/>
    <w:rsid w:val="004B72C0"/>
    <w:rsid w:val="004B73BF"/>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B98"/>
    <w:rsid w:val="004D1E66"/>
    <w:rsid w:val="004D2348"/>
    <w:rsid w:val="004D254C"/>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42"/>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912"/>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1FF4"/>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8F6"/>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723"/>
    <w:rsid w:val="00503F7B"/>
    <w:rsid w:val="00504CDF"/>
    <w:rsid w:val="00505386"/>
    <w:rsid w:val="0050558D"/>
    <w:rsid w:val="00505775"/>
    <w:rsid w:val="0050583D"/>
    <w:rsid w:val="00505D2D"/>
    <w:rsid w:val="005068E4"/>
    <w:rsid w:val="00506C65"/>
    <w:rsid w:val="00506CAE"/>
    <w:rsid w:val="0050721F"/>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7D7"/>
    <w:rsid w:val="0051592A"/>
    <w:rsid w:val="00515D50"/>
    <w:rsid w:val="00516011"/>
    <w:rsid w:val="00516442"/>
    <w:rsid w:val="00516673"/>
    <w:rsid w:val="005167E8"/>
    <w:rsid w:val="005168FA"/>
    <w:rsid w:val="00516A20"/>
    <w:rsid w:val="00516EF0"/>
    <w:rsid w:val="00516FAB"/>
    <w:rsid w:val="005174E2"/>
    <w:rsid w:val="00517733"/>
    <w:rsid w:val="00517965"/>
    <w:rsid w:val="00517B7C"/>
    <w:rsid w:val="00521297"/>
    <w:rsid w:val="005214CB"/>
    <w:rsid w:val="00521ED0"/>
    <w:rsid w:val="00522216"/>
    <w:rsid w:val="00522393"/>
    <w:rsid w:val="00522F62"/>
    <w:rsid w:val="005235ED"/>
    <w:rsid w:val="00524D75"/>
    <w:rsid w:val="005250B7"/>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3AE7"/>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16"/>
    <w:rsid w:val="0054477C"/>
    <w:rsid w:val="00544BE6"/>
    <w:rsid w:val="00544F7A"/>
    <w:rsid w:val="00545421"/>
    <w:rsid w:val="00545B0C"/>
    <w:rsid w:val="00546005"/>
    <w:rsid w:val="0054607C"/>
    <w:rsid w:val="005463D1"/>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73B"/>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32B"/>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11D"/>
    <w:rsid w:val="00585287"/>
    <w:rsid w:val="005853DB"/>
    <w:rsid w:val="005864F7"/>
    <w:rsid w:val="00586599"/>
    <w:rsid w:val="00586B81"/>
    <w:rsid w:val="00586D95"/>
    <w:rsid w:val="00586EDD"/>
    <w:rsid w:val="00586FA5"/>
    <w:rsid w:val="005873E4"/>
    <w:rsid w:val="005874F8"/>
    <w:rsid w:val="005878F0"/>
    <w:rsid w:val="00587DE7"/>
    <w:rsid w:val="00587F45"/>
    <w:rsid w:val="00590169"/>
    <w:rsid w:val="00590180"/>
    <w:rsid w:val="00590253"/>
    <w:rsid w:val="00590442"/>
    <w:rsid w:val="005915E2"/>
    <w:rsid w:val="005917A5"/>
    <w:rsid w:val="00591C8C"/>
    <w:rsid w:val="005920D4"/>
    <w:rsid w:val="0059215B"/>
    <w:rsid w:val="0059238E"/>
    <w:rsid w:val="00592560"/>
    <w:rsid w:val="0059271E"/>
    <w:rsid w:val="0059318D"/>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A69"/>
    <w:rsid w:val="005A4A9A"/>
    <w:rsid w:val="005A4C51"/>
    <w:rsid w:val="005A4DBE"/>
    <w:rsid w:val="005A4FF3"/>
    <w:rsid w:val="005A5109"/>
    <w:rsid w:val="005A5467"/>
    <w:rsid w:val="005A5966"/>
    <w:rsid w:val="005A59CF"/>
    <w:rsid w:val="005A5CD5"/>
    <w:rsid w:val="005A5E67"/>
    <w:rsid w:val="005A63D4"/>
    <w:rsid w:val="005A6CAF"/>
    <w:rsid w:val="005A7124"/>
    <w:rsid w:val="005A793C"/>
    <w:rsid w:val="005A7960"/>
    <w:rsid w:val="005A7A96"/>
    <w:rsid w:val="005B047C"/>
    <w:rsid w:val="005B0567"/>
    <w:rsid w:val="005B14CE"/>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2C7"/>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3E5"/>
    <w:rsid w:val="005E6619"/>
    <w:rsid w:val="005E6812"/>
    <w:rsid w:val="005E684F"/>
    <w:rsid w:val="005E69DF"/>
    <w:rsid w:val="005E6BCB"/>
    <w:rsid w:val="005E6F14"/>
    <w:rsid w:val="005E72EB"/>
    <w:rsid w:val="005E785C"/>
    <w:rsid w:val="005E7A4E"/>
    <w:rsid w:val="005E7A84"/>
    <w:rsid w:val="005E7E5C"/>
    <w:rsid w:val="005F0059"/>
    <w:rsid w:val="005F03E6"/>
    <w:rsid w:val="005F0AD0"/>
    <w:rsid w:val="005F0B18"/>
    <w:rsid w:val="005F1025"/>
    <w:rsid w:val="005F135B"/>
    <w:rsid w:val="005F15A5"/>
    <w:rsid w:val="005F1793"/>
    <w:rsid w:val="005F211C"/>
    <w:rsid w:val="005F24D2"/>
    <w:rsid w:val="005F2549"/>
    <w:rsid w:val="005F2818"/>
    <w:rsid w:val="005F2879"/>
    <w:rsid w:val="005F29AA"/>
    <w:rsid w:val="005F29DB"/>
    <w:rsid w:val="005F2A90"/>
    <w:rsid w:val="005F30B5"/>
    <w:rsid w:val="005F31B2"/>
    <w:rsid w:val="005F34CC"/>
    <w:rsid w:val="005F3649"/>
    <w:rsid w:val="005F37AF"/>
    <w:rsid w:val="005F3CB3"/>
    <w:rsid w:val="005F3EB7"/>
    <w:rsid w:val="005F4315"/>
    <w:rsid w:val="005F4549"/>
    <w:rsid w:val="005F495C"/>
    <w:rsid w:val="005F4FE7"/>
    <w:rsid w:val="005F5101"/>
    <w:rsid w:val="005F57BC"/>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ADA"/>
    <w:rsid w:val="00613713"/>
    <w:rsid w:val="00613B7F"/>
    <w:rsid w:val="00613EFE"/>
    <w:rsid w:val="006145B9"/>
    <w:rsid w:val="00614B7A"/>
    <w:rsid w:val="00614EC1"/>
    <w:rsid w:val="006152F5"/>
    <w:rsid w:val="0061653C"/>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2B6"/>
    <w:rsid w:val="00635397"/>
    <w:rsid w:val="006353BB"/>
    <w:rsid w:val="006354F3"/>
    <w:rsid w:val="00635564"/>
    <w:rsid w:val="006356F1"/>
    <w:rsid w:val="00635B53"/>
    <w:rsid w:val="00635FF3"/>
    <w:rsid w:val="00636093"/>
    <w:rsid w:val="00636242"/>
    <w:rsid w:val="00636784"/>
    <w:rsid w:val="006375E5"/>
    <w:rsid w:val="00637ACB"/>
    <w:rsid w:val="00637C32"/>
    <w:rsid w:val="006402BF"/>
    <w:rsid w:val="006404BF"/>
    <w:rsid w:val="00640A3E"/>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31F0"/>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07ED"/>
    <w:rsid w:val="0066138A"/>
    <w:rsid w:val="00661944"/>
    <w:rsid w:val="00661E36"/>
    <w:rsid w:val="006622BF"/>
    <w:rsid w:val="00662436"/>
    <w:rsid w:val="006627B5"/>
    <w:rsid w:val="00662CEB"/>
    <w:rsid w:val="00663195"/>
    <w:rsid w:val="00663770"/>
    <w:rsid w:val="00663BC9"/>
    <w:rsid w:val="00664A49"/>
    <w:rsid w:val="00664B21"/>
    <w:rsid w:val="00664CC4"/>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1C"/>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C1D"/>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840"/>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023"/>
    <w:rsid w:val="006D538E"/>
    <w:rsid w:val="006D54CC"/>
    <w:rsid w:val="006D6735"/>
    <w:rsid w:val="006D6CFE"/>
    <w:rsid w:val="006D7134"/>
    <w:rsid w:val="006D7309"/>
    <w:rsid w:val="006D765E"/>
    <w:rsid w:val="006D7813"/>
    <w:rsid w:val="006E1113"/>
    <w:rsid w:val="006E1941"/>
    <w:rsid w:val="006E1B28"/>
    <w:rsid w:val="006E1C46"/>
    <w:rsid w:val="006E249F"/>
    <w:rsid w:val="006E27C5"/>
    <w:rsid w:val="006E2A7C"/>
    <w:rsid w:val="006E2BBF"/>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3BD4"/>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B99"/>
    <w:rsid w:val="00701DA0"/>
    <w:rsid w:val="0070286B"/>
    <w:rsid w:val="00702CB0"/>
    <w:rsid w:val="00703171"/>
    <w:rsid w:val="00704120"/>
    <w:rsid w:val="00704268"/>
    <w:rsid w:val="007047D6"/>
    <w:rsid w:val="0070489D"/>
    <w:rsid w:val="00704A83"/>
    <w:rsid w:val="00705161"/>
    <w:rsid w:val="00705588"/>
    <w:rsid w:val="0070558F"/>
    <w:rsid w:val="007058A7"/>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99C"/>
    <w:rsid w:val="00712B7E"/>
    <w:rsid w:val="00712CBA"/>
    <w:rsid w:val="00712F16"/>
    <w:rsid w:val="00713E56"/>
    <w:rsid w:val="00713FA4"/>
    <w:rsid w:val="0071453D"/>
    <w:rsid w:val="00714561"/>
    <w:rsid w:val="00715764"/>
    <w:rsid w:val="00715C2A"/>
    <w:rsid w:val="00715F13"/>
    <w:rsid w:val="00716001"/>
    <w:rsid w:val="00716083"/>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38"/>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7BF"/>
    <w:rsid w:val="00726CE3"/>
    <w:rsid w:val="00726E61"/>
    <w:rsid w:val="00727071"/>
    <w:rsid w:val="00727242"/>
    <w:rsid w:val="0073035F"/>
    <w:rsid w:val="00730880"/>
    <w:rsid w:val="00730A49"/>
    <w:rsid w:val="00731475"/>
    <w:rsid w:val="00731D02"/>
    <w:rsid w:val="00732742"/>
    <w:rsid w:val="00732940"/>
    <w:rsid w:val="00732CE8"/>
    <w:rsid w:val="00732D90"/>
    <w:rsid w:val="0073334B"/>
    <w:rsid w:val="00733723"/>
    <w:rsid w:val="0073383C"/>
    <w:rsid w:val="0073413D"/>
    <w:rsid w:val="0073419D"/>
    <w:rsid w:val="0073467E"/>
    <w:rsid w:val="00734B28"/>
    <w:rsid w:val="0073530F"/>
    <w:rsid w:val="007359B8"/>
    <w:rsid w:val="00735FF5"/>
    <w:rsid w:val="00736510"/>
    <w:rsid w:val="00737096"/>
    <w:rsid w:val="0073715A"/>
    <w:rsid w:val="0073765E"/>
    <w:rsid w:val="007406C0"/>
    <w:rsid w:val="0074077F"/>
    <w:rsid w:val="00740E45"/>
    <w:rsid w:val="00740E7B"/>
    <w:rsid w:val="007410A3"/>
    <w:rsid w:val="007417A0"/>
    <w:rsid w:val="0074249E"/>
    <w:rsid w:val="0074296A"/>
    <w:rsid w:val="00742990"/>
    <w:rsid w:val="00742B8F"/>
    <w:rsid w:val="00742BB0"/>
    <w:rsid w:val="00742F1A"/>
    <w:rsid w:val="0074320E"/>
    <w:rsid w:val="0074396C"/>
    <w:rsid w:val="00743DDC"/>
    <w:rsid w:val="00744152"/>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6E4"/>
    <w:rsid w:val="00752B1A"/>
    <w:rsid w:val="00753A6B"/>
    <w:rsid w:val="00753B19"/>
    <w:rsid w:val="007540AB"/>
    <w:rsid w:val="007544B6"/>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B70"/>
    <w:rsid w:val="00757F25"/>
    <w:rsid w:val="007601B6"/>
    <w:rsid w:val="00760F1F"/>
    <w:rsid w:val="0076193C"/>
    <w:rsid w:val="007619D0"/>
    <w:rsid w:val="007620EB"/>
    <w:rsid w:val="0076227C"/>
    <w:rsid w:val="00762293"/>
    <w:rsid w:val="00762588"/>
    <w:rsid w:val="007625A0"/>
    <w:rsid w:val="007626A9"/>
    <w:rsid w:val="0076285E"/>
    <w:rsid w:val="007633E7"/>
    <w:rsid w:val="007635FF"/>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67C"/>
    <w:rsid w:val="00772D93"/>
    <w:rsid w:val="00772F91"/>
    <w:rsid w:val="0077333A"/>
    <w:rsid w:val="00773968"/>
    <w:rsid w:val="007739A8"/>
    <w:rsid w:val="00773AFC"/>
    <w:rsid w:val="00773F65"/>
    <w:rsid w:val="00774004"/>
    <w:rsid w:val="007741A2"/>
    <w:rsid w:val="0077434B"/>
    <w:rsid w:val="007744E9"/>
    <w:rsid w:val="00774655"/>
    <w:rsid w:val="007747B8"/>
    <w:rsid w:val="00774D1D"/>
    <w:rsid w:val="007754EA"/>
    <w:rsid w:val="007759CB"/>
    <w:rsid w:val="00775E3C"/>
    <w:rsid w:val="00775E89"/>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1F"/>
    <w:rsid w:val="00782B7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89C"/>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46B"/>
    <w:rsid w:val="007A393B"/>
    <w:rsid w:val="007A4322"/>
    <w:rsid w:val="007A4535"/>
    <w:rsid w:val="007A456B"/>
    <w:rsid w:val="007A4A27"/>
    <w:rsid w:val="007A5574"/>
    <w:rsid w:val="007A56AD"/>
    <w:rsid w:val="007A5B0B"/>
    <w:rsid w:val="007A5E77"/>
    <w:rsid w:val="007A64D7"/>
    <w:rsid w:val="007A65C7"/>
    <w:rsid w:val="007A65DC"/>
    <w:rsid w:val="007A66A5"/>
    <w:rsid w:val="007A6809"/>
    <w:rsid w:val="007A6BB6"/>
    <w:rsid w:val="007A72FB"/>
    <w:rsid w:val="007A7B89"/>
    <w:rsid w:val="007B050D"/>
    <w:rsid w:val="007B079C"/>
    <w:rsid w:val="007B0C6C"/>
    <w:rsid w:val="007B0D5D"/>
    <w:rsid w:val="007B0DE3"/>
    <w:rsid w:val="007B108A"/>
    <w:rsid w:val="007B15F0"/>
    <w:rsid w:val="007B1635"/>
    <w:rsid w:val="007B1A76"/>
    <w:rsid w:val="007B1E57"/>
    <w:rsid w:val="007B2724"/>
    <w:rsid w:val="007B27D2"/>
    <w:rsid w:val="007B2A0A"/>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82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5E3"/>
    <w:rsid w:val="007D7E70"/>
    <w:rsid w:val="007E010B"/>
    <w:rsid w:val="007E1193"/>
    <w:rsid w:val="007E1275"/>
    <w:rsid w:val="007E1E78"/>
    <w:rsid w:val="007E2091"/>
    <w:rsid w:val="007E211F"/>
    <w:rsid w:val="007E2178"/>
    <w:rsid w:val="007E2302"/>
    <w:rsid w:val="007E28B3"/>
    <w:rsid w:val="007E2DC3"/>
    <w:rsid w:val="007E2EC2"/>
    <w:rsid w:val="007E315C"/>
    <w:rsid w:val="007E32D9"/>
    <w:rsid w:val="007E3565"/>
    <w:rsid w:val="007E3846"/>
    <w:rsid w:val="007E3A4D"/>
    <w:rsid w:val="007E3A90"/>
    <w:rsid w:val="007E40AE"/>
    <w:rsid w:val="007E4E9E"/>
    <w:rsid w:val="007E4FED"/>
    <w:rsid w:val="007E5488"/>
    <w:rsid w:val="007E57E8"/>
    <w:rsid w:val="007E5952"/>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5DE"/>
    <w:rsid w:val="007F4C7A"/>
    <w:rsid w:val="007F51CC"/>
    <w:rsid w:val="007F5260"/>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53"/>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11A"/>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73"/>
    <w:rsid w:val="00821480"/>
    <w:rsid w:val="00821897"/>
    <w:rsid w:val="00821A9E"/>
    <w:rsid w:val="0082276A"/>
    <w:rsid w:val="008238B8"/>
    <w:rsid w:val="00823940"/>
    <w:rsid w:val="008242A2"/>
    <w:rsid w:val="0082472F"/>
    <w:rsid w:val="00824D2A"/>
    <w:rsid w:val="00825760"/>
    <w:rsid w:val="0082667D"/>
    <w:rsid w:val="0082727D"/>
    <w:rsid w:val="008272EC"/>
    <w:rsid w:val="00827B7C"/>
    <w:rsid w:val="00827F68"/>
    <w:rsid w:val="008302A1"/>
    <w:rsid w:val="0083059D"/>
    <w:rsid w:val="00830633"/>
    <w:rsid w:val="0083089C"/>
    <w:rsid w:val="008310D9"/>
    <w:rsid w:val="00831375"/>
    <w:rsid w:val="00831816"/>
    <w:rsid w:val="008318A3"/>
    <w:rsid w:val="00831AC0"/>
    <w:rsid w:val="00831C53"/>
    <w:rsid w:val="00831F04"/>
    <w:rsid w:val="0083247C"/>
    <w:rsid w:val="00832A8E"/>
    <w:rsid w:val="00832C49"/>
    <w:rsid w:val="00833022"/>
    <w:rsid w:val="00833222"/>
    <w:rsid w:val="00833574"/>
    <w:rsid w:val="00833637"/>
    <w:rsid w:val="00833923"/>
    <w:rsid w:val="0083418A"/>
    <w:rsid w:val="00834639"/>
    <w:rsid w:val="008346F3"/>
    <w:rsid w:val="008347A7"/>
    <w:rsid w:val="0083506C"/>
    <w:rsid w:val="008351F1"/>
    <w:rsid w:val="008354CB"/>
    <w:rsid w:val="0083558A"/>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48D"/>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BA3"/>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75B"/>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17A"/>
    <w:rsid w:val="0088723B"/>
    <w:rsid w:val="00887BA1"/>
    <w:rsid w:val="00887F8B"/>
    <w:rsid w:val="00890197"/>
    <w:rsid w:val="008906E3"/>
    <w:rsid w:val="008909EB"/>
    <w:rsid w:val="00890B68"/>
    <w:rsid w:val="00890FD7"/>
    <w:rsid w:val="00891046"/>
    <w:rsid w:val="008912C3"/>
    <w:rsid w:val="008914CF"/>
    <w:rsid w:val="008915DE"/>
    <w:rsid w:val="00891718"/>
    <w:rsid w:val="00891E17"/>
    <w:rsid w:val="008920B4"/>
    <w:rsid w:val="0089215A"/>
    <w:rsid w:val="00892311"/>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EC4"/>
    <w:rsid w:val="00897F83"/>
    <w:rsid w:val="008A0E21"/>
    <w:rsid w:val="008A14AB"/>
    <w:rsid w:val="008A19FC"/>
    <w:rsid w:val="008A1EB8"/>
    <w:rsid w:val="008A1F15"/>
    <w:rsid w:val="008A2168"/>
    <w:rsid w:val="008A2610"/>
    <w:rsid w:val="008A2701"/>
    <w:rsid w:val="008A2832"/>
    <w:rsid w:val="008A4795"/>
    <w:rsid w:val="008A482B"/>
    <w:rsid w:val="008A4B36"/>
    <w:rsid w:val="008A4C71"/>
    <w:rsid w:val="008A54B9"/>
    <w:rsid w:val="008A566E"/>
    <w:rsid w:val="008A7745"/>
    <w:rsid w:val="008A78BC"/>
    <w:rsid w:val="008A7C55"/>
    <w:rsid w:val="008A7D0D"/>
    <w:rsid w:val="008A7E32"/>
    <w:rsid w:val="008A7E55"/>
    <w:rsid w:val="008B004E"/>
    <w:rsid w:val="008B00E3"/>
    <w:rsid w:val="008B0DAC"/>
    <w:rsid w:val="008B0F95"/>
    <w:rsid w:val="008B113E"/>
    <w:rsid w:val="008B12D6"/>
    <w:rsid w:val="008B13DF"/>
    <w:rsid w:val="008B1C49"/>
    <w:rsid w:val="008B1ED0"/>
    <w:rsid w:val="008B24E6"/>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B7C1A"/>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43CA"/>
    <w:rsid w:val="008C5476"/>
    <w:rsid w:val="008C55FD"/>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19"/>
    <w:rsid w:val="008D23C6"/>
    <w:rsid w:val="008D257E"/>
    <w:rsid w:val="008D3461"/>
    <w:rsid w:val="008D3567"/>
    <w:rsid w:val="008D3952"/>
    <w:rsid w:val="008D3AAB"/>
    <w:rsid w:val="008D3BDE"/>
    <w:rsid w:val="008D3EE4"/>
    <w:rsid w:val="008D3F73"/>
    <w:rsid w:val="008D4234"/>
    <w:rsid w:val="008D4705"/>
    <w:rsid w:val="008D59F7"/>
    <w:rsid w:val="008D5A2D"/>
    <w:rsid w:val="008D5B0A"/>
    <w:rsid w:val="008D6000"/>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1D4C"/>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6EE9"/>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03E"/>
    <w:rsid w:val="008F532F"/>
    <w:rsid w:val="008F5B0A"/>
    <w:rsid w:val="008F5C51"/>
    <w:rsid w:val="008F5EA6"/>
    <w:rsid w:val="008F6101"/>
    <w:rsid w:val="008F6897"/>
    <w:rsid w:val="008F68B4"/>
    <w:rsid w:val="008F7FBA"/>
    <w:rsid w:val="009004F8"/>
    <w:rsid w:val="009005EE"/>
    <w:rsid w:val="00900663"/>
    <w:rsid w:val="009006E2"/>
    <w:rsid w:val="00900890"/>
    <w:rsid w:val="00900D21"/>
    <w:rsid w:val="00900DC6"/>
    <w:rsid w:val="009011AF"/>
    <w:rsid w:val="009015BC"/>
    <w:rsid w:val="009018EA"/>
    <w:rsid w:val="00901D45"/>
    <w:rsid w:val="00901F8D"/>
    <w:rsid w:val="00902884"/>
    <w:rsid w:val="009029C5"/>
    <w:rsid w:val="009029FC"/>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82"/>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1CE8"/>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8"/>
    <w:rsid w:val="00940CCA"/>
    <w:rsid w:val="00940E8F"/>
    <w:rsid w:val="0094126D"/>
    <w:rsid w:val="00941429"/>
    <w:rsid w:val="009416AD"/>
    <w:rsid w:val="009417D0"/>
    <w:rsid w:val="00941CAE"/>
    <w:rsid w:val="009428CB"/>
    <w:rsid w:val="009432EE"/>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0D25"/>
    <w:rsid w:val="0095192B"/>
    <w:rsid w:val="0095240E"/>
    <w:rsid w:val="009526C6"/>
    <w:rsid w:val="0095296A"/>
    <w:rsid w:val="00953504"/>
    <w:rsid w:val="00953610"/>
    <w:rsid w:val="009536E5"/>
    <w:rsid w:val="00953893"/>
    <w:rsid w:val="009539C8"/>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11C"/>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4BA"/>
    <w:rsid w:val="009818F6"/>
    <w:rsid w:val="00981CBE"/>
    <w:rsid w:val="00981D78"/>
    <w:rsid w:val="00981ED4"/>
    <w:rsid w:val="0098211B"/>
    <w:rsid w:val="009821A3"/>
    <w:rsid w:val="009826DA"/>
    <w:rsid w:val="009829B2"/>
    <w:rsid w:val="00982FF3"/>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624"/>
    <w:rsid w:val="009947EA"/>
    <w:rsid w:val="00994B6D"/>
    <w:rsid w:val="00994BE2"/>
    <w:rsid w:val="00995415"/>
    <w:rsid w:val="0099567D"/>
    <w:rsid w:val="00995725"/>
    <w:rsid w:val="00995C7C"/>
    <w:rsid w:val="00995E47"/>
    <w:rsid w:val="00996AFF"/>
    <w:rsid w:val="00996BE5"/>
    <w:rsid w:val="00996F50"/>
    <w:rsid w:val="00996F68"/>
    <w:rsid w:val="0099731F"/>
    <w:rsid w:val="009977BB"/>
    <w:rsid w:val="0099797E"/>
    <w:rsid w:val="00997D5F"/>
    <w:rsid w:val="009A003B"/>
    <w:rsid w:val="009A0750"/>
    <w:rsid w:val="009A088F"/>
    <w:rsid w:val="009A136D"/>
    <w:rsid w:val="009A1894"/>
    <w:rsid w:val="009A1AD5"/>
    <w:rsid w:val="009A2612"/>
    <w:rsid w:val="009A3970"/>
    <w:rsid w:val="009A3C45"/>
    <w:rsid w:val="009A3D11"/>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131"/>
    <w:rsid w:val="009B7262"/>
    <w:rsid w:val="009B73DC"/>
    <w:rsid w:val="009B76CC"/>
    <w:rsid w:val="009B79B7"/>
    <w:rsid w:val="009B7BB8"/>
    <w:rsid w:val="009B7F14"/>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5B1"/>
    <w:rsid w:val="009C46D2"/>
    <w:rsid w:val="009C4716"/>
    <w:rsid w:val="009C4F21"/>
    <w:rsid w:val="009C4FCB"/>
    <w:rsid w:val="009C5C71"/>
    <w:rsid w:val="009C5DCE"/>
    <w:rsid w:val="009C6084"/>
    <w:rsid w:val="009C6425"/>
    <w:rsid w:val="009C67FD"/>
    <w:rsid w:val="009C6834"/>
    <w:rsid w:val="009C6DFC"/>
    <w:rsid w:val="009C6EB7"/>
    <w:rsid w:val="009C7087"/>
    <w:rsid w:val="009C70E2"/>
    <w:rsid w:val="009C75C0"/>
    <w:rsid w:val="009C760D"/>
    <w:rsid w:val="009C769F"/>
    <w:rsid w:val="009C7BAC"/>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3F3B"/>
    <w:rsid w:val="009D433D"/>
    <w:rsid w:val="009D45E4"/>
    <w:rsid w:val="009D4601"/>
    <w:rsid w:val="009D4C2C"/>
    <w:rsid w:val="009D4D1A"/>
    <w:rsid w:val="009D4E19"/>
    <w:rsid w:val="009D518E"/>
    <w:rsid w:val="009D53AC"/>
    <w:rsid w:val="009D5745"/>
    <w:rsid w:val="009D5B20"/>
    <w:rsid w:val="009D5DA2"/>
    <w:rsid w:val="009D65DC"/>
    <w:rsid w:val="009D6ABE"/>
    <w:rsid w:val="009D6CE9"/>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32B"/>
    <w:rsid w:val="00A054B7"/>
    <w:rsid w:val="00A0551F"/>
    <w:rsid w:val="00A05FAB"/>
    <w:rsid w:val="00A061EC"/>
    <w:rsid w:val="00A06648"/>
    <w:rsid w:val="00A0685D"/>
    <w:rsid w:val="00A06930"/>
    <w:rsid w:val="00A0696A"/>
    <w:rsid w:val="00A06AC2"/>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B72"/>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66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2E7E"/>
    <w:rsid w:val="00A33121"/>
    <w:rsid w:val="00A334FF"/>
    <w:rsid w:val="00A33B13"/>
    <w:rsid w:val="00A34CF3"/>
    <w:rsid w:val="00A35A04"/>
    <w:rsid w:val="00A35CE3"/>
    <w:rsid w:val="00A364D0"/>
    <w:rsid w:val="00A364F4"/>
    <w:rsid w:val="00A36BBE"/>
    <w:rsid w:val="00A36F93"/>
    <w:rsid w:val="00A36FC4"/>
    <w:rsid w:val="00A37B3E"/>
    <w:rsid w:val="00A37CD7"/>
    <w:rsid w:val="00A40206"/>
    <w:rsid w:val="00A407EF"/>
    <w:rsid w:val="00A40958"/>
    <w:rsid w:val="00A40A6D"/>
    <w:rsid w:val="00A41D8A"/>
    <w:rsid w:val="00A4243D"/>
    <w:rsid w:val="00A42483"/>
    <w:rsid w:val="00A42983"/>
    <w:rsid w:val="00A429AA"/>
    <w:rsid w:val="00A42C0B"/>
    <w:rsid w:val="00A43127"/>
    <w:rsid w:val="00A431F8"/>
    <w:rsid w:val="00A43200"/>
    <w:rsid w:val="00A43DD0"/>
    <w:rsid w:val="00A44A0D"/>
    <w:rsid w:val="00A44AB1"/>
    <w:rsid w:val="00A44F91"/>
    <w:rsid w:val="00A451D0"/>
    <w:rsid w:val="00A4549F"/>
    <w:rsid w:val="00A45827"/>
    <w:rsid w:val="00A46503"/>
    <w:rsid w:val="00A4665E"/>
    <w:rsid w:val="00A46FAA"/>
    <w:rsid w:val="00A47127"/>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971"/>
    <w:rsid w:val="00A57C83"/>
    <w:rsid w:val="00A57D58"/>
    <w:rsid w:val="00A57D91"/>
    <w:rsid w:val="00A60442"/>
    <w:rsid w:val="00A605DA"/>
    <w:rsid w:val="00A60CDC"/>
    <w:rsid w:val="00A60D41"/>
    <w:rsid w:val="00A60FF6"/>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4BB"/>
    <w:rsid w:val="00A65696"/>
    <w:rsid w:val="00A658A0"/>
    <w:rsid w:val="00A65A23"/>
    <w:rsid w:val="00A66AFB"/>
    <w:rsid w:val="00A66C74"/>
    <w:rsid w:val="00A66E3E"/>
    <w:rsid w:val="00A6706C"/>
    <w:rsid w:val="00A67233"/>
    <w:rsid w:val="00A6723E"/>
    <w:rsid w:val="00A6754A"/>
    <w:rsid w:val="00A675C4"/>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0FE8"/>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8F9"/>
    <w:rsid w:val="00A96CE5"/>
    <w:rsid w:val="00A971F8"/>
    <w:rsid w:val="00A9739A"/>
    <w:rsid w:val="00A97A28"/>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43"/>
    <w:rsid w:val="00AA4CA3"/>
    <w:rsid w:val="00AA4DBE"/>
    <w:rsid w:val="00AA539D"/>
    <w:rsid w:val="00AA5550"/>
    <w:rsid w:val="00AA5603"/>
    <w:rsid w:val="00AA5A32"/>
    <w:rsid w:val="00AA5D49"/>
    <w:rsid w:val="00AA68A8"/>
    <w:rsid w:val="00AA6C00"/>
    <w:rsid w:val="00AA6D42"/>
    <w:rsid w:val="00AA6DCC"/>
    <w:rsid w:val="00AA7AD4"/>
    <w:rsid w:val="00AA7CD6"/>
    <w:rsid w:val="00AB122A"/>
    <w:rsid w:val="00AB1254"/>
    <w:rsid w:val="00AB19DD"/>
    <w:rsid w:val="00AB1A37"/>
    <w:rsid w:val="00AB1AAE"/>
    <w:rsid w:val="00AB21F9"/>
    <w:rsid w:val="00AB243F"/>
    <w:rsid w:val="00AB3191"/>
    <w:rsid w:val="00AB3909"/>
    <w:rsid w:val="00AB393C"/>
    <w:rsid w:val="00AB3CA3"/>
    <w:rsid w:val="00AB3ED3"/>
    <w:rsid w:val="00AB4143"/>
    <w:rsid w:val="00AB4496"/>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09AE"/>
    <w:rsid w:val="00AC1807"/>
    <w:rsid w:val="00AC1D9E"/>
    <w:rsid w:val="00AC2142"/>
    <w:rsid w:val="00AC23E4"/>
    <w:rsid w:val="00AC243C"/>
    <w:rsid w:val="00AC25CD"/>
    <w:rsid w:val="00AC2C0C"/>
    <w:rsid w:val="00AC2E62"/>
    <w:rsid w:val="00AC328E"/>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D7B"/>
    <w:rsid w:val="00AC7E61"/>
    <w:rsid w:val="00AC7E99"/>
    <w:rsid w:val="00AC7F54"/>
    <w:rsid w:val="00AD01FD"/>
    <w:rsid w:val="00AD032F"/>
    <w:rsid w:val="00AD04B4"/>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21F"/>
    <w:rsid w:val="00AE0935"/>
    <w:rsid w:val="00AE0CAE"/>
    <w:rsid w:val="00AE0D65"/>
    <w:rsid w:val="00AE0EDD"/>
    <w:rsid w:val="00AE11A3"/>
    <w:rsid w:val="00AE14D5"/>
    <w:rsid w:val="00AE16A0"/>
    <w:rsid w:val="00AE18D3"/>
    <w:rsid w:val="00AE193F"/>
    <w:rsid w:val="00AE1BB4"/>
    <w:rsid w:val="00AE1BFE"/>
    <w:rsid w:val="00AE2021"/>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55D"/>
    <w:rsid w:val="00AF4983"/>
    <w:rsid w:val="00AF4BB0"/>
    <w:rsid w:val="00AF4D02"/>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35D"/>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74D"/>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2960"/>
    <w:rsid w:val="00B432A5"/>
    <w:rsid w:val="00B43829"/>
    <w:rsid w:val="00B43838"/>
    <w:rsid w:val="00B43D9B"/>
    <w:rsid w:val="00B442EB"/>
    <w:rsid w:val="00B44AAB"/>
    <w:rsid w:val="00B44B1D"/>
    <w:rsid w:val="00B45087"/>
    <w:rsid w:val="00B45FDD"/>
    <w:rsid w:val="00B46047"/>
    <w:rsid w:val="00B46FD8"/>
    <w:rsid w:val="00B47307"/>
    <w:rsid w:val="00B4741F"/>
    <w:rsid w:val="00B47A0E"/>
    <w:rsid w:val="00B50140"/>
    <w:rsid w:val="00B50264"/>
    <w:rsid w:val="00B502ED"/>
    <w:rsid w:val="00B503C1"/>
    <w:rsid w:val="00B5078F"/>
    <w:rsid w:val="00B50940"/>
    <w:rsid w:val="00B509FF"/>
    <w:rsid w:val="00B5194E"/>
    <w:rsid w:val="00B5226E"/>
    <w:rsid w:val="00B522E5"/>
    <w:rsid w:val="00B527B5"/>
    <w:rsid w:val="00B52D67"/>
    <w:rsid w:val="00B52F24"/>
    <w:rsid w:val="00B52F64"/>
    <w:rsid w:val="00B53267"/>
    <w:rsid w:val="00B53781"/>
    <w:rsid w:val="00B53BCD"/>
    <w:rsid w:val="00B53C53"/>
    <w:rsid w:val="00B53DBF"/>
    <w:rsid w:val="00B54248"/>
    <w:rsid w:val="00B545FA"/>
    <w:rsid w:val="00B5471A"/>
    <w:rsid w:val="00B547C3"/>
    <w:rsid w:val="00B54954"/>
    <w:rsid w:val="00B54B70"/>
    <w:rsid w:val="00B54E44"/>
    <w:rsid w:val="00B555E9"/>
    <w:rsid w:val="00B55CE7"/>
    <w:rsid w:val="00B55FA0"/>
    <w:rsid w:val="00B56138"/>
    <w:rsid w:val="00B570AE"/>
    <w:rsid w:val="00B57C32"/>
    <w:rsid w:val="00B57C8E"/>
    <w:rsid w:val="00B6022D"/>
    <w:rsid w:val="00B60432"/>
    <w:rsid w:val="00B61C7E"/>
    <w:rsid w:val="00B61E2E"/>
    <w:rsid w:val="00B61F6F"/>
    <w:rsid w:val="00B6247B"/>
    <w:rsid w:val="00B628EE"/>
    <w:rsid w:val="00B62ECE"/>
    <w:rsid w:val="00B63293"/>
    <w:rsid w:val="00B63934"/>
    <w:rsid w:val="00B639EA"/>
    <w:rsid w:val="00B63C9D"/>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03C"/>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18"/>
    <w:rsid w:val="00B82234"/>
    <w:rsid w:val="00B827D1"/>
    <w:rsid w:val="00B82F31"/>
    <w:rsid w:val="00B8338E"/>
    <w:rsid w:val="00B83583"/>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6B9"/>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657"/>
    <w:rsid w:val="00B94753"/>
    <w:rsid w:val="00B947A2"/>
    <w:rsid w:val="00B94B09"/>
    <w:rsid w:val="00B94DD0"/>
    <w:rsid w:val="00B94F52"/>
    <w:rsid w:val="00B9536D"/>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B38"/>
    <w:rsid w:val="00BA4C43"/>
    <w:rsid w:val="00BA5016"/>
    <w:rsid w:val="00BA557B"/>
    <w:rsid w:val="00BA57BD"/>
    <w:rsid w:val="00BA5B0A"/>
    <w:rsid w:val="00BA5D55"/>
    <w:rsid w:val="00BA6143"/>
    <w:rsid w:val="00BA6295"/>
    <w:rsid w:val="00BA687D"/>
    <w:rsid w:val="00BA6933"/>
    <w:rsid w:val="00BA787B"/>
    <w:rsid w:val="00BA79D0"/>
    <w:rsid w:val="00BA7B5F"/>
    <w:rsid w:val="00BA7E2B"/>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094"/>
    <w:rsid w:val="00BC720D"/>
    <w:rsid w:val="00BC76A1"/>
    <w:rsid w:val="00BC7C48"/>
    <w:rsid w:val="00BC7E86"/>
    <w:rsid w:val="00BC7EA8"/>
    <w:rsid w:val="00BD0248"/>
    <w:rsid w:val="00BD06EC"/>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E5C"/>
    <w:rsid w:val="00BE1E8B"/>
    <w:rsid w:val="00BE2082"/>
    <w:rsid w:val="00BE21E8"/>
    <w:rsid w:val="00BE22CC"/>
    <w:rsid w:val="00BE22E0"/>
    <w:rsid w:val="00BE27A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82C"/>
    <w:rsid w:val="00BF0A47"/>
    <w:rsid w:val="00BF0B0A"/>
    <w:rsid w:val="00BF0D1D"/>
    <w:rsid w:val="00BF0F2A"/>
    <w:rsid w:val="00BF117A"/>
    <w:rsid w:val="00BF1B27"/>
    <w:rsid w:val="00BF1C45"/>
    <w:rsid w:val="00BF20E5"/>
    <w:rsid w:val="00BF272C"/>
    <w:rsid w:val="00BF2D48"/>
    <w:rsid w:val="00BF2DD1"/>
    <w:rsid w:val="00BF31B4"/>
    <w:rsid w:val="00BF3724"/>
    <w:rsid w:val="00BF3A02"/>
    <w:rsid w:val="00BF3F76"/>
    <w:rsid w:val="00BF40A8"/>
    <w:rsid w:val="00BF414D"/>
    <w:rsid w:val="00BF49E1"/>
    <w:rsid w:val="00BF5058"/>
    <w:rsid w:val="00BF52F4"/>
    <w:rsid w:val="00BF5383"/>
    <w:rsid w:val="00BF5485"/>
    <w:rsid w:val="00BF5B41"/>
    <w:rsid w:val="00BF5E43"/>
    <w:rsid w:val="00BF69EA"/>
    <w:rsid w:val="00BF6D33"/>
    <w:rsid w:val="00BF7883"/>
    <w:rsid w:val="00C00976"/>
    <w:rsid w:val="00C00F79"/>
    <w:rsid w:val="00C0104F"/>
    <w:rsid w:val="00C015D8"/>
    <w:rsid w:val="00C018D9"/>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58"/>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1A4"/>
    <w:rsid w:val="00C26597"/>
    <w:rsid w:val="00C26BF0"/>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ED"/>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51"/>
    <w:rsid w:val="00C54175"/>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763"/>
    <w:rsid w:val="00C63F1C"/>
    <w:rsid w:val="00C63FEE"/>
    <w:rsid w:val="00C64668"/>
    <w:rsid w:val="00C6474F"/>
    <w:rsid w:val="00C64774"/>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2C3"/>
    <w:rsid w:val="00C76941"/>
    <w:rsid w:val="00C76A00"/>
    <w:rsid w:val="00C775D4"/>
    <w:rsid w:val="00C77791"/>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A1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1F43"/>
    <w:rsid w:val="00C9278A"/>
    <w:rsid w:val="00C93479"/>
    <w:rsid w:val="00C936B0"/>
    <w:rsid w:val="00C93E4C"/>
    <w:rsid w:val="00C94430"/>
    <w:rsid w:val="00C94DC8"/>
    <w:rsid w:val="00C94E77"/>
    <w:rsid w:val="00C955E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3F9"/>
    <w:rsid w:val="00CB061E"/>
    <w:rsid w:val="00CB0D96"/>
    <w:rsid w:val="00CB0F18"/>
    <w:rsid w:val="00CB1732"/>
    <w:rsid w:val="00CB1952"/>
    <w:rsid w:val="00CB19AB"/>
    <w:rsid w:val="00CB1A50"/>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9A9"/>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417E"/>
    <w:rsid w:val="00CC430F"/>
    <w:rsid w:val="00CC492D"/>
    <w:rsid w:val="00CC4CC5"/>
    <w:rsid w:val="00CC4D71"/>
    <w:rsid w:val="00CC545A"/>
    <w:rsid w:val="00CC592B"/>
    <w:rsid w:val="00CC59BC"/>
    <w:rsid w:val="00CC6037"/>
    <w:rsid w:val="00CC6149"/>
    <w:rsid w:val="00CC63D5"/>
    <w:rsid w:val="00CC6970"/>
    <w:rsid w:val="00CC6A47"/>
    <w:rsid w:val="00CC6EE1"/>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43F"/>
    <w:rsid w:val="00CD6617"/>
    <w:rsid w:val="00CD6660"/>
    <w:rsid w:val="00CD67F1"/>
    <w:rsid w:val="00CD6805"/>
    <w:rsid w:val="00CD6861"/>
    <w:rsid w:val="00CD6EBF"/>
    <w:rsid w:val="00CD7076"/>
    <w:rsid w:val="00CD7394"/>
    <w:rsid w:val="00CD74A3"/>
    <w:rsid w:val="00CE04BC"/>
    <w:rsid w:val="00CE0757"/>
    <w:rsid w:val="00CE07BF"/>
    <w:rsid w:val="00CE092B"/>
    <w:rsid w:val="00CE0B88"/>
    <w:rsid w:val="00CE0CA0"/>
    <w:rsid w:val="00CE1625"/>
    <w:rsid w:val="00CE18BF"/>
    <w:rsid w:val="00CE1BCB"/>
    <w:rsid w:val="00CE1C3F"/>
    <w:rsid w:val="00CE2106"/>
    <w:rsid w:val="00CE22B6"/>
    <w:rsid w:val="00CE2826"/>
    <w:rsid w:val="00CE2B85"/>
    <w:rsid w:val="00CE325F"/>
    <w:rsid w:val="00CE3AA7"/>
    <w:rsid w:val="00CE3B4C"/>
    <w:rsid w:val="00CE5102"/>
    <w:rsid w:val="00CE555B"/>
    <w:rsid w:val="00CE59DF"/>
    <w:rsid w:val="00CE5B9B"/>
    <w:rsid w:val="00CE5EC2"/>
    <w:rsid w:val="00CE7474"/>
    <w:rsid w:val="00CE7554"/>
    <w:rsid w:val="00CE76F4"/>
    <w:rsid w:val="00CE7828"/>
    <w:rsid w:val="00CE7AEE"/>
    <w:rsid w:val="00CE7D4C"/>
    <w:rsid w:val="00CE7F1C"/>
    <w:rsid w:val="00CF0054"/>
    <w:rsid w:val="00CF010A"/>
    <w:rsid w:val="00CF02BE"/>
    <w:rsid w:val="00CF054D"/>
    <w:rsid w:val="00CF0D80"/>
    <w:rsid w:val="00CF14E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6AF"/>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D6C"/>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58"/>
    <w:rsid w:val="00D132B1"/>
    <w:rsid w:val="00D13FC2"/>
    <w:rsid w:val="00D14749"/>
    <w:rsid w:val="00D1499B"/>
    <w:rsid w:val="00D14C4B"/>
    <w:rsid w:val="00D14D64"/>
    <w:rsid w:val="00D14FCA"/>
    <w:rsid w:val="00D15014"/>
    <w:rsid w:val="00D15C91"/>
    <w:rsid w:val="00D15F88"/>
    <w:rsid w:val="00D16526"/>
    <w:rsid w:val="00D1655A"/>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328"/>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6B48"/>
    <w:rsid w:val="00D37310"/>
    <w:rsid w:val="00D37B9A"/>
    <w:rsid w:val="00D37EA5"/>
    <w:rsid w:val="00D400A9"/>
    <w:rsid w:val="00D4094B"/>
    <w:rsid w:val="00D40C2B"/>
    <w:rsid w:val="00D40F61"/>
    <w:rsid w:val="00D417ED"/>
    <w:rsid w:val="00D41C5C"/>
    <w:rsid w:val="00D42322"/>
    <w:rsid w:val="00D428E2"/>
    <w:rsid w:val="00D42BFA"/>
    <w:rsid w:val="00D42D39"/>
    <w:rsid w:val="00D4323A"/>
    <w:rsid w:val="00D43302"/>
    <w:rsid w:val="00D43670"/>
    <w:rsid w:val="00D43A40"/>
    <w:rsid w:val="00D43AC1"/>
    <w:rsid w:val="00D44292"/>
    <w:rsid w:val="00D44587"/>
    <w:rsid w:val="00D452C5"/>
    <w:rsid w:val="00D4532A"/>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09"/>
    <w:rsid w:val="00D54BAD"/>
    <w:rsid w:val="00D54E77"/>
    <w:rsid w:val="00D5501D"/>
    <w:rsid w:val="00D550E6"/>
    <w:rsid w:val="00D552FC"/>
    <w:rsid w:val="00D55858"/>
    <w:rsid w:val="00D55AD6"/>
    <w:rsid w:val="00D55F7B"/>
    <w:rsid w:val="00D5648A"/>
    <w:rsid w:val="00D56625"/>
    <w:rsid w:val="00D56640"/>
    <w:rsid w:val="00D5689B"/>
    <w:rsid w:val="00D56B30"/>
    <w:rsid w:val="00D60342"/>
    <w:rsid w:val="00D603DC"/>
    <w:rsid w:val="00D6068C"/>
    <w:rsid w:val="00D60DDD"/>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9D9"/>
    <w:rsid w:val="00D73AAC"/>
    <w:rsid w:val="00D73D1E"/>
    <w:rsid w:val="00D741BA"/>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1616"/>
    <w:rsid w:val="00D81E77"/>
    <w:rsid w:val="00D8201F"/>
    <w:rsid w:val="00D82627"/>
    <w:rsid w:val="00D82889"/>
    <w:rsid w:val="00D82950"/>
    <w:rsid w:val="00D82B34"/>
    <w:rsid w:val="00D82BB3"/>
    <w:rsid w:val="00D8324C"/>
    <w:rsid w:val="00D837B7"/>
    <w:rsid w:val="00D837CC"/>
    <w:rsid w:val="00D837E6"/>
    <w:rsid w:val="00D83964"/>
    <w:rsid w:val="00D83B7E"/>
    <w:rsid w:val="00D83FDD"/>
    <w:rsid w:val="00D840BE"/>
    <w:rsid w:val="00D84977"/>
    <w:rsid w:val="00D85172"/>
    <w:rsid w:val="00D854EC"/>
    <w:rsid w:val="00D857EB"/>
    <w:rsid w:val="00D8584A"/>
    <w:rsid w:val="00D85CD8"/>
    <w:rsid w:val="00D85F5A"/>
    <w:rsid w:val="00D86377"/>
    <w:rsid w:val="00D869A5"/>
    <w:rsid w:val="00D86A96"/>
    <w:rsid w:val="00D86DB1"/>
    <w:rsid w:val="00D871F0"/>
    <w:rsid w:val="00D8720A"/>
    <w:rsid w:val="00D873C3"/>
    <w:rsid w:val="00D87823"/>
    <w:rsid w:val="00D87956"/>
    <w:rsid w:val="00D87E8D"/>
    <w:rsid w:val="00D9040B"/>
    <w:rsid w:val="00D90931"/>
    <w:rsid w:val="00D90D9A"/>
    <w:rsid w:val="00D91130"/>
    <w:rsid w:val="00D91310"/>
    <w:rsid w:val="00D9152D"/>
    <w:rsid w:val="00D91DB5"/>
    <w:rsid w:val="00D926C8"/>
    <w:rsid w:val="00D926F2"/>
    <w:rsid w:val="00D92D00"/>
    <w:rsid w:val="00D92DEC"/>
    <w:rsid w:val="00D9323C"/>
    <w:rsid w:val="00D93303"/>
    <w:rsid w:val="00D93592"/>
    <w:rsid w:val="00D936B0"/>
    <w:rsid w:val="00D93757"/>
    <w:rsid w:val="00D93A6E"/>
    <w:rsid w:val="00D9422C"/>
    <w:rsid w:val="00D9485A"/>
    <w:rsid w:val="00D9497B"/>
    <w:rsid w:val="00D94C42"/>
    <w:rsid w:val="00D94FA0"/>
    <w:rsid w:val="00D95116"/>
    <w:rsid w:val="00D95406"/>
    <w:rsid w:val="00D95770"/>
    <w:rsid w:val="00D95EAB"/>
    <w:rsid w:val="00D96380"/>
    <w:rsid w:val="00D963B6"/>
    <w:rsid w:val="00D96830"/>
    <w:rsid w:val="00D97318"/>
    <w:rsid w:val="00D97937"/>
    <w:rsid w:val="00DA0407"/>
    <w:rsid w:val="00DA0610"/>
    <w:rsid w:val="00DA06EA"/>
    <w:rsid w:val="00DA0CFF"/>
    <w:rsid w:val="00DA0D05"/>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24"/>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9D9"/>
    <w:rsid w:val="00DC0C19"/>
    <w:rsid w:val="00DC139D"/>
    <w:rsid w:val="00DC1805"/>
    <w:rsid w:val="00DC226D"/>
    <w:rsid w:val="00DC2307"/>
    <w:rsid w:val="00DC24D4"/>
    <w:rsid w:val="00DC2995"/>
    <w:rsid w:val="00DC2AB7"/>
    <w:rsid w:val="00DC346E"/>
    <w:rsid w:val="00DC3A53"/>
    <w:rsid w:val="00DC4208"/>
    <w:rsid w:val="00DC4D9D"/>
    <w:rsid w:val="00DC4F66"/>
    <w:rsid w:val="00DC5754"/>
    <w:rsid w:val="00DC64F5"/>
    <w:rsid w:val="00DC6670"/>
    <w:rsid w:val="00DC719E"/>
    <w:rsid w:val="00DC71C3"/>
    <w:rsid w:val="00DC743A"/>
    <w:rsid w:val="00DC7A31"/>
    <w:rsid w:val="00DD0195"/>
    <w:rsid w:val="00DD0242"/>
    <w:rsid w:val="00DD05BB"/>
    <w:rsid w:val="00DD1079"/>
    <w:rsid w:val="00DD10C7"/>
    <w:rsid w:val="00DD14C1"/>
    <w:rsid w:val="00DD1B93"/>
    <w:rsid w:val="00DD27DC"/>
    <w:rsid w:val="00DD2AB6"/>
    <w:rsid w:val="00DD335A"/>
    <w:rsid w:val="00DD3781"/>
    <w:rsid w:val="00DD38B2"/>
    <w:rsid w:val="00DD3977"/>
    <w:rsid w:val="00DD3CC3"/>
    <w:rsid w:val="00DD3E96"/>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C83"/>
    <w:rsid w:val="00DE5D7C"/>
    <w:rsid w:val="00DE6035"/>
    <w:rsid w:val="00DE6341"/>
    <w:rsid w:val="00DE6489"/>
    <w:rsid w:val="00DE699A"/>
    <w:rsid w:val="00DE6A39"/>
    <w:rsid w:val="00DE6D06"/>
    <w:rsid w:val="00DE71DC"/>
    <w:rsid w:val="00DE7355"/>
    <w:rsid w:val="00DE749B"/>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4D7"/>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B39"/>
    <w:rsid w:val="00E07D4F"/>
    <w:rsid w:val="00E07E56"/>
    <w:rsid w:val="00E104E8"/>
    <w:rsid w:val="00E10636"/>
    <w:rsid w:val="00E1072F"/>
    <w:rsid w:val="00E10A17"/>
    <w:rsid w:val="00E111DD"/>
    <w:rsid w:val="00E11966"/>
    <w:rsid w:val="00E11AC1"/>
    <w:rsid w:val="00E11F92"/>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0B53"/>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323"/>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4D89"/>
    <w:rsid w:val="00E55033"/>
    <w:rsid w:val="00E55073"/>
    <w:rsid w:val="00E5537B"/>
    <w:rsid w:val="00E55C5B"/>
    <w:rsid w:val="00E55FB5"/>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98"/>
    <w:rsid w:val="00E636C7"/>
    <w:rsid w:val="00E63933"/>
    <w:rsid w:val="00E63B0D"/>
    <w:rsid w:val="00E63F08"/>
    <w:rsid w:val="00E647E9"/>
    <w:rsid w:val="00E647F6"/>
    <w:rsid w:val="00E6496D"/>
    <w:rsid w:val="00E64B30"/>
    <w:rsid w:val="00E651A1"/>
    <w:rsid w:val="00E6567F"/>
    <w:rsid w:val="00E65FD5"/>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2D2D"/>
    <w:rsid w:val="00E737E2"/>
    <w:rsid w:val="00E73BB7"/>
    <w:rsid w:val="00E73CFD"/>
    <w:rsid w:val="00E73D2C"/>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551"/>
    <w:rsid w:val="00E848F3"/>
    <w:rsid w:val="00E84DAF"/>
    <w:rsid w:val="00E851AB"/>
    <w:rsid w:val="00E854FB"/>
    <w:rsid w:val="00E856B7"/>
    <w:rsid w:val="00E85996"/>
    <w:rsid w:val="00E85D98"/>
    <w:rsid w:val="00E85FAA"/>
    <w:rsid w:val="00E861CE"/>
    <w:rsid w:val="00E866EA"/>
    <w:rsid w:val="00E8678B"/>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3C0D"/>
    <w:rsid w:val="00E94051"/>
    <w:rsid w:val="00E94E5C"/>
    <w:rsid w:val="00E95093"/>
    <w:rsid w:val="00E95548"/>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23B"/>
    <w:rsid w:val="00ED5779"/>
    <w:rsid w:val="00ED5874"/>
    <w:rsid w:val="00ED59B0"/>
    <w:rsid w:val="00ED5C02"/>
    <w:rsid w:val="00ED5DC5"/>
    <w:rsid w:val="00ED5E4F"/>
    <w:rsid w:val="00ED5E9F"/>
    <w:rsid w:val="00ED62ED"/>
    <w:rsid w:val="00ED643D"/>
    <w:rsid w:val="00ED67BD"/>
    <w:rsid w:val="00ED7017"/>
    <w:rsid w:val="00ED7E30"/>
    <w:rsid w:val="00EE0027"/>
    <w:rsid w:val="00EE02B8"/>
    <w:rsid w:val="00EE075A"/>
    <w:rsid w:val="00EE076E"/>
    <w:rsid w:val="00EE07FF"/>
    <w:rsid w:val="00EE0950"/>
    <w:rsid w:val="00EE124E"/>
    <w:rsid w:val="00EE1502"/>
    <w:rsid w:val="00EE1B73"/>
    <w:rsid w:val="00EE2199"/>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3D5"/>
    <w:rsid w:val="00EF261A"/>
    <w:rsid w:val="00EF2985"/>
    <w:rsid w:val="00EF2A4F"/>
    <w:rsid w:val="00EF2D2A"/>
    <w:rsid w:val="00EF2E5C"/>
    <w:rsid w:val="00EF33ED"/>
    <w:rsid w:val="00EF366C"/>
    <w:rsid w:val="00EF3A19"/>
    <w:rsid w:val="00EF3C83"/>
    <w:rsid w:val="00EF40A5"/>
    <w:rsid w:val="00EF4798"/>
    <w:rsid w:val="00EF47D6"/>
    <w:rsid w:val="00EF484A"/>
    <w:rsid w:val="00EF4E5C"/>
    <w:rsid w:val="00EF5243"/>
    <w:rsid w:val="00EF5D96"/>
    <w:rsid w:val="00EF5F75"/>
    <w:rsid w:val="00EF61F8"/>
    <w:rsid w:val="00EF638A"/>
    <w:rsid w:val="00EF6714"/>
    <w:rsid w:val="00EF6A4E"/>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3"/>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F8D"/>
    <w:rsid w:val="00F31521"/>
    <w:rsid w:val="00F31692"/>
    <w:rsid w:val="00F31710"/>
    <w:rsid w:val="00F31B07"/>
    <w:rsid w:val="00F323E3"/>
    <w:rsid w:val="00F3243F"/>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675"/>
    <w:rsid w:val="00F368B6"/>
    <w:rsid w:val="00F36A11"/>
    <w:rsid w:val="00F36C90"/>
    <w:rsid w:val="00F36D83"/>
    <w:rsid w:val="00F370D8"/>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3BE5"/>
    <w:rsid w:val="00F44A09"/>
    <w:rsid w:val="00F44C56"/>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7EB"/>
    <w:rsid w:val="00F52867"/>
    <w:rsid w:val="00F5292D"/>
    <w:rsid w:val="00F53022"/>
    <w:rsid w:val="00F531A5"/>
    <w:rsid w:val="00F5334D"/>
    <w:rsid w:val="00F536C3"/>
    <w:rsid w:val="00F53A5A"/>
    <w:rsid w:val="00F53BC0"/>
    <w:rsid w:val="00F53E6F"/>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57AAF"/>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102"/>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6F51"/>
    <w:rsid w:val="00F876A0"/>
    <w:rsid w:val="00F87783"/>
    <w:rsid w:val="00F87AFE"/>
    <w:rsid w:val="00F87FD8"/>
    <w:rsid w:val="00F90256"/>
    <w:rsid w:val="00F90515"/>
    <w:rsid w:val="00F90D28"/>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6D49"/>
    <w:rsid w:val="00FA7281"/>
    <w:rsid w:val="00FA7297"/>
    <w:rsid w:val="00FA7E80"/>
    <w:rsid w:val="00FB029F"/>
    <w:rsid w:val="00FB03BD"/>
    <w:rsid w:val="00FB0923"/>
    <w:rsid w:val="00FB0A84"/>
    <w:rsid w:val="00FB13FE"/>
    <w:rsid w:val="00FB1A91"/>
    <w:rsid w:val="00FB1ADF"/>
    <w:rsid w:val="00FB1DD5"/>
    <w:rsid w:val="00FB23AC"/>
    <w:rsid w:val="00FB241F"/>
    <w:rsid w:val="00FB271E"/>
    <w:rsid w:val="00FB2967"/>
    <w:rsid w:val="00FB2FFF"/>
    <w:rsid w:val="00FB32BF"/>
    <w:rsid w:val="00FB3A04"/>
    <w:rsid w:val="00FB3A69"/>
    <w:rsid w:val="00FB4096"/>
    <w:rsid w:val="00FB4845"/>
    <w:rsid w:val="00FB4C76"/>
    <w:rsid w:val="00FB6560"/>
    <w:rsid w:val="00FB664D"/>
    <w:rsid w:val="00FB676D"/>
    <w:rsid w:val="00FB678B"/>
    <w:rsid w:val="00FB6CE4"/>
    <w:rsid w:val="00FB6E01"/>
    <w:rsid w:val="00FB75B5"/>
    <w:rsid w:val="00FB7E90"/>
    <w:rsid w:val="00FB7EBB"/>
    <w:rsid w:val="00FC0685"/>
    <w:rsid w:val="00FC069F"/>
    <w:rsid w:val="00FC08BA"/>
    <w:rsid w:val="00FC100C"/>
    <w:rsid w:val="00FC10D3"/>
    <w:rsid w:val="00FC13BC"/>
    <w:rsid w:val="00FC15AC"/>
    <w:rsid w:val="00FC1614"/>
    <w:rsid w:val="00FC1696"/>
    <w:rsid w:val="00FC1848"/>
    <w:rsid w:val="00FC2417"/>
    <w:rsid w:val="00FC2762"/>
    <w:rsid w:val="00FC31A5"/>
    <w:rsid w:val="00FC3864"/>
    <w:rsid w:val="00FC4637"/>
    <w:rsid w:val="00FC47D3"/>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39"/>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78"/>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37BF"/>
    <w:rsid w:val="00FE40E7"/>
    <w:rsid w:val="00FE4303"/>
    <w:rsid w:val="00FE434B"/>
    <w:rsid w:val="00FE451F"/>
    <w:rsid w:val="00FE45BF"/>
    <w:rsid w:val="00FE4C55"/>
    <w:rsid w:val="00FE4E88"/>
    <w:rsid w:val="00FE510C"/>
    <w:rsid w:val="00FE5D31"/>
    <w:rsid w:val="00FE6370"/>
    <w:rsid w:val="00FE67DD"/>
    <w:rsid w:val="00FE69C5"/>
    <w:rsid w:val="00FE6DC2"/>
    <w:rsid w:val="00FE79E2"/>
    <w:rsid w:val="00FE7DD1"/>
    <w:rsid w:val="00FF0DAF"/>
    <w:rsid w:val="00FF0DE5"/>
    <w:rsid w:val="00FF1263"/>
    <w:rsid w:val="00FF1E3F"/>
    <w:rsid w:val="00FF20B2"/>
    <w:rsid w:val="00FF357A"/>
    <w:rsid w:val="00FF37B3"/>
    <w:rsid w:val="00FF3818"/>
    <w:rsid w:val="00FF3A5B"/>
    <w:rsid w:val="00FF3CB3"/>
    <w:rsid w:val="00FF3F30"/>
    <w:rsid w:val="00FF40E7"/>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ECC Footnote,DNV"/>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ECCTableHeaderwhitefont">
    <w:name w:val="ECC Table Header white font"/>
    <w:qFormat/>
    <w:rsid w:val="00982FF3"/>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982FF3"/>
    <w:pPr>
      <w:spacing w:after="60"/>
      <w:jc w:val="both"/>
    </w:pPr>
    <w:rPr>
      <w:rFonts w:ascii="Arial" w:eastAsia="Calibri" w:hAnsi="Arial"/>
      <w:szCs w:val="22"/>
    </w:rPr>
  </w:style>
  <w:style w:type="character" w:customStyle="1" w:styleId="ECCHLyellow">
    <w:name w:val="ECC HL yellow"/>
    <w:basedOn w:val="DefaultParagraphFont"/>
    <w:uiPriority w:val="1"/>
    <w:qFormat/>
    <w:rsid w:val="00982FF3"/>
    <w:rPr>
      <w:rFonts w:ascii="Calibri" w:eastAsia="Calibri" w:hAnsi="Calibri" w:cs="Calibri" w:hint="default"/>
      <w:i w:val="0"/>
      <w:iCs w:val="0"/>
      <w:szCs w:val="22"/>
      <w:bdr w:val="none" w:sz="0" w:space="0" w:color="auto" w:frame="1"/>
      <w:shd w:val="solid" w:color="FFFF00" w:fill="auto"/>
      <w:lang w:val="en-GB"/>
    </w:rPr>
  </w:style>
  <w:style w:type="table" w:customStyle="1" w:styleId="ECCTable-redheader">
    <w:name w:val="ECC Table - red header"/>
    <w:basedOn w:val="TableNormal"/>
    <w:uiPriority w:val="99"/>
    <w:rsid w:val="00982FF3"/>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Annexheading1">
    <w:name w:val="ECC Annex heading1"/>
    <w:next w:val="Normal"/>
    <w:qFormat/>
    <w:rsid w:val="00D05D6C"/>
    <w:pPr>
      <w:keepNext/>
      <w:pageBreakBefore/>
      <w:numPr>
        <w:numId w:val="16"/>
      </w:numPr>
      <w:spacing w:before="240" w:after="60"/>
      <w:jc w:val="both"/>
    </w:pPr>
    <w:rPr>
      <w:rFonts w:ascii="Arial" w:hAnsi="Arial"/>
      <w:b/>
      <w:caps/>
      <w:color w:val="D2232A"/>
      <w:lang w:val="da-DK"/>
    </w:rPr>
  </w:style>
  <w:style w:type="paragraph" w:customStyle="1" w:styleId="ECCAnnexheading2">
    <w:name w:val="ECC Annex heading2"/>
    <w:next w:val="Normal"/>
    <w:rsid w:val="00D05D6C"/>
    <w:pPr>
      <w:numPr>
        <w:ilvl w:val="1"/>
        <w:numId w:val="16"/>
      </w:numPr>
      <w:overflowPunct w:val="0"/>
      <w:autoSpaceDE w:val="0"/>
      <w:autoSpaceDN w:val="0"/>
      <w:adjustRightInd w:val="0"/>
      <w:spacing w:before="480" w:after="240"/>
      <w:jc w:val="both"/>
      <w:textAlignment w:val="baseline"/>
    </w:pPr>
    <w:rPr>
      <w:rFonts w:ascii="Arial" w:hAnsi="Arial"/>
      <w:b/>
      <w:caps/>
      <w:lang w:val="da-DK"/>
    </w:rPr>
  </w:style>
  <w:style w:type="paragraph" w:customStyle="1" w:styleId="ECCAnnexheading3">
    <w:name w:val="ECC Annex heading3"/>
    <w:next w:val="Normal"/>
    <w:rsid w:val="00D05D6C"/>
    <w:pPr>
      <w:numPr>
        <w:ilvl w:val="2"/>
        <w:numId w:val="16"/>
      </w:numPr>
      <w:overflowPunct w:val="0"/>
      <w:autoSpaceDE w:val="0"/>
      <w:autoSpaceDN w:val="0"/>
      <w:adjustRightInd w:val="0"/>
      <w:spacing w:before="360" w:after="60"/>
      <w:jc w:val="both"/>
      <w:textAlignment w:val="baseline"/>
    </w:pPr>
    <w:rPr>
      <w:rFonts w:ascii="Arial" w:hAnsi="Arial"/>
      <w:b/>
      <w:lang w:val="da-DK"/>
    </w:rPr>
  </w:style>
  <w:style w:type="paragraph" w:customStyle="1" w:styleId="ECCAnnexheading4">
    <w:name w:val="ECC Annex heading4"/>
    <w:next w:val="Normal"/>
    <w:rsid w:val="00D05D6C"/>
    <w:pPr>
      <w:numPr>
        <w:ilvl w:val="3"/>
        <w:numId w:val="16"/>
      </w:numPr>
      <w:overflowPunct w:val="0"/>
      <w:autoSpaceDE w:val="0"/>
      <w:autoSpaceDN w:val="0"/>
      <w:adjustRightInd w:val="0"/>
      <w:spacing w:before="360" w:after="60"/>
      <w:jc w:val="both"/>
      <w:textAlignment w:val="baseline"/>
    </w:pPr>
    <w:rPr>
      <w:rFonts w:ascii="Arial" w:hAnsi="Arial"/>
      <w:i/>
      <w:color w:val="D2232A"/>
      <w:lang w:val="da-DK"/>
    </w:rPr>
  </w:style>
  <w:style w:type="character" w:customStyle="1" w:styleId="ECCParagraph">
    <w:name w:val="ECC Paragraph"/>
    <w:basedOn w:val="DefaultParagraphFont"/>
    <w:uiPriority w:val="1"/>
    <w:qFormat/>
    <w:rsid w:val="008242A2"/>
    <w:rPr>
      <w:rFonts w:ascii="Arial" w:hAnsi="Arial"/>
      <w:noProof w:val="0"/>
      <w:sz w:val="20"/>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4987456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66638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db.cept.org/document/96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tu.int/en/ITU-D/Regional-Presence/AsiaPacific/Documents/Events/2017/Aug-ISS2017/PPT_S1_Bob_Horton.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3</Pages>
  <Words>1827</Words>
  <Characters>10417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2023-05-15T19:57:00Z</dcterms:created>
  <dcterms:modified xsi:type="dcterms:W3CDTF">2023-05-15T19:57:00Z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