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61E1D6" w14:textId="6ACF49D8" w:rsidR="00F4484B" w:rsidRPr="00F4484B" w:rsidRDefault="00F4484B" w:rsidP="00920835">
      <w:pPr>
        <w:pStyle w:val="Footer"/>
        <w:jc w:val="both"/>
        <w:rPr>
          <w:rFonts w:cs="Arial"/>
          <w:i w:val="0"/>
          <w:sz w:val="24"/>
          <w:szCs w:val="24"/>
        </w:rPr>
      </w:pPr>
      <w:r w:rsidRPr="00F4484B">
        <w:rPr>
          <w:rFonts w:cs="Arial"/>
          <w:i w:val="0"/>
          <w:sz w:val="24"/>
          <w:szCs w:val="24"/>
        </w:rPr>
        <w:t>3GPP TSG-RAN WG4 #107</w:t>
      </w:r>
      <w:r w:rsidRPr="00F4484B">
        <w:rPr>
          <w:rFonts w:cs="Arial"/>
          <w:i w:val="0"/>
          <w:sz w:val="24"/>
          <w:szCs w:val="24"/>
        </w:rPr>
        <w:tab/>
      </w:r>
      <w:r>
        <w:rPr>
          <w:rFonts w:cs="Arial"/>
          <w:i w:val="0"/>
          <w:sz w:val="24"/>
          <w:szCs w:val="24"/>
        </w:rPr>
        <w:tab/>
      </w:r>
      <w:r>
        <w:rPr>
          <w:rFonts w:cs="Arial"/>
          <w:i w:val="0"/>
          <w:sz w:val="24"/>
          <w:szCs w:val="24"/>
        </w:rPr>
        <w:tab/>
      </w:r>
      <w:r>
        <w:rPr>
          <w:rFonts w:cs="Arial"/>
          <w:i w:val="0"/>
          <w:sz w:val="24"/>
          <w:szCs w:val="24"/>
        </w:rPr>
        <w:tab/>
      </w:r>
      <w:r>
        <w:rPr>
          <w:rFonts w:cs="Arial"/>
          <w:i w:val="0"/>
          <w:sz w:val="24"/>
          <w:szCs w:val="24"/>
        </w:rPr>
        <w:tab/>
      </w:r>
      <w:r>
        <w:rPr>
          <w:rFonts w:cs="Arial"/>
          <w:i w:val="0"/>
          <w:sz w:val="24"/>
          <w:szCs w:val="24"/>
        </w:rPr>
        <w:tab/>
      </w:r>
      <w:r>
        <w:rPr>
          <w:rFonts w:cs="Arial"/>
          <w:i w:val="0"/>
          <w:sz w:val="24"/>
          <w:szCs w:val="24"/>
        </w:rPr>
        <w:tab/>
      </w:r>
      <w:r>
        <w:rPr>
          <w:rFonts w:cs="Arial"/>
          <w:i w:val="0"/>
          <w:sz w:val="24"/>
          <w:szCs w:val="24"/>
        </w:rPr>
        <w:tab/>
      </w:r>
      <w:r>
        <w:rPr>
          <w:rFonts w:cs="Arial"/>
          <w:i w:val="0"/>
          <w:sz w:val="24"/>
          <w:szCs w:val="24"/>
        </w:rPr>
        <w:tab/>
      </w:r>
      <w:r>
        <w:rPr>
          <w:rFonts w:cs="Arial"/>
          <w:i w:val="0"/>
          <w:sz w:val="24"/>
          <w:szCs w:val="24"/>
        </w:rPr>
        <w:tab/>
      </w:r>
      <w:r>
        <w:rPr>
          <w:rFonts w:cs="Arial"/>
          <w:i w:val="0"/>
          <w:sz w:val="24"/>
          <w:szCs w:val="24"/>
        </w:rPr>
        <w:tab/>
      </w:r>
      <w:r>
        <w:rPr>
          <w:rFonts w:cs="Arial"/>
          <w:i w:val="0"/>
          <w:sz w:val="24"/>
          <w:szCs w:val="24"/>
        </w:rPr>
        <w:tab/>
      </w:r>
      <w:r>
        <w:rPr>
          <w:rFonts w:cs="Arial"/>
          <w:i w:val="0"/>
          <w:sz w:val="24"/>
          <w:szCs w:val="24"/>
        </w:rPr>
        <w:tab/>
      </w:r>
      <w:r>
        <w:rPr>
          <w:rFonts w:cs="Arial"/>
          <w:i w:val="0"/>
          <w:sz w:val="24"/>
          <w:szCs w:val="24"/>
        </w:rPr>
        <w:tab/>
      </w:r>
      <w:r>
        <w:rPr>
          <w:rFonts w:cs="Arial"/>
          <w:i w:val="0"/>
          <w:sz w:val="24"/>
          <w:szCs w:val="24"/>
        </w:rPr>
        <w:tab/>
      </w:r>
      <w:r>
        <w:rPr>
          <w:rFonts w:cs="Arial"/>
          <w:i w:val="0"/>
          <w:sz w:val="24"/>
          <w:szCs w:val="24"/>
        </w:rPr>
        <w:tab/>
      </w:r>
      <w:r>
        <w:rPr>
          <w:rFonts w:cs="Arial"/>
          <w:i w:val="0"/>
          <w:sz w:val="24"/>
          <w:szCs w:val="24"/>
        </w:rPr>
        <w:tab/>
      </w:r>
      <w:r>
        <w:rPr>
          <w:rFonts w:cs="Arial"/>
          <w:i w:val="0"/>
          <w:sz w:val="24"/>
          <w:szCs w:val="24"/>
        </w:rPr>
        <w:tab/>
      </w:r>
      <w:r>
        <w:rPr>
          <w:rFonts w:cs="Arial"/>
          <w:i w:val="0"/>
          <w:sz w:val="24"/>
          <w:szCs w:val="24"/>
        </w:rPr>
        <w:tab/>
        <w:t xml:space="preserve"> </w:t>
      </w:r>
      <w:r w:rsidRPr="00F4484B">
        <w:rPr>
          <w:rFonts w:cs="Arial"/>
          <w:i w:val="0"/>
          <w:sz w:val="24"/>
          <w:szCs w:val="24"/>
        </w:rPr>
        <w:t>R4-230</w:t>
      </w:r>
      <w:r w:rsidR="00A55C31">
        <w:rPr>
          <w:rFonts w:cs="Arial"/>
          <w:i w:val="0"/>
          <w:sz w:val="24"/>
          <w:szCs w:val="24"/>
        </w:rPr>
        <w:t>8788</w:t>
      </w:r>
    </w:p>
    <w:p w14:paraId="4FC9BE8B" w14:textId="26243088" w:rsidR="00C367A3" w:rsidRDefault="005C4228" w:rsidP="00920835">
      <w:pPr>
        <w:pStyle w:val="Footer"/>
        <w:jc w:val="both"/>
        <w:rPr>
          <w:rFonts w:cs="Arial"/>
          <w:i w:val="0"/>
          <w:sz w:val="24"/>
          <w:szCs w:val="24"/>
        </w:rPr>
      </w:pPr>
      <w:r>
        <w:rPr>
          <w:rFonts w:cs="Arial"/>
          <w:i w:val="0"/>
          <w:sz w:val="24"/>
          <w:szCs w:val="24"/>
        </w:rPr>
        <w:t>Incheon</w:t>
      </w:r>
      <w:r w:rsidR="00F4484B" w:rsidRPr="00F4484B">
        <w:rPr>
          <w:rFonts w:cs="Arial"/>
          <w:i w:val="0"/>
          <w:sz w:val="24"/>
          <w:szCs w:val="24"/>
        </w:rPr>
        <w:t>, South Korea, May 22nd – 26th 2023</w:t>
      </w:r>
    </w:p>
    <w:p w14:paraId="495D1EC2" w14:textId="77777777" w:rsidR="00F4484B" w:rsidRPr="00FB0094" w:rsidRDefault="00F4484B" w:rsidP="00920835">
      <w:pPr>
        <w:pStyle w:val="Footer"/>
        <w:jc w:val="both"/>
        <w:rPr>
          <w:noProof w:val="0"/>
        </w:rPr>
      </w:pPr>
    </w:p>
    <w:p w14:paraId="099FB936" w14:textId="53BF6C9B" w:rsidR="00C367A3" w:rsidRPr="000A64D8" w:rsidRDefault="00C367A3" w:rsidP="00920835">
      <w:pPr>
        <w:tabs>
          <w:tab w:val="left" w:pos="1980"/>
        </w:tabs>
        <w:jc w:val="both"/>
        <w:rPr>
          <w:rFonts w:ascii="Arial" w:hAnsi="Arial"/>
          <w:sz w:val="24"/>
          <w:lang w:eastAsia="ja-JP"/>
        </w:rPr>
      </w:pPr>
      <w:r w:rsidRPr="000A64D8">
        <w:rPr>
          <w:rFonts w:ascii="Arial" w:hAnsi="Arial"/>
          <w:b/>
          <w:sz w:val="24"/>
        </w:rPr>
        <w:t>Agenda item:</w:t>
      </w:r>
      <w:r w:rsidRPr="000A64D8">
        <w:rPr>
          <w:rFonts w:ascii="Arial" w:hAnsi="Arial"/>
          <w:sz w:val="24"/>
        </w:rPr>
        <w:tab/>
      </w:r>
      <w:bookmarkStart w:id="0" w:name="Source"/>
      <w:bookmarkEnd w:id="0"/>
      <w:r w:rsidR="00F04BC2">
        <w:rPr>
          <w:rFonts w:ascii="Arial" w:hAnsi="Arial"/>
          <w:sz w:val="24"/>
        </w:rPr>
        <w:t>8</w:t>
      </w:r>
      <w:r w:rsidR="00711608">
        <w:rPr>
          <w:rFonts w:ascii="Arial" w:hAnsi="Arial"/>
          <w:sz w:val="24"/>
        </w:rPr>
        <w:t>.</w:t>
      </w:r>
      <w:r w:rsidR="00952E14">
        <w:rPr>
          <w:rFonts w:ascii="Arial" w:hAnsi="Arial"/>
          <w:sz w:val="24"/>
        </w:rPr>
        <w:t>3</w:t>
      </w:r>
      <w:r w:rsidR="00F04BC2">
        <w:rPr>
          <w:rFonts w:ascii="Arial" w:hAnsi="Arial"/>
          <w:sz w:val="24"/>
        </w:rPr>
        <w:t>4</w:t>
      </w:r>
      <w:r w:rsidR="003E2653">
        <w:rPr>
          <w:rFonts w:ascii="Arial" w:hAnsi="Arial" w:hint="eastAsia"/>
          <w:sz w:val="24"/>
          <w:lang w:eastAsia="ja-JP"/>
        </w:rPr>
        <w:t>.</w:t>
      </w:r>
      <w:r w:rsidR="00952E14">
        <w:rPr>
          <w:rFonts w:ascii="Arial" w:hAnsi="Arial"/>
          <w:sz w:val="24"/>
          <w:lang w:eastAsia="ja-JP"/>
        </w:rPr>
        <w:t>3</w:t>
      </w:r>
    </w:p>
    <w:p w14:paraId="4F90F082" w14:textId="77777777" w:rsidR="00C367A3" w:rsidRPr="000A64D8" w:rsidRDefault="00C367A3" w:rsidP="00920835">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0667854B" w14:textId="5FBFF409" w:rsidR="00C367A3" w:rsidRPr="000A64D8" w:rsidRDefault="00C367A3" w:rsidP="00920835">
      <w:pPr>
        <w:ind w:left="1988" w:hanging="1988"/>
        <w:jc w:val="both"/>
        <w:rPr>
          <w:rFonts w:ascii="Arial" w:hAnsi="Arial"/>
          <w:sz w:val="24"/>
          <w:szCs w:val="24"/>
          <w:lang w:eastAsia="ja-JP"/>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bookmarkStart w:id="1" w:name="_Hlk115181366"/>
      <w:r w:rsidR="00952E14">
        <w:rPr>
          <w:rFonts w:ascii="Arial" w:hAnsi="Arial"/>
          <w:sz w:val="22"/>
        </w:rPr>
        <w:t>RRM Requirements for Mobile IAB</w:t>
      </w:r>
      <w:r w:rsidR="001D3B19">
        <w:rPr>
          <w:rFonts w:ascii="Arial" w:hAnsi="Arial"/>
          <w:sz w:val="22"/>
        </w:rPr>
        <w:t>-MT</w:t>
      </w:r>
    </w:p>
    <w:bookmarkEnd w:id="1"/>
    <w:p w14:paraId="4C714E76" w14:textId="7ADC5039" w:rsidR="00DB3907" w:rsidRDefault="00DB3907" w:rsidP="00920835">
      <w:pPr>
        <w:tabs>
          <w:tab w:val="left" w:pos="1985"/>
        </w:tabs>
        <w:ind w:left="1980" w:hanging="1980"/>
        <w:jc w:val="both"/>
        <w:rPr>
          <w:rFonts w:ascii="Arial" w:hAnsi="Arial"/>
          <w:sz w:val="24"/>
          <w:lang w:val="en-US"/>
        </w:rPr>
      </w:pPr>
      <w:r>
        <w:rPr>
          <w:rFonts w:ascii="Arial" w:hAnsi="Arial"/>
          <w:b/>
          <w:sz w:val="24"/>
          <w:lang w:val="en-US"/>
        </w:rPr>
        <w:t>Document for:</w:t>
      </w:r>
      <w:r w:rsidR="00FF76CE">
        <w:rPr>
          <w:rFonts w:ascii="Arial" w:hAnsi="Arial"/>
          <w:sz w:val="24"/>
          <w:lang w:val="en-US"/>
        </w:rPr>
        <w:tab/>
      </w:r>
      <w:r w:rsidR="00A71250">
        <w:rPr>
          <w:rFonts w:ascii="Arial" w:hAnsi="Arial"/>
          <w:sz w:val="24"/>
          <w:lang w:val="en-US"/>
        </w:rPr>
        <w:t>Approval</w:t>
      </w:r>
    </w:p>
    <w:p w14:paraId="31DBD1E5" w14:textId="77777777" w:rsidR="000E0602" w:rsidRDefault="000E0602" w:rsidP="00920835">
      <w:pPr>
        <w:pStyle w:val="Heading1"/>
        <w:tabs>
          <w:tab w:val="clear" w:pos="432"/>
          <w:tab w:val="num" w:pos="522"/>
        </w:tabs>
        <w:ind w:left="522" w:hanging="522"/>
        <w:jc w:val="both"/>
        <w:rPr>
          <w:lang w:val="en-US" w:eastAsia="ja-JP"/>
        </w:rPr>
      </w:pPr>
      <w:r>
        <w:rPr>
          <w:lang w:val="en-US"/>
        </w:rPr>
        <w:t>Introduction</w:t>
      </w:r>
    </w:p>
    <w:p w14:paraId="59100D8A" w14:textId="5C46B8EE" w:rsidR="002B4EA7" w:rsidRDefault="00A80D15" w:rsidP="00920835">
      <w:pPr>
        <w:jc w:val="both"/>
        <w:rPr>
          <w:lang w:val="en-US" w:eastAsia="ja-JP"/>
        </w:rPr>
      </w:pPr>
      <w:r>
        <w:rPr>
          <w:lang w:val="en-US" w:eastAsia="ja-JP"/>
        </w:rPr>
        <w:t xml:space="preserve">The Rel-18 enhancements for integrated access and backhaul include </w:t>
      </w:r>
      <w:r w:rsidR="00AC448D">
        <w:rPr>
          <w:lang w:val="en-US" w:eastAsia="ja-JP"/>
        </w:rPr>
        <w:t>the introduction of a mobile IAB as agreed in [1].</w:t>
      </w:r>
      <w:r w:rsidR="00510EF9">
        <w:rPr>
          <w:lang w:val="en-US" w:eastAsia="ja-JP"/>
        </w:rPr>
        <w:t xml:space="preserve"> The RRM requirements for mobile IAB were discussed in previous meetings</w:t>
      </w:r>
      <w:r w:rsidR="003E250B">
        <w:rPr>
          <w:lang w:val="en-US" w:eastAsia="ja-JP"/>
        </w:rPr>
        <w:t>, the WF with further details on the requirements to be introduced was agreed in [2]. In this paper we</w:t>
      </w:r>
      <w:r w:rsidR="0089249B">
        <w:rPr>
          <w:lang w:val="en-US" w:eastAsia="ja-JP"/>
        </w:rPr>
        <w:t xml:space="preserve"> analyze more details about </w:t>
      </w:r>
      <w:r w:rsidR="003E250B">
        <w:rPr>
          <w:lang w:val="en-US" w:eastAsia="ja-JP"/>
        </w:rPr>
        <w:t xml:space="preserve">the </w:t>
      </w:r>
      <w:r w:rsidR="0089249B">
        <w:rPr>
          <w:lang w:val="en-US" w:eastAsia="ja-JP"/>
        </w:rPr>
        <w:t xml:space="preserve">RRM </w:t>
      </w:r>
      <w:r w:rsidR="003E250B">
        <w:rPr>
          <w:lang w:val="en-US" w:eastAsia="ja-JP"/>
        </w:rPr>
        <w:t xml:space="preserve">requirements </w:t>
      </w:r>
      <w:r w:rsidR="0089249B">
        <w:rPr>
          <w:lang w:val="en-US" w:eastAsia="ja-JP"/>
        </w:rPr>
        <w:t xml:space="preserve">based on </w:t>
      </w:r>
      <w:r w:rsidR="007F6131">
        <w:rPr>
          <w:lang w:val="en-US" w:eastAsia="ja-JP"/>
        </w:rPr>
        <w:t>[2].</w:t>
      </w:r>
    </w:p>
    <w:p w14:paraId="2204D842" w14:textId="61A72EAC" w:rsidR="007F6131" w:rsidRPr="007F6131" w:rsidRDefault="000E0602" w:rsidP="00920835">
      <w:pPr>
        <w:pStyle w:val="Heading1"/>
        <w:tabs>
          <w:tab w:val="clear" w:pos="432"/>
          <w:tab w:val="num" w:pos="522"/>
        </w:tabs>
        <w:ind w:left="522" w:hanging="522"/>
        <w:jc w:val="both"/>
        <w:rPr>
          <w:lang w:val="en-US"/>
        </w:rPr>
      </w:pPr>
      <w:r>
        <w:rPr>
          <w:lang w:val="en-US"/>
        </w:rPr>
        <w:t>Discussion</w:t>
      </w:r>
    </w:p>
    <w:p w14:paraId="21C6A10C" w14:textId="4A5F85A3" w:rsidR="007F6131" w:rsidRDefault="007F6131" w:rsidP="00920835">
      <w:pPr>
        <w:jc w:val="both"/>
        <w:rPr>
          <w:lang w:val="en-US" w:eastAsia="ja-JP"/>
        </w:rPr>
      </w:pPr>
      <w:r>
        <w:rPr>
          <w:rFonts w:hint="eastAsia"/>
          <w:lang w:val="en-US" w:eastAsia="ja-JP"/>
        </w:rPr>
        <w:t>H</w:t>
      </w:r>
      <w:r>
        <w:rPr>
          <w:lang w:val="en-US" w:eastAsia="ja-JP"/>
        </w:rPr>
        <w:t xml:space="preserve">igh level agreements on the RRM requirements to be introduced for the mobile IAB </w:t>
      </w:r>
      <w:r w:rsidR="0040709F">
        <w:rPr>
          <w:lang w:val="en-US" w:eastAsia="ja-JP"/>
        </w:rPr>
        <w:t xml:space="preserve">were agreed in [2]. </w:t>
      </w:r>
      <w:r w:rsidR="001C5110">
        <w:rPr>
          <w:lang w:val="en-US" w:eastAsia="ja-JP"/>
        </w:rPr>
        <w:t>Below we discuss more details about the</w:t>
      </w:r>
      <w:r w:rsidR="008A1DDA">
        <w:rPr>
          <w:lang w:val="en-US" w:eastAsia="ja-JP"/>
        </w:rPr>
        <w:t>se requirements.</w:t>
      </w:r>
    </w:p>
    <w:p w14:paraId="619ABD26" w14:textId="20236883" w:rsidR="00517F7D" w:rsidRPr="00B95A9C" w:rsidRDefault="00517F7D" w:rsidP="00920835">
      <w:pPr>
        <w:jc w:val="both"/>
        <w:rPr>
          <w:b/>
          <w:u w:val="single"/>
          <w:lang w:eastAsia="ko-KR"/>
        </w:rPr>
      </w:pPr>
      <w:r w:rsidRPr="00B95A9C">
        <w:rPr>
          <w:b/>
          <w:u w:val="single"/>
          <w:lang w:eastAsia="ko-KR"/>
        </w:rPr>
        <w:t xml:space="preserve">Handover requirements </w:t>
      </w:r>
    </w:p>
    <w:p w14:paraId="08574641" w14:textId="073ACA03" w:rsidR="00517F7D" w:rsidRDefault="00E83A5A" w:rsidP="00920835">
      <w:pPr>
        <w:spacing w:after="120"/>
        <w:jc w:val="both"/>
        <w:rPr>
          <w:rFonts w:eastAsiaTheme="minorEastAsia"/>
          <w:szCs w:val="24"/>
          <w:lang w:eastAsia="ja-JP"/>
        </w:rPr>
      </w:pPr>
      <w:r>
        <w:rPr>
          <w:rFonts w:eastAsiaTheme="minorEastAsia"/>
          <w:szCs w:val="24"/>
          <w:lang w:eastAsia="ja-JP"/>
        </w:rPr>
        <w:t xml:space="preserve">In [2] it was agreed that only intra-frequency HO requirements will be introduced. </w:t>
      </w:r>
      <w:r w:rsidR="006440DF">
        <w:rPr>
          <w:rFonts w:eastAsiaTheme="minorEastAsia"/>
          <w:szCs w:val="24"/>
          <w:lang w:eastAsia="ja-JP"/>
        </w:rPr>
        <w:t>The HO procedure for the mobile IAB is the same as that for a UE, hence, the UE requirements from</w:t>
      </w:r>
      <w:r w:rsidR="00097A15">
        <w:rPr>
          <w:rFonts w:eastAsiaTheme="minorEastAsia"/>
          <w:szCs w:val="24"/>
          <w:lang w:eastAsia="ja-JP"/>
        </w:rPr>
        <w:t xml:space="preserve"> TS</w:t>
      </w:r>
      <w:r w:rsidR="006440DF">
        <w:rPr>
          <w:rFonts w:eastAsiaTheme="minorEastAsia"/>
          <w:szCs w:val="24"/>
          <w:lang w:eastAsia="ja-JP"/>
        </w:rPr>
        <w:t xml:space="preserve"> </w:t>
      </w:r>
      <w:r w:rsidR="00A854EE">
        <w:rPr>
          <w:rFonts w:eastAsiaTheme="minorEastAsia"/>
          <w:szCs w:val="24"/>
          <w:lang w:eastAsia="ja-JP"/>
        </w:rPr>
        <w:t>38.1</w:t>
      </w:r>
      <w:r w:rsidR="00875E6D">
        <w:rPr>
          <w:rFonts w:eastAsiaTheme="minorEastAsia"/>
          <w:szCs w:val="24"/>
          <w:lang w:eastAsia="ja-JP"/>
        </w:rPr>
        <w:t>33</w:t>
      </w:r>
      <w:r w:rsidR="00A854EE">
        <w:rPr>
          <w:rFonts w:eastAsiaTheme="minorEastAsia"/>
          <w:szCs w:val="24"/>
          <w:lang w:eastAsia="ja-JP"/>
        </w:rPr>
        <w:t xml:space="preserve"> </w:t>
      </w:r>
      <w:r w:rsidR="00F40E06">
        <w:rPr>
          <w:rFonts w:eastAsiaTheme="minorEastAsia"/>
          <w:szCs w:val="24"/>
          <w:lang w:eastAsia="ja-JP"/>
        </w:rPr>
        <w:t xml:space="preserve">clauses 6.1.1.2 and 6.1.1.4 should be taken as baseline. The requirements should be adapted by only copying the </w:t>
      </w:r>
      <w:r w:rsidR="007E40EF">
        <w:rPr>
          <w:rFonts w:eastAsiaTheme="minorEastAsia"/>
          <w:szCs w:val="24"/>
          <w:lang w:eastAsia="ja-JP"/>
        </w:rPr>
        <w:t>relevant requirements (only for intra-frequency). For FR2, the scaling factors related to beam sweeping (e.g. 8) should be kept. Even though there is no spherical coverage requirement for the mobile IAB, it is expected that it will perform search and measurement by using different beams, similarly to a UE.</w:t>
      </w:r>
    </w:p>
    <w:p w14:paraId="4FD1264D" w14:textId="5D494C1B" w:rsidR="007E40EF" w:rsidRPr="00875E6D" w:rsidRDefault="007E40EF" w:rsidP="00920835">
      <w:pPr>
        <w:spacing w:after="120"/>
        <w:jc w:val="both"/>
        <w:rPr>
          <w:rFonts w:eastAsiaTheme="minorEastAsia"/>
          <w:b/>
          <w:bCs/>
          <w:szCs w:val="24"/>
          <w:lang w:eastAsia="ja-JP"/>
        </w:rPr>
      </w:pPr>
      <w:r w:rsidRPr="00875E6D">
        <w:rPr>
          <w:rFonts w:eastAsiaTheme="minorEastAsia" w:hint="eastAsia"/>
          <w:b/>
          <w:bCs/>
          <w:szCs w:val="24"/>
          <w:lang w:eastAsia="ja-JP"/>
        </w:rPr>
        <w:t>P</w:t>
      </w:r>
      <w:r w:rsidRPr="00875E6D">
        <w:rPr>
          <w:rFonts w:eastAsiaTheme="minorEastAsia"/>
          <w:b/>
          <w:bCs/>
          <w:szCs w:val="24"/>
          <w:lang w:eastAsia="ja-JP"/>
        </w:rPr>
        <w:t>roposal</w:t>
      </w:r>
      <w:r w:rsidR="00AE0896" w:rsidRPr="00875E6D">
        <w:rPr>
          <w:rFonts w:eastAsiaTheme="minorEastAsia"/>
          <w:b/>
          <w:bCs/>
          <w:szCs w:val="24"/>
          <w:lang w:eastAsia="ja-JP"/>
        </w:rPr>
        <w:t xml:space="preserve"> </w:t>
      </w:r>
      <w:r w:rsidR="00AE0896" w:rsidRPr="00875E6D">
        <w:rPr>
          <w:rFonts w:eastAsiaTheme="minorEastAsia" w:hint="eastAsia"/>
          <w:b/>
          <w:bCs/>
          <w:szCs w:val="24"/>
          <w:lang w:eastAsia="ja-JP"/>
        </w:rPr>
        <w:t>1</w:t>
      </w:r>
      <w:r w:rsidRPr="00875E6D">
        <w:rPr>
          <w:rFonts w:eastAsiaTheme="minorEastAsia"/>
          <w:b/>
          <w:bCs/>
          <w:szCs w:val="24"/>
          <w:lang w:eastAsia="ja-JP"/>
        </w:rPr>
        <w:t xml:space="preserve">: </w:t>
      </w:r>
      <w:r w:rsidR="00097A15" w:rsidRPr="00875E6D">
        <w:rPr>
          <w:rFonts w:eastAsiaTheme="minorEastAsia"/>
          <w:b/>
          <w:bCs/>
          <w:szCs w:val="24"/>
          <w:lang w:eastAsia="ja-JP"/>
        </w:rPr>
        <w:t>Reuse the UE intra-frequency HO requirements from TS 38.1</w:t>
      </w:r>
      <w:r w:rsidR="00875E6D" w:rsidRPr="00875E6D">
        <w:rPr>
          <w:rFonts w:eastAsiaTheme="minorEastAsia"/>
          <w:b/>
          <w:bCs/>
          <w:szCs w:val="24"/>
          <w:lang w:eastAsia="ja-JP"/>
        </w:rPr>
        <w:t>33</w:t>
      </w:r>
      <w:r w:rsidR="00097A15" w:rsidRPr="00875E6D">
        <w:rPr>
          <w:rFonts w:eastAsiaTheme="minorEastAsia"/>
          <w:b/>
          <w:bCs/>
          <w:szCs w:val="24"/>
          <w:lang w:eastAsia="ja-JP"/>
        </w:rPr>
        <w:t xml:space="preserve"> clauses 6.1.1.2 and 6.1.1.4.</w:t>
      </w:r>
    </w:p>
    <w:p w14:paraId="172EF139" w14:textId="576A393B" w:rsidR="00517F7D" w:rsidRPr="00B95A9C" w:rsidRDefault="00517F7D" w:rsidP="00920835">
      <w:pPr>
        <w:jc w:val="both"/>
        <w:rPr>
          <w:rFonts w:eastAsia="Malgun Gothic"/>
          <w:b/>
          <w:u w:val="single"/>
          <w:lang w:eastAsia="ko-KR"/>
        </w:rPr>
      </w:pPr>
      <w:r w:rsidRPr="00B95A9C">
        <w:rPr>
          <w:b/>
          <w:u w:val="single"/>
          <w:lang w:eastAsia="ko-KR"/>
        </w:rPr>
        <w:t>RRC re-establishment requirements</w:t>
      </w:r>
    </w:p>
    <w:p w14:paraId="7EE8E7BA" w14:textId="4918AF6B" w:rsidR="00517F7D" w:rsidRDefault="00875E6D" w:rsidP="00920835">
      <w:pPr>
        <w:spacing w:after="120"/>
        <w:jc w:val="both"/>
        <w:rPr>
          <w:szCs w:val="24"/>
          <w:lang w:eastAsia="ja-JP"/>
        </w:rPr>
      </w:pPr>
      <w:r>
        <w:rPr>
          <w:szCs w:val="24"/>
          <w:lang w:eastAsia="ja-JP"/>
        </w:rPr>
        <w:t>The UE requirements defined in TS 38.133 clause 6.2.1 should be adapted and reused. It should be further discussed whether inter-frequency requirements should also be introduced or not. Since most of the mobility requirements will only be defined for the intra-frequency case, it would be useful to have at least one set of fallback requirements which apply for the inter-frequency case also.</w:t>
      </w:r>
    </w:p>
    <w:p w14:paraId="6B006D38" w14:textId="4444836F" w:rsidR="00875E6D" w:rsidRPr="00875E6D" w:rsidRDefault="00875E6D" w:rsidP="00920835">
      <w:pPr>
        <w:spacing w:after="120"/>
        <w:jc w:val="both"/>
        <w:rPr>
          <w:b/>
          <w:bCs/>
          <w:szCs w:val="24"/>
          <w:lang w:eastAsia="ja-JP"/>
        </w:rPr>
      </w:pPr>
      <w:r w:rsidRPr="00875E6D">
        <w:rPr>
          <w:rFonts w:hint="eastAsia"/>
          <w:b/>
          <w:bCs/>
          <w:szCs w:val="24"/>
          <w:lang w:eastAsia="ja-JP"/>
        </w:rPr>
        <w:t>P</w:t>
      </w:r>
      <w:r w:rsidRPr="00875E6D">
        <w:rPr>
          <w:b/>
          <w:bCs/>
          <w:szCs w:val="24"/>
          <w:lang w:eastAsia="ja-JP"/>
        </w:rPr>
        <w:t xml:space="preserve">roposal 2: Re-use the UE RRC re-establishment requirements in TS 38.133 clause 6.2.1 for the mobile IAB. </w:t>
      </w:r>
    </w:p>
    <w:p w14:paraId="3E65BE71" w14:textId="40BC65B2" w:rsidR="00875E6D" w:rsidRDefault="00875E6D" w:rsidP="00920835">
      <w:pPr>
        <w:spacing w:after="120"/>
        <w:jc w:val="both"/>
        <w:rPr>
          <w:szCs w:val="24"/>
          <w:lang w:eastAsia="ja-JP"/>
        </w:rPr>
      </w:pPr>
      <w:r w:rsidRPr="00875E6D">
        <w:rPr>
          <w:rFonts w:hint="eastAsia"/>
          <w:b/>
          <w:bCs/>
          <w:szCs w:val="24"/>
          <w:lang w:eastAsia="ja-JP"/>
        </w:rPr>
        <w:t>P</w:t>
      </w:r>
      <w:r w:rsidRPr="00875E6D">
        <w:rPr>
          <w:b/>
          <w:bCs/>
          <w:szCs w:val="24"/>
          <w:lang w:eastAsia="ja-JP"/>
        </w:rPr>
        <w:t>roposal 3: Also introduce inter-frequency re-establishment requirement (re-use existing UE requirements) as fallback case for inter-frequency mobility.</w:t>
      </w:r>
    </w:p>
    <w:p w14:paraId="480ECA79" w14:textId="0E2CD5F8" w:rsidR="00517F7D" w:rsidRPr="00B95A9C" w:rsidRDefault="00517F7D" w:rsidP="00920835">
      <w:pPr>
        <w:jc w:val="both"/>
        <w:rPr>
          <w:b/>
          <w:u w:val="single"/>
          <w:lang w:eastAsia="ko-KR"/>
        </w:rPr>
      </w:pPr>
      <w:r w:rsidRPr="00B95A9C">
        <w:rPr>
          <w:b/>
          <w:u w:val="single"/>
          <w:lang w:eastAsia="ko-KR"/>
        </w:rPr>
        <w:t xml:space="preserve">TCI state switch delay </w:t>
      </w:r>
    </w:p>
    <w:p w14:paraId="43C928A5" w14:textId="5780819D" w:rsidR="00517F7D" w:rsidRPr="002D2758" w:rsidRDefault="002D2758" w:rsidP="00920835">
      <w:pPr>
        <w:spacing w:after="120"/>
        <w:jc w:val="both"/>
        <w:rPr>
          <w:rFonts w:eastAsiaTheme="minorEastAsia"/>
          <w:szCs w:val="24"/>
          <w:lang w:eastAsia="ja-JP"/>
        </w:rPr>
      </w:pPr>
      <w:r>
        <w:rPr>
          <w:rFonts w:eastAsiaTheme="minorEastAsia" w:hint="eastAsia"/>
          <w:szCs w:val="24"/>
          <w:lang w:eastAsia="ja-JP"/>
        </w:rPr>
        <w:t>T</w:t>
      </w:r>
      <w:r>
        <w:rPr>
          <w:rFonts w:eastAsiaTheme="minorEastAsia"/>
          <w:szCs w:val="24"/>
          <w:lang w:eastAsia="ja-JP"/>
        </w:rPr>
        <w:t xml:space="preserve">he mobile IAB will have to switch TCI states similarly to a UE. </w:t>
      </w:r>
      <w:r w:rsidR="00736FC9">
        <w:rPr>
          <w:rFonts w:eastAsiaTheme="minorEastAsia"/>
          <w:szCs w:val="24"/>
          <w:lang w:eastAsia="ja-JP"/>
        </w:rPr>
        <w:t>The UE requirements defined in TS 38.133 Clause 8.10 should be reused. For FR2, the same requirements could be kept based on a similar reasoning as for the HO requirements.</w:t>
      </w:r>
    </w:p>
    <w:p w14:paraId="17290AB3" w14:textId="7B68A9CA" w:rsidR="00517F7D" w:rsidRPr="00736FC9" w:rsidRDefault="00736FC9" w:rsidP="00920835">
      <w:pPr>
        <w:jc w:val="both"/>
        <w:rPr>
          <w:b/>
          <w:bCs/>
          <w:lang w:val="en-US" w:eastAsia="ja-JP"/>
        </w:rPr>
      </w:pPr>
      <w:r w:rsidRPr="00736FC9">
        <w:rPr>
          <w:rFonts w:hint="eastAsia"/>
          <w:b/>
          <w:bCs/>
          <w:lang w:val="en-US" w:eastAsia="ja-JP"/>
        </w:rPr>
        <w:t>P</w:t>
      </w:r>
      <w:r w:rsidRPr="00736FC9">
        <w:rPr>
          <w:b/>
          <w:bCs/>
          <w:lang w:val="en-US" w:eastAsia="ja-JP"/>
        </w:rPr>
        <w:t>roposal 4: The UE requirements for the active TCI state switching delay from TS 38.133 Clause 8.10 should be reused.</w:t>
      </w:r>
    </w:p>
    <w:p w14:paraId="1C8C36D1" w14:textId="01E711DA" w:rsidR="00517F7D" w:rsidRPr="00B95A9C" w:rsidRDefault="00517F7D" w:rsidP="00920835">
      <w:pPr>
        <w:jc w:val="both"/>
        <w:rPr>
          <w:b/>
          <w:u w:val="single"/>
          <w:lang w:eastAsia="ko-KR"/>
        </w:rPr>
      </w:pPr>
      <w:r w:rsidRPr="00B95A9C">
        <w:rPr>
          <w:b/>
          <w:u w:val="single"/>
          <w:lang w:eastAsia="ko-KR"/>
        </w:rPr>
        <w:t xml:space="preserve">RLM Requirements </w:t>
      </w:r>
    </w:p>
    <w:p w14:paraId="48D1A4D9" w14:textId="0237CCCD" w:rsidR="00517F7D" w:rsidRPr="00E02071" w:rsidRDefault="00E02071" w:rsidP="00920835">
      <w:pPr>
        <w:spacing w:after="120"/>
        <w:jc w:val="both"/>
        <w:rPr>
          <w:rFonts w:eastAsiaTheme="minorEastAsia"/>
          <w:szCs w:val="24"/>
          <w:lang w:eastAsia="ja-JP"/>
        </w:rPr>
      </w:pPr>
      <w:r>
        <w:rPr>
          <w:rFonts w:eastAsiaTheme="minorEastAsia" w:hint="eastAsia"/>
          <w:szCs w:val="24"/>
          <w:lang w:eastAsia="ja-JP"/>
        </w:rPr>
        <w:t>B</w:t>
      </w:r>
      <w:r>
        <w:rPr>
          <w:rFonts w:eastAsiaTheme="minorEastAsia"/>
          <w:szCs w:val="24"/>
          <w:lang w:eastAsia="ja-JP"/>
        </w:rPr>
        <w:t>ased on the agreements in [2], the UE RLM requirements defined in TS 38.133 Clause 8.</w:t>
      </w:r>
      <w:r w:rsidR="00BE7662">
        <w:rPr>
          <w:rFonts w:eastAsiaTheme="minorEastAsia"/>
          <w:szCs w:val="24"/>
          <w:lang w:eastAsia="ja-JP"/>
        </w:rPr>
        <w:t>1 should be taken as baseline. UE requirements are also defined for different DRX cycles</w:t>
      </w:r>
      <w:r w:rsidR="001B127B">
        <w:rPr>
          <w:rFonts w:eastAsiaTheme="minorEastAsia"/>
          <w:szCs w:val="24"/>
          <w:lang w:eastAsia="ja-JP"/>
        </w:rPr>
        <w:t>, however, since it was agreed that only non-DRX requirements will be defined for the mobile IAB, the</w:t>
      </w:r>
      <w:r w:rsidR="009B3D1D">
        <w:rPr>
          <w:rFonts w:eastAsiaTheme="minorEastAsia"/>
          <w:szCs w:val="24"/>
          <w:lang w:eastAsia="ja-JP"/>
        </w:rPr>
        <w:t xml:space="preserve"> requirements for different DRX cycle length and transitions (Clause 8.1.4) can be discarded</w:t>
      </w:r>
      <w:r w:rsidR="001B127B">
        <w:rPr>
          <w:rFonts w:eastAsiaTheme="minorEastAsia"/>
          <w:szCs w:val="24"/>
          <w:lang w:eastAsia="ja-JP"/>
        </w:rPr>
        <w:t>. The UE RLM requirements also cover the case when measurement gaps are configured and the gaps collide with the RLM-RS evaluation occasions. Considering tha</w:t>
      </w:r>
      <w:r w:rsidR="009B3D1D">
        <w:rPr>
          <w:rFonts w:eastAsiaTheme="minorEastAsia"/>
          <w:szCs w:val="24"/>
          <w:lang w:eastAsia="ja-JP"/>
        </w:rPr>
        <w:t xml:space="preserve">t the measurement gaps will not be configured often to a mobile IAB, all these requirements could also be discarded. </w:t>
      </w:r>
      <w:r w:rsidR="00B80E75">
        <w:rPr>
          <w:rFonts w:eastAsiaTheme="minorEastAsia"/>
          <w:szCs w:val="24"/>
          <w:lang w:eastAsia="ja-JP"/>
        </w:rPr>
        <w:t xml:space="preserve">A </w:t>
      </w:r>
      <w:r w:rsidR="00920835">
        <w:rPr>
          <w:rFonts w:eastAsiaTheme="minorEastAsia"/>
          <w:szCs w:val="24"/>
          <w:lang w:eastAsia="ja-JP"/>
        </w:rPr>
        <w:t xml:space="preserve">simple sentence </w:t>
      </w:r>
      <w:r w:rsidR="0036492B">
        <w:rPr>
          <w:rFonts w:eastAsiaTheme="minorEastAsia"/>
          <w:szCs w:val="24"/>
          <w:lang w:eastAsia="ja-JP"/>
        </w:rPr>
        <w:t>mentioning that the RLM period will be longer if measurement gaps are configured can be included in the specs for consistency.</w:t>
      </w:r>
    </w:p>
    <w:p w14:paraId="1656396C" w14:textId="273E9D89" w:rsidR="00517F7D" w:rsidRDefault="00956B36" w:rsidP="00920835">
      <w:pPr>
        <w:jc w:val="both"/>
        <w:rPr>
          <w:b/>
          <w:lang w:eastAsia="ja-JP"/>
        </w:rPr>
      </w:pPr>
      <w:r w:rsidRPr="00956B36">
        <w:rPr>
          <w:b/>
          <w:lang w:eastAsia="ja-JP"/>
        </w:rPr>
        <w:lastRenderedPageBreak/>
        <w:t>Proposal 5:</w:t>
      </w:r>
      <w:r>
        <w:rPr>
          <w:b/>
          <w:lang w:eastAsia="ja-JP"/>
        </w:rPr>
        <w:t xml:space="preserve"> </w:t>
      </w:r>
      <w:r w:rsidR="008C5621">
        <w:rPr>
          <w:b/>
          <w:lang w:eastAsia="ja-JP"/>
        </w:rPr>
        <w:t>UE RLM requirements from TS 38.133 Clause 8.1 shall be adapted and reused as follows:</w:t>
      </w:r>
    </w:p>
    <w:p w14:paraId="32420F27" w14:textId="77777777" w:rsidR="00BC2D4C" w:rsidRDefault="008C5621" w:rsidP="00666CA5">
      <w:pPr>
        <w:pStyle w:val="ListParagraph"/>
        <w:numPr>
          <w:ilvl w:val="0"/>
          <w:numId w:val="14"/>
        </w:numPr>
        <w:jc w:val="both"/>
        <w:rPr>
          <w:b/>
          <w:lang w:eastAsia="ja-JP"/>
        </w:rPr>
      </w:pPr>
      <w:r>
        <w:rPr>
          <w:b/>
          <w:lang w:eastAsia="ja-JP"/>
        </w:rPr>
        <w:t xml:space="preserve">Discard requirements related to DRX: </w:t>
      </w:r>
      <w:r w:rsidR="00BC2D4C">
        <w:rPr>
          <w:b/>
          <w:lang w:eastAsia="ja-JP"/>
        </w:rPr>
        <w:t xml:space="preserve">requirements depending on </w:t>
      </w:r>
      <w:r>
        <w:rPr>
          <w:b/>
          <w:lang w:eastAsia="ja-JP"/>
        </w:rPr>
        <w:t>DRX cycle length</w:t>
      </w:r>
      <w:r w:rsidR="00BC2D4C">
        <w:rPr>
          <w:b/>
          <w:lang w:eastAsia="ja-JP"/>
        </w:rPr>
        <w:t>, requirement at transitions</w:t>
      </w:r>
    </w:p>
    <w:p w14:paraId="3D3E10BE" w14:textId="77777777" w:rsidR="00BC2D4C" w:rsidRDefault="00BC2D4C" w:rsidP="00666CA5">
      <w:pPr>
        <w:pStyle w:val="ListParagraph"/>
        <w:numPr>
          <w:ilvl w:val="0"/>
          <w:numId w:val="14"/>
        </w:numPr>
        <w:jc w:val="both"/>
        <w:rPr>
          <w:b/>
          <w:lang w:eastAsia="ja-JP"/>
        </w:rPr>
      </w:pPr>
      <w:r>
        <w:rPr>
          <w:b/>
          <w:lang w:eastAsia="ja-JP"/>
        </w:rPr>
        <w:t>Discard requirements related to measurement gaps and collisions between RLM-RS and measurement gaps</w:t>
      </w:r>
    </w:p>
    <w:p w14:paraId="17947628" w14:textId="5B443D1F" w:rsidR="008C5621" w:rsidRPr="008C5621" w:rsidRDefault="00BC2D4C" w:rsidP="00666CA5">
      <w:pPr>
        <w:pStyle w:val="ListParagraph"/>
        <w:numPr>
          <w:ilvl w:val="0"/>
          <w:numId w:val="14"/>
        </w:numPr>
        <w:jc w:val="both"/>
        <w:rPr>
          <w:b/>
          <w:lang w:eastAsia="ja-JP"/>
        </w:rPr>
      </w:pPr>
      <w:r>
        <w:rPr>
          <w:b/>
          <w:lang w:eastAsia="ja-JP"/>
        </w:rPr>
        <w:t xml:space="preserve">Discard </w:t>
      </w:r>
      <w:r w:rsidR="00B607C0">
        <w:rPr>
          <w:b/>
          <w:lang w:eastAsia="ja-JP"/>
        </w:rPr>
        <w:t xml:space="preserve">scheduling availability requirements related to </w:t>
      </w:r>
      <w:r w:rsidR="006F48F6">
        <w:rPr>
          <w:b/>
          <w:lang w:eastAsia="ja-JP"/>
        </w:rPr>
        <w:t>FR1-FR2 inter-band CA and NR-DC</w:t>
      </w:r>
      <w:r w:rsidR="00920835">
        <w:rPr>
          <w:b/>
          <w:lang w:eastAsia="ja-JP"/>
        </w:rPr>
        <w:t xml:space="preserve"> </w:t>
      </w:r>
      <w:r w:rsidR="006F48F6">
        <w:rPr>
          <w:b/>
          <w:lang w:eastAsia="ja-JP"/>
        </w:rPr>
        <w:t>(clause 8.1.7.4)</w:t>
      </w:r>
    </w:p>
    <w:p w14:paraId="2DADF67E" w14:textId="7A9A0578" w:rsidR="00517F7D" w:rsidRPr="00B95A9C" w:rsidRDefault="00517F7D" w:rsidP="00920835">
      <w:pPr>
        <w:jc w:val="both"/>
        <w:rPr>
          <w:b/>
          <w:u w:val="single"/>
          <w:lang w:eastAsia="ko-KR"/>
        </w:rPr>
      </w:pPr>
      <w:r w:rsidRPr="00B95A9C">
        <w:rPr>
          <w:b/>
          <w:u w:val="single"/>
          <w:lang w:eastAsia="ko-KR"/>
        </w:rPr>
        <w:t>Link recovery procedure</w:t>
      </w:r>
      <w:r w:rsidR="006039BB">
        <w:rPr>
          <w:b/>
          <w:u w:val="single"/>
          <w:lang w:eastAsia="ko-KR"/>
        </w:rPr>
        <w:t>s</w:t>
      </w:r>
    </w:p>
    <w:p w14:paraId="01EC2A59" w14:textId="77FC1BFA" w:rsidR="00517F7D" w:rsidRPr="00EC3ED3" w:rsidRDefault="00EC3ED3" w:rsidP="00920835">
      <w:pPr>
        <w:spacing w:after="120"/>
        <w:jc w:val="both"/>
        <w:rPr>
          <w:rFonts w:eastAsiaTheme="minorEastAsia"/>
          <w:szCs w:val="24"/>
          <w:lang w:eastAsia="ja-JP"/>
        </w:rPr>
      </w:pPr>
      <w:r>
        <w:rPr>
          <w:rFonts w:eastAsiaTheme="minorEastAsia"/>
          <w:szCs w:val="24"/>
          <w:lang w:eastAsia="ja-JP"/>
        </w:rPr>
        <w:t xml:space="preserve">Inline with </w:t>
      </w:r>
      <w:r w:rsidR="00BB5B33">
        <w:rPr>
          <w:rFonts w:eastAsiaTheme="minorEastAsia"/>
          <w:szCs w:val="24"/>
          <w:lang w:eastAsia="ja-JP"/>
        </w:rPr>
        <w:t xml:space="preserve">other requirements discussed above, the UE </w:t>
      </w:r>
      <w:r w:rsidR="00BE1200">
        <w:rPr>
          <w:rFonts w:eastAsiaTheme="minorEastAsia"/>
          <w:szCs w:val="24"/>
          <w:lang w:eastAsia="ja-JP"/>
        </w:rPr>
        <w:t>link recover procedures defined in TS 38.133 Clause 8.5</w:t>
      </w:r>
      <w:r w:rsidR="00694A54">
        <w:rPr>
          <w:rFonts w:eastAsiaTheme="minorEastAsia"/>
          <w:szCs w:val="24"/>
          <w:lang w:eastAsia="ja-JP"/>
        </w:rPr>
        <w:t xml:space="preserve"> should be reused with some amendments. The DRX related requirements and </w:t>
      </w:r>
      <w:r w:rsidR="00CB50B5">
        <w:rPr>
          <w:rFonts w:eastAsiaTheme="minorEastAsia"/>
          <w:szCs w:val="24"/>
          <w:lang w:eastAsia="ja-JP"/>
        </w:rPr>
        <w:t xml:space="preserve">requirements with measurement gaps can be discarded. </w:t>
      </w:r>
      <w:r w:rsidR="00CD2542">
        <w:rPr>
          <w:rFonts w:eastAsiaTheme="minorEastAsia"/>
          <w:szCs w:val="24"/>
          <w:lang w:eastAsia="ja-JP"/>
        </w:rPr>
        <w:t xml:space="preserve">Requirements related to deactivated PSCells/SCells </w:t>
      </w:r>
      <w:r w:rsidR="00F462BF">
        <w:rPr>
          <w:rFonts w:eastAsiaTheme="minorEastAsia"/>
          <w:szCs w:val="24"/>
          <w:lang w:eastAsia="ja-JP"/>
        </w:rPr>
        <w:t>can also be discarded.</w:t>
      </w:r>
    </w:p>
    <w:p w14:paraId="17C0FED9" w14:textId="77777777" w:rsidR="002501EB" w:rsidRPr="00FE1C50" w:rsidRDefault="004D6F29" w:rsidP="004D6F29">
      <w:pPr>
        <w:spacing w:after="120"/>
        <w:jc w:val="both"/>
        <w:rPr>
          <w:rFonts w:eastAsiaTheme="minorEastAsia"/>
          <w:b/>
          <w:bCs/>
          <w:szCs w:val="24"/>
          <w:lang w:eastAsia="ja-JP"/>
        </w:rPr>
      </w:pPr>
      <w:r w:rsidRPr="00FE1C50">
        <w:rPr>
          <w:rFonts w:eastAsiaTheme="minorEastAsia" w:hint="eastAsia"/>
          <w:b/>
          <w:bCs/>
          <w:szCs w:val="24"/>
          <w:lang w:eastAsia="ja-JP"/>
        </w:rPr>
        <w:t>P</w:t>
      </w:r>
      <w:r w:rsidRPr="00FE1C50">
        <w:rPr>
          <w:rFonts w:eastAsiaTheme="minorEastAsia"/>
          <w:b/>
          <w:bCs/>
          <w:szCs w:val="24"/>
          <w:lang w:eastAsia="ja-JP"/>
        </w:rPr>
        <w:t xml:space="preserve">roposal 6: UE link recovery procedures </w:t>
      </w:r>
      <w:r w:rsidR="003C0340" w:rsidRPr="00FE1C50">
        <w:rPr>
          <w:rFonts w:eastAsiaTheme="minorEastAsia"/>
          <w:b/>
          <w:bCs/>
          <w:szCs w:val="24"/>
          <w:lang w:eastAsia="ja-JP"/>
        </w:rPr>
        <w:t>requirements</w:t>
      </w:r>
      <w:r w:rsidRPr="00FE1C50">
        <w:rPr>
          <w:rFonts w:eastAsiaTheme="minorEastAsia"/>
          <w:b/>
          <w:bCs/>
          <w:szCs w:val="24"/>
          <w:lang w:eastAsia="ja-JP"/>
        </w:rPr>
        <w:t xml:space="preserve"> from TS </w:t>
      </w:r>
      <w:r w:rsidR="003C0340" w:rsidRPr="00FE1C50">
        <w:rPr>
          <w:rFonts w:eastAsiaTheme="minorEastAsia"/>
          <w:b/>
          <w:bCs/>
          <w:szCs w:val="24"/>
          <w:lang w:eastAsia="ja-JP"/>
        </w:rPr>
        <w:t xml:space="preserve">38.133 Clause </w:t>
      </w:r>
      <w:r w:rsidR="002501EB" w:rsidRPr="00FE1C50">
        <w:rPr>
          <w:rFonts w:eastAsiaTheme="minorEastAsia"/>
          <w:b/>
          <w:bCs/>
          <w:szCs w:val="24"/>
          <w:lang w:eastAsia="ja-JP"/>
        </w:rPr>
        <w:t>8.5 shall be reused and adapted as follows:</w:t>
      </w:r>
    </w:p>
    <w:p w14:paraId="10E4DDBD" w14:textId="77777777" w:rsidR="002501EB" w:rsidRPr="00FE1C50" w:rsidRDefault="002501EB" w:rsidP="00666CA5">
      <w:pPr>
        <w:pStyle w:val="ListParagraph"/>
        <w:numPr>
          <w:ilvl w:val="0"/>
          <w:numId w:val="14"/>
        </w:numPr>
        <w:spacing w:after="120"/>
        <w:jc w:val="both"/>
        <w:rPr>
          <w:rFonts w:eastAsiaTheme="minorEastAsia"/>
          <w:b/>
          <w:bCs/>
          <w:szCs w:val="24"/>
          <w:lang w:eastAsia="ja-JP"/>
        </w:rPr>
      </w:pPr>
      <w:r w:rsidRPr="00FE1C50">
        <w:rPr>
          <w:b/>
          <w:bCs/>
          <w:lang w:eastAsia="ja-JP"/>
        </w:rPr>
        <w:t>Discard requirements related to DRX</w:t>
      </w:r>
    </w:p>
    <w:p w14:paraId="5C21534D" w14:textId="1163C689" w:rsidR="00517F7D" w:rsidRPr="00FE1C50" w:rsidRDefault="0058171C" w:rsidP="00666CA5">
      <w:pPr>
        <w:pStyle w:val="ListParagraph"/>
        <w:numPr>
          <w:ilvl w:val="0"/>
          <w:numId w:val="14"/>
        </w:numPr>
        <w:spacing w:after="120"/>
        <w:jc w:val="both"/>
        <w:rPr>
          <w:rFonts w:eastAsiaTheme="minorEastAsia"/>
          <w:b/>
          <w:bCs/>
          <w:szCs w:val="24"/>
          <w:lang w:eastAsia="ja-JP"/>
        </w:rPr>
      </w:pPr>
      <w:r w:rsidRPr="00FE1C50">
        <w:rPr>
          <w:b/>
          <w:bCs/>
          <w:lang w:eastAsia="ja-JP"/>
        </w:rPr>
        <w:t>Discard requirements related to measurement gaps</w:t>
      </w:r>
    </w:p>
    <w:p w14:paraId="731DFD23" w14:textId="4696C705" w:rsidR="0058171C" w:rsidRPr="002501EB" w:rsidRDefault="008E51D3" w:rsidP="00666CA5">
      <w:pPr>
        <w:pStyle w:val="ListParagraph"/>
        <w:numPr>
          <w:ilvl w:val="0"/>
          <w:numId w:val="14"/>
        </w:numPr>
        <w:spacing w:after="120"/>
        <w:jc w:val="both"/>
        <w:rPr>
          <w:rFonts w:eastAsiaTheme="minorEastAsia"/>
          <w:szCs w:val="24"/>
          <w:lang w:eastAsia="ja-JP"/>
        </w:rPr>
      </w:pPr>
      <w:r w:rsidRPr="00FE1C50">
        <w:rPr>
          <w:rFonts w:eastAsiaTheme="minorEastAsia" w:hint="eastAsia"/>
          <w:b/>
          <w:bCs/>
          <w:szCs w:val="24"/>
          <w:lang w:eastAsia="ja-JP"/>
        </w:rPr>
        <w:t>D</w:t>
      </w:r>
      <w:r w:rsidRPr="00FE1C50">
        <w:rPr>
          <w:rFonts w:eastAsiaTheme="minorEastAsia"/>
          <w:b/>
          <w:bCs/>
          <w:szCs w:val="24"/>
          <w:lang w:eastAsia="ja-JP"/>
        </w:rPr>
        <w:t>iscard requirements related to deactivated PSCells/SCells</w:t>
      </w:r>
      <w:r w:rsidR="00FE1C50" w:rsidRPr="00FE1C50">
        <w:rPr>
          <w:rFonts w:eastAsiaTheme="minorEastAsia"/>
          <w:b/>
          <w:bCs/>
          <w:szCs w:val="24"/>
          <w:lang w:eastAsia="ja-JP"/>
        </w:rPr>
        <w:t>, inter-band CA, FR2-2, etc</w:t>
      </w:r>
      <w:r>
        <w:rPr>
          <w:rFonts w:eastAsiaTheme="minorEastAsia"/>
          <w:szCs w:val="24"/>
          <w:lang w:eastAsia="ja-JP"/>
        </w:rPr>
        <w:t xml:space="preserve"> </w:t>
      </w:r>
    </w:p>
    <w:p w14:paraId="058588F2" w14:textId="3B55F420" w:rsidR="00517F7D" w:rsidRPr="00B95A9C" w:rsidRDefault="00517F7D" w:rsidP="00920835">
      <w:pPr>
        <w:jc w:val="both"/>
        <w:rPr>
          <w:b/>
          <w:u w:val="single"/>
          <w:lang w:eastAsia="ko-KR"/>
        </w:rPr>
      </w:pPr>
      <w:r w:rsidRPr="00B95A9C">
        <w:rPr>
          <w:b/>
          <w:u w:val="single"/>
          <w:lang w:eastAsia="ko-KR"/>
        </w:rPr>
        <w:t>L1-RSRP measurements</w:t>
      </w:r>
    </w:p>
    <w:p w14:paraId="6EE35978" w14:textId="1DEC2DC4" w:rsidR="00517F7D" w:rsidRPr="009E66DE" w:rsidRDefault="009E66DE" w:rsidP="009E66DE">
      <w:pPr>
        <w:spacing w:after="120"/>
        <w:jc w:val="both"/>
        <w:rPr>
          <w:szCs w:val="24"/>
          <w:lang w:eastAsia="zh-CN"/>
        </w:rPr>
      </w:pPr>
      <w:r>
        <w:rPr>
          <w:szCs w:val="24"/>
          <w:lang w:eastAsia="zh-CN"/>
        </w:rPr>
        <w:t xml:space="preserve">L1-RSRP measurement requirements shall be based on the UE requirements </w:t>
      </w:r>
      <w:r w:rsidR="00387BBF">
        <w:rPr>
          <w:szCs w:val="24"/>
          <w:lang w:eastAsia="zh-CN"/>
        </w:rPr>
        <w:t>defined in TS 38.133 Clause 9.5</w:t>
      </w:r>
      <w:r w:rsidR="00EA469B">
        <w:rPr>
          <w:szCs w:val="24"/>
          <w:lang w:eastAsia="zh-CN"/>
        </w:rPr>
        <w:t xml:space="preserve">. Similarly to the other requirements, the scaling factor related to beam sweeping should be kept while requirements related to </w:t>
      </w:r>
      <w:r w:rsidR="00647471">
        <w:rPr>
          <w:szCs w:val="24"/>
          <w:lang w:eastAsia="zh-CN"/>
        </w:rPr>
        <w:t>measurement gap</w:t>
      </w:r>
      <w:r w:rsidR="001E1A48">
        <w:rPr>
          <w:szCs w:val="24"/>
          <w:lang w:eastAsia="zh-CN"/>
        </w:rPr>
        <w:t xml:space="preserve">s (gap sharing) or </w:t>
      </w:r>
      <w:r w:rsidR="007A1BD7">
        <w:rPr>
          <w:szCs w:val="24"/>
          <w:lang w:eastAsia="zh-CN"/>
        </w:rPr>
        <w:t>inter-frequency/inter-RAT measurements.</w:t>
      </w:r>
      <w:r w:rsidR="00517F7D" w:rsidRPr="009E66DE">
        <w:rPr>
          <w:szCs w:val="24"/>
          <w:lang w:eastAsia="zh-CN"/>
        </w:rPr>
        <w:t xml:space="preserve"> </w:t>
      </w:r>
    </w:p>
    <w:p w14:paraId="4BE83085" w14:textId="2CDE8464" w:rsidR="00517F7D" w:rsidRDefault="00E75564" w:rsidP="00920835">
      <w:pPr>
        <w:jc w:val="both"/>
        <w:rPr>
          <w:b/>
          <w:lang w:eastAsia="ja-JP"/>
        </w:rPr>
      </w:pPr>
      <w:r w:rsidRPr="00B33A43">
        <w:rPr>
          <w:rFonts w:hint="eastAsia"/>
          <w:b/>
          <w:lang w:eastAsia="ja-JP"/>
        </w:rPr>
        <w:t>P</w:t>
      </w:r>
      <w:r w:rsidRPr="00B33A43">
        <w:rPr>
          <w:b/>
          <w:lang w:eastAsia="ja-JP"/>
        </w:rPr>
        <w:t xml:space="preserve">roposal </w:t>
      </w:r>
      <w:r w:rsidR="00B33A43" w:rsidRPr="00B33A43">
        <w:rPr>
          <w:b/>
          <w:lang w:eastAsia="ja-JP"/>
        </w:rPr>
        <w:t>7</w:t>
      </w:r>
      <w:r w:rsidR="00B33A43">
        <w:rPr>
          <w:b/>
          <w:lang w:eastAsia="ja-JP"/>
        </w:rPr>
        <w:t xml:space="preserve">: UE L1-RSR measurement requirements shall be based on the UE requirements defined in TS 38.133 Clause 9.5 </w:t>
      </w:r>
      <w:r w:rsidR="00417940">
        <w:rPr>
          <w:b/>
          <w:lang w:eastAsia="ja-JP"/>
        </w:rPr>
        <w:t>and adapted as follows:</w:t>
      </w:r>
    </w:p>
    <w:p w14:paraId="10469187" w14:textId="061D7F00" w:rsidR="00417940" w:rsidRDefault="00417940" w:rsidP="00666CA5">
      <w:pPr>
        <w:pStyle w:val="ListParagraph"/>
        <w:numPr>
          <w:ilvl w:val="0"/>
          <w:numId w:val="14"/>
        </w:numPr>
        <w:jc w:val="both"/>
        <w:rPr>
          <w:b/>
          <w:lang w:eastAsia="ja-JP"/>
        </w:rPr>
      </w:pPr>
      <w:r>
        <w:rPr>
          <w:b/>
          <w:lang w:eastAsia="ja-JP"/>
        </w:rPr>
        <w:t xml:space="preserve">Keep the beam sweeping factors </w:t>
      </w:r>
    </w:p>
    <w:p w14:paraId="28C93A82" w14:textId="47516291" w:rsidR="00417940" w:rsidRDefault="00666CA5" w:rsidP="00666CA5">
      <w:pPr>
        <w:pStyle w:val="ListParagraph"/>
        <w:numPr>
          <w:ilvl w:val="0"/>
          <w:numId w:val="14"/>
        </w:numPr>
        <w:jc w:val="both"/>
        <w:rPr>
          <w:b/>
          <w:lang w:eastAsia="ja-JP"/>
        </w:rPr>
      </w:pPr>
      <w:r>
        <w:rPr>
          <w:rFonts w:hint="eastAsia"/>
          <w:b/>
          <w:lang w:eastAsia="ja-JP"/>
        </w:rPr>
        <w:t>D</w:t>
      </w:r>
      <w:r>
        <w:rPr>
          <w:b/>
          <w:lang w:eastAsia="ja-JP"/>
        </w:rPr>
        <w:t>iscard requirements related to DRX</w:t>
      </w:r>
    </w:p>
    <w:p w14:paraId="49CBBC6E" w14:textId="5FDA2BCE" w:rsidR="00666CA5" w:rsidRPr="00417940" w:rsidRDefault="00666CA5" w:rsidP="00666CA5">
      <w:pPr>
        <w:pStyle w:val="ListParagraph"/>
        <w:numPr>
          <w:ilvl w:val="0"/>
          <w:numId w:val="14"/>
        </w:numPr>
        <w:jc w:val="both"/>
        <w:rPr>
          <w:b/>
          <w:lang w:eastAsia="ja-JP"/>
        </w:rPr>
      </w:pPr>
      <w:r>
        <w:rPr>
          <w:rFonts w:hint="eastAsia"/>
          <w:b/>
          <w:lang w:eastAsia="ja-JP"/>
        </w:rPr>
        <w:t>D</w:t>
      </w:r>
      <w:r>
        <w:rPr>
          <w:b/>
          <w:lang w:eastAsia="ja-JP"/>
        </w:rPr>
        <w:t>iscard requirements related to measurement gaps(gap sharing) and interf-frequency/inter-RAT measurements</w:t>
      </w:r>
    </w:p>
    <w:p w14:paraId="2CF0383B" w14:textId="77777777" w:rsidR="00F30605" w:rsidRPr="00B95A9C" w:rsidRDefault="00F30605" w:rsidP="00F30605">
      <w:pPr>
        <w:jc w:val="both"/>
        <w:rPr>
          <w:b/>
          <w:u w:val="single"/>
          <w:lang w:eastAsia="ko-KR"/>
        </w:rPr>
      </w:pPr>
      <w:r w:rsidRPr="00B95A9C">
        <w:rPr>
          <w:b/>
          <w:u w:val="single"/>
          <w:lang w:eastAsia="ko-KR"/>
        </w:rPr>
        <w:t>L3 Measurements</w:t>
      </w:r>
    </w:p>
    <w:p w14:paraId="24016A92" w14:textId="77777777" w:rsidR="00DD2702" w:rsidRDefault="00F30605" w:rsidP="00F30605">
      <w:pPr>
        <w:spacing w:after="120"/>
        <w:jc w:val="both"/>
        <w:rPr>
          <w:szCs w:val="24"/>
          <w:lang w:eastAsia="zh-CN"/>
        </w:rPr>
      </w:pPr>
      <w:r>
        <w:rPr>
          <w:szCs w:val="24"/>
          <w:lang w:eastAsia="zh-CN"/>
        </w:rPr>
        <w:t>In [2] it was agreed to introduce</w:t>
      </w:r>
      <w:r w:rsidRPr="00F30605">
        <w:rPr>
          <w:szCs w:val="24"/>
          <w:lang w:eastAsia="zh-CN"/>
        </w:rPr>
        <w:t xml:space="preserve"> requirements only for SSB based intra-frequency L3 measurements without gaps</w:t>
      </w:r>
      <w:r>
        <w:rPr>
          <w:szCs w:val="24"/>
          <w:lang w:eastAsia="zh-CN"/>
        </w:rPr>
        <w:t xml:space="preserve">. </w:t>
      </w:r>
      <w:r w:rsidR="00D97642">
        <w:rPr>
          <w:szCs w:val="24"/>
          <w:lang w:eastAsia="zh-CN"/>
        </w:rPr>
        <w:t xml:space="preserve">Based on this agreement, </w:t>
      </w:r>
      <w:r w:rsidR="006044EB">
        <w:rPr>
          <w:szCs w:val="24"/>
          <w:lang w:eastAsia="zh-CN"/>
        </w:rPr>
        <w:t>the requirements for intra-frequency measurements defined in TS 38.133 Clause 9.2 should be reused</w:t>
      </w:r>
      <w:r w:rsidR="00DD2702">
        <w:rPr>
          <w:szCs w:val="24"/>
          <w:lang w:eastAsia="zh-CN"/>
        </w:rPr>
        <w:t xml:space="preserve"> with some amendments.</w:t>
      </w:r>
    </w:p>
    <w:p w14:paraId="1A6C5F08" w14:textId="77777777" w:rsidR="00431647" w:rsidRPr="003C5067" w:rsidRDefault="00DD2702" w:rsidP="00F30605">
      <w:pPr>
        <w:spacing w:after="120"/>
        <w:jc w:val="both"/>
        <w:rPr>
          <w:b/>
          <w:bCs/>
          <w:szCs w:val="24"/>
          <w:lang w:eastAsia="zh-CN"/>
        </w:rPr>
      </w:pPr>
      <w:r w:rsidRPr="003C5067">
        <w:rPr>
          <w:b/>
          <w:bCs/>
          <w:szCs w:val="24"/>
          <w:lang w:eastAsia="zh-CN"/>
        </w:rPr>
        <w:t xml:space="preserve">Proposal 8: </w:t>
      </w:r>
      <w:r w:rsidR="00431647" w:rsidRPr="003C5067">
        <w:rPr>
          <w:b/>
          <w:bCs/>
          <w:szCs w:val="24"/>
          <w:lang w:eastAsia="zh-CN"/>
        </w:rPr>
        <w:t>UE intra-frequency measurement requirements defined in TS 38.133 Clause 9.2 should be reused the L3 measurement requirements with the following amendments:</w:t>
      </w:r>
    </w:p>
    <w:p w14:paraId="45E6FE2D" w14:textId="77777777" w:rsidR="003C5067" w:rsidRPr="003C5067" w:rsidRDefault="003C5067" w:rsidP="00431647">
      <w:pPr>
        <w:pStyle w:val="ListParagraph"/>
        <w:numPr>
          <w:ilvl w:val="0"/>
          <w:numId w:val="14"/>
        </w:numPr>
        <w:spacing w:after="120"/>
        <w:jc w:val="both"/>
        <w:rPr>
          <w:b/>
          <w:bCs/>
          <w:szCs w:val="24"/>
          <w:lang w:eastAsia="zh-CN"/>
        </w:rPr>
      </w:pPr>
      <w:r w:rsidRPr="003C5067">
        <w:rPr>
          <w:b/>
          <w:bCs/>
          <w:szCs w:val="24"/>
          <w:lang w:eastAsia="zh-CN"/>
        </w:rPr>
        <w:t>Discard the DRX requirements</w:t>
      </w:r>
    </w:p>
    <w:p w14:paraId="26E7F989" w14:textId="530E4D66" w:rsidR="00517F7D" w:rsidRPr="003C5067" w:rsidRDefault="003C5067" w:rsidP="00920835">
      <w:pPr>
        <w:pStyle w:val="ListParagraph"/>
        <w:numPr>
          <w:ilvl w:val="0"/>
          <w:numId w:val="14"/>
        </w:numPr>
        <w:spacing w:after="120"/>
        <w:jc w:val="both"/>
        <w:rPr>
          <w:szCs w:val="24"/>
          <w:lang w:eastAsia="zh-CN"/>
        </w:rPr>
      </w:pPr>
      <w:r w:rsidRPr="003C5067">
        <w:rPr>
          <w:b/>
          <w:bCs/>
          <w:szCs w:val="24"/>
          <w:lang w:eastAsia="zh-CN"/>
        </w:rPr>
        <w:t>Discard the requirements for SFTD and measurements with gaps.</w:t>
      </w:r>
      <w:r w:rsidR="0032781C" w:rsidRPr="00431647">
        <w:rPr>
          <w:szCs w:val="24"/>
          <w:lang w:eastAsia="zh-CN"/>
        </w:rPr>
        <w:t xml:space="preserve"> </w:t>
      </w:r>
    </w:p>
    <w:p w14:paraId="1B71A268" w14:textId="73B46DEE" w:rsidR="00F30605" w:rsidRPr="003C5067" w:rsidRDefault="003C5067" w:rsidP="00920835">
      <w:pPr>
        <w:jc w:val="both"/>
        <w:rPr>
          <w:rFonts w:eastAsiaTheme="minorEastAsia"/>
          <w:bCs/>
          <w:lang w:eastAsia="ja-JP"/>
        </w:rPr>
      </w:pPr>
      <w:r>
        <w:rPr>
          <w:rFonts w:eastAsiaTheme="minorEastAsia"/>
          <w:bCs/>
          <w:lang w:eastAsia="ja-JP"/>
        </w:rPr>
        <w:t xml:space="preserve">The UE requirements also contain a general clause, part of this </w:t>
      </w:r>
      <w:r w:rsidR="00210577">
        <w:rPr>
          <w:rFonts w:eastAsiaTheme="minorEastAsia"/>
          <w:bCs/>
          <w:lang w:eastAsia="ja-JP"/>
        </w:rPr>
        <w:t>with the measurement capabilities and capabilities for support of even triggering are also needed.</w:t>
      </w:r>
    </w:p>
    <w:p w14:paraId="14AD8A4D" w14:textId="73125814" w:rsidR="00882406" w:rsidRPr="00B95A9C" w:rsidRDefault="00882406" w:rsidP="00882406">
      <w:pPr>
        <w:jc w:val="both"/>
        <w:rPr>
          <w:b/>
          <w:u w:val="single"/>
          <w:lang w:eastAsia="ko-KR"/>
        </w:rPr>
      </w:pPr>
      <w:r w:rsidRPr="00B95A9C">
        <w:rPr>
          <w:b/>
          <w:u w:val="single"/>
          <w:lang w:eastAsia="ko-KR"/>
        </w:rPr>
        <w:t>RACH and connection release with redirection</w:t>
      </w:r>
    </w:p>
    <w:p w14:paraId="52589769" w14:textId="5A6898E7" w:rsidR="0043143A" w:rsidRDefault="00FD1C30" w:rsidP="0043143A">
      <w:pPr>
        <w:spacing w:after="120"/>
        <w:jc w:val="both"/>
        <w:rPr>
          <w:rFonts w:eastAsiaTheme="minorEastAsia"/>
          <w:szCs w:val="24"/>
          <w:lang w:eastAsia="ja-JP"/>
        </w:rPr>
      </w:pPr>
      <w:r>
        <w:rPr>
          <w:rFonts w:eastAsiaTheme="minorEastAsia" w:hint="eastAsia"/>
          <w:szCs w:val="24"/>
          <w:lang w:eastAsia="ja-JP"/>
        </w:rPr>
        <w:t>I</w:t>
      </w:r>
      <w:r>
        <w:rPr>
          <w:rFonts w:eastAsiaTheme="minorEastAsia"/>
          <w:szCs w:val="24"/>
          <w:lang w:eastAsia="ja-JP"/>
        </w:rPr>
        <w:t xml:space="preserve">n previous meetings it was agreed to introduce </w:t>
      </w:r>
      <w:r w:rsidR="004F7C23">
        <w:rPr>
          <w:rFonts w:eastAsiaTheme="minorEastAsia"/>
          <w:szCs w:val="24"/>
          <w:lang w:eastAsia="ja-JP"/>
        </w:rPr>
        <w:t xml:space="preserve">Random access requirements for the 4 step RACH procedure. The requirements for this procedure should also be </w:t>
      </w:r>
      <w:r w:rsidR="00AB5E90">
        <w:rPr>
          <w:rFonts w:eastAsiaTheme="minorEastAsia"/>
          <w:szCs w:val="24"/>
          <w:lang w:eastAsia="ja-JP"/>
        </w:rPr>
        <w:t xml:space="preserve">copied from the UE requirements defined in TS 38.133 Clause 6.2.2.2. </w:t>
      </w:r>
    </w:p>
    <w:p w14:paraId="516C8DF6" w14:textId="2CC8F76C" w:rsidR="00CC5204" w:rsidRPr="00852C46" w:rsidRDefault="00CC5204" w:rsidP="0043143A">
      <w:pPr>
        <w:spacing w:after="120"/>
        <w:jc w:val="both"/>
        <w:rPr>
          <w:rFonts w:eastAsiaTheme="minorEastAsia"/>
          <w:b/>
          <w:bCs/>
          <w:szCs w:val="24"/>
          <w:lang w:eastAsia="ja-JP"/>
        </w:rPr>
      </w:pPr>
      <w:r w:rsidRPr="00852C46">
        <w:rPr>
          <w:rFonts w:eastAsiaTheme="minorEastAsia" w:hint="eastAsia"/>
          <w:b/>
          <w:bCs/>
          <w:szCs w:val="24"/>
          <w:lang w:eastAsia="ja-JP"/>
        </w:rPr>
        <w:t>P</w:t>
      </w:r>
      <w:r w:rsidRPr="00852C46">
        <w:rPr>
          <w:rFonts w:eastAsiaTheme="minorEastAsia"/>
          <w:b/>
          <w:bCs/>
          <w:szCs w:val="24"/>
          <w:lang w:eastAsia="ja-JP"/>
        </w:rPr>
        <w:t xml:space="preserve">roposal 9: UE requirements for 4 step rand access procedure defined in TS 38.133 Clause </w:t>
      </w:r>
      <w:r w:rsidR="00EE2282" w:rsidRPr="00852C46">
        <w:rPr>
          <w:rFonts w:eastAsiaTheme="minorEastAsia"/>
          <w:b/>
          <w:bCs/>
          <w:szCs w:val="24"/>
          <w:lang w:eastAsia="ja-JP"/>
        </w:rPr>
        <w:t xml:space="preserve">6.2.2.2 should be reused for the </w:t>
      </w:r>
      <w:r w:rsidR="00852C46" w:rsidRPr="00852C46">
        <w:rPr>
          <w:rFonts w:eastAsiaTheme="minorEastAsia"/>
          <w:b/>
          <w:bCs/>
          <w:szCs w:val="24"/>
          <w:lang w:eastAsia="ja-JP"/>
        </w:rPr>
        <w:t>mobile IAB.</w:t>
      </w:r>
    </w:p>
    <w:p w14:paraId="0DDE19F2" w14:textId="6409B280" w:rsidR="0043143A" w:rsidRDefault="00852C46" w:rsidP="0043143A">
      <w:pPr>
        <w:spacing w:after="120"/>
        <w:jc w:val="both"/>
        <w:rPr>
          <w:rFonts w:eastAsiaTheme="minorEastAsia"/>
          <w:szCs w:val="24"/>
          <w:lang w:eastAsia="ja-JP"/>
        </w:rPr>
      </w:pPr>
      <w:r>
        <w:rPr>
          <w:rFonts w:eastAsiaTheme="minorEastAsia"/>
          <w:szCs w:val="24"/>
          <w:lang w:eastAsia="ja-JP"/>
        </w:rPr>
        <w:t xml:space="preserve">The requirements for </w:t>
      </w:r>
      <w:r w:rsidR="006E79E6">
        <w:rPr>
          <w:rFonts w:eastAsiaTheme="minorEastAsia"/>
          <w:szCs w:val="24"/>
          <w:lang w:eastAsia="ja-JP"/>
        </w:rPr>
        <w:t>connection release with redirection were left FFS, our view is that these requirements are not needed as this procedure is unlikely to be used for mobile IABs.</w:t>
      </w:r>
    </w:p>
    <w:p w14:paraId="3C437F20" w14:textId="271D0CE3" w:rsidR="006E79E6" w:rsidRPr="00BC4D2D" w:rsidRDefault="006E79E6" w:rsidP="0043143A">
      <w:pPr>
        <w:spacing w:after="120"/>
        <w:jc w:val="both"/>
        <w:rPr>
          <w:rFonts w:eastAsiaTheme="minorEastAsia"/>
          <w:b/>
          <w:bCs/>
          <w:szCs w:val="24"/>
          <w:lang w:eastAsia="ja-JP"/>
        </w:rPr>
      </w:pPr>
      <w:r w:rsidRPr="00BC4D2D">
        <w:rPr>
          <w:rFonts w:eastAsiaTheme="minorEastAsia" w:hint="eastAsia"/>
          <w:b/>
          <w:bCs/>
          <w:szCs w:val="24"/>
          <w:lang w:eastAsia="ja-JP"/>
        </w:rPr>
        <w:t>P</w:t>
      </w:r>
      <w:r w:rsidRPr="00BC4D2D">
        <w:rPr>
          <w:rFonts w:eastAsiaTheme="minorEastAsia"/>
          <w:b/>
          <w:bCs/>
          <w:szCs w:val="24"/>
          <w:lang w:eastAsia="ja-JP"/>
        </w:rPr>
        <w:t xml:space="preserve">roposal 10: Do not introduce requirements for the RRC </w:t>
      </w:r>
      <w:r w:rsidR="00BC4D2D" w:rsidRPr="00BC4D2D">
        <w:rPr>
          <w:rFonts w:eastAsiaTheme="minorEastAsia"/>
          <w:b/>
          <w:bCs/>
          <w:szCs w:val="24"/>
          <w:lang w:eastAsia="ja-JP"/>
        </w:rPr>
        <w:t>release with redirection.</w:t>
      </w:r>
    </w:p>
    <w:p w14:paraId="45A3881B" w14:textId="77777777" w:rsidR="002366DE" w:rsidRPr="00B95A9C" w:rsidRDefault="002366DE" w:rsidP="002366DE">
      <w:pPr>
        <w:jc w:val="both"/>
        <w:rPr>
          <w:b/>
          <w:u w:val="single"/>
          <w:lang w:eastAsia="ko-KR"/>
        </w:rPr>
      </w:pPr>
      <w:r w:rsidRPr="00B95A9C">
        <w:rPr>
          <w:b/>
          <w:u w:val="single"/>
          <w:lang w:eastAsia="ko-KR"/>
        </w:rPr>
        <w:t xml:space="preserve">CA related requirements </w:t>
      </w:r>
    </w:p>
    <w:p w14:paraId="7F73F3AC" w14:textId="47138180" w:rsidR="002366DE" w:rsidRDefault="002366DE" w:rsidP="00112CF4">
      <w:pPr>
        <w:spacing w:after="120"/>
        <w:jc w:val="both"/>
        <w:rPr>
          <w:rFonts w:eastAsiaTheme="minorEastAsia"/>
          <w:szCs w:val="24"/>
          <w:lang w:eastAsia="ja-JP"/>
        </w:rPr>
      </w:pPr>
      <w:r>
        <w:rPr>
          <w:rFonts w:eastAsiaTheme="minorEastAsia" w:hint="eastAsia"/>
          <w:szCs w:val="24"/>
          <w:lang w:eastAsia="ja-JP"/>
        </w:rPr>
        <w:t>I</w:t>
      </w:r>
      <w:r>
        <w:rPr>
          <w:rFonts w:eastAsiaTheme="minorEastAsia"/>
          <w:szCs w:val="24"/>
          <w:lang w:eastAsia="ja-JP"/>
        </w:rPr>
        <w:t xml:space="preserve">ntroduction of CA related requirements </w:t>
      </w:r>
      <w:r w:rsidR="00E81AA6">
        <w:rPr>
          <w:rFonts w:eastAsiaTheme="minorEastAsia"/>
          <w:szCs w:val="24"/>
          <w:lang w:eastAsia="ja-JP"/>
        </w:rPr>
        <w:t>was left FFS</w:t>
      </w:r>
      <w:r w:rsidR="00BC502A">
        <w:rPr>
          <w:rFonts w:eastAsiaTheme="minorEastAsia"/>
          <w:szCs w:val="24"/>
          <w:lang w:eastAsia="ja-JP"/>
        </w:rPr>
        <w:t xml:space="preserve"> in previous meetings. Even if the mobile IAB supports CA, SCells would most likely be added and activated </w:t>
      </w:r>
      <w:r w:rsidR="005F7753">
        <w:rPr>
          <w:rFonts w:eastAsiaTheme="minorEastAsia"/>
          <w:szCs w:val="24"/>
          <w:lang w:eastAsia="ja-JP"/>
        </w:rPr>
        <w:t xml:space="preserve">when the device establishes the connection and be kept in this state for the </w:t>
      </w:r>
      <w:r w:rsidR="005F7753">
        <w:rPr>
          <w:rFonts w:eastAsiaTheme="minorEastAsia"/>
          <w:szCs w:val="24"/>
          <w:lang w:eastAsia="ja-JP"/>
        </w:rPr>
        <w:lastRenderedPageBreak/>
        <w:t>duration of the data call</w:t>
      </w:r>
      <w:r w:rsidR="00B53087">
        <w:rPr>
          <w:rFonts w:eastAsiaTheme="minorEastAsia"/>
          <w:szCs w:val="24"/>
          <w:lang w:eastAsia="ja-JP"/>
        </w:rPr>
        <w:t xml:space="preserve">. Frequent activation/deactivation or change of CCs is unlikely </w:t>
      </w:r>
      <w:r w:rsidR="00AD19BD">
        <w:rPr>
          <w:rFonts w:eastAsiaTheme="minorEastAsia"/>
          <w:szCs w:val="24"/>
          <w:lang w:eastAsia="ja-JP"/>
        </w:rPr>
        <w:t xml:space="preserve">for these devices. Based on these considerations, the CA requirements would not be needed </w:t>
      </w:r>
      <w:r w:rsidR="00112CF4">
        <w:rPr>
          <w:rFonts w:eastAsiaTheme="minorEastAsia"/>
          <w:szCs w:val="24"/>
          <w:lang w:eastAsia="ja-JP"/>
        </w:rPr>
        <w:t>since they would not have any impact on the system.</w:t>
      </w:r>
    </w:p>
    <w:p w14:paraId="1FB64677" w14:textId="77777777" w:rsidR="00A2181D" w:rsidRDefault="00112CF4" w:rsidP="00112CF4">
      <w:pPr>
        <w:spacing w:after="120"/>
        <w:jc w:val="both"/>
        <w:rPr>
          <w:rFonts w:eastAsiaTheme="minorEastAsia"/>
          <w:szCs w:val="24"/>
          <w:lang w:eastAsia="ja-JP"/>
        </w:rPr>
      </w:pPr>
      <w:r>
        <w:rPr>
          <w:rFonts w:eastAsiaTheme="minorEastAsia" w:hint="eastAsia"/>
          <w:szCs w:val="24"/>
          <w:lang w:eastAsia="ja-JP"/>
        </w:rPr>
        <w:t>H</w:t>
      </w:r>
      <w:r>
        <w:rPr>
          <w:rFonts w:eastAsiaTheme="minorEastAsia"/>
          <w:szCs w:val="24"/>
          <w:lang w:eastAsia="ja-JP"/>
        </w:rPr>
        <w:t xml:space="preserve">owever, during the HO procedure, the SCells will be released and then re-added and </w:t>
      </w:r>
      <w:r w:rsidR="000C5EA1">
        <w:rPr>
          <w:rFonts w:eastAsiaTheme="minorEastAsia"/>
          <w:szCs w:val="24"/>
          <w:lang w:eastAsia="ja-JP"/>
        </w:rPr>
        <w:t xml:space="preserve">activated at the target cell. Hence, these procedures will happen relatively often as the mobile IABs move inside the network. In order to have a complete picture of the HO delays, it would be useful to introduce the </w:t>
      </w:r>
      <w:r w:rsidR="00B46BCA">
        <w:rPr>
          <w:rFonts w:eastAsiaTheme="minorEastAsia"/>
          <w:szCs w:val="24"/>
          <w:lang w:eastAsia="ja-JP"/>
        </w:rPr>
        <w:t>r</w:t>
      </w:r>
      <w:r w:rsidR="000C5EA1">
        <w:rPr>
          <w:rFonts w:eastAsiaTheme="minorEastAsia"/>
          <w:szCs w:val="24"/>
          <w:lang w:eastAsia="ja-JP"/>
        </w:rPr>
        <w:t xml:space="preserve">equirements for </w:t>
      </w:r>
      <w:r w:rsidR="00B46BCA">
        <w:rPr>
          <w:rFonts w:eastAsiaTheme="minorEastAsia"/>
          <w:szCs w:val="24"/>
          <w:lang w:eastAsia="ja-JP"/>
        </w:rPr>
        <w:t>direct SCell activation at SCell addition</w:t>
      </w:r>
      <w:r w:rsidR="00F8660C">
        <w:rPr>
          <w:rFonts w:eastAsiaTheme="minorEastAsia"/>
          <w:szCs w:val="24"/>
          <w:lang w:eastAsia="ja-JP"/>
        </w:rPr>
        <w:t xml:space="preserve"> and direct SCell activation at Handover. </w:t>
      </w:r>
    </w:p>
    <w:p w14:paraId="28A8613B" w14:textId="1FFAD48D" w:rsidR="00112CF4" w:rsidRPr="0021378F" w:rsidRDefault="00A2181D" w:rsidP="00112CF4">
      <w:pPr>
        <w:spacing w:after="120"/>
        <w:jc w:val="both"/>
        <w:rPr>
          <w:rFonts w:eastAsiaTheme="minorEastAsia"/>
          <w:b/>
          <w:bCs/>
          <w:szCs w:val="24"/>
          <w:lang w:eastAsia="ja-JP"/>
        </w:rPr>
      </w:pPr>
      <w:r w:rsidRPr="0021378F">
        <w:rPr>
          <w:rFonts w:eastAsiaTheme="minorEastAsia"/>
          <w:b/>
          <w:bCs/>
          <w:szCs w:val="24"/>
          <w:lang w:eastAsia="ja-JP"/>
        </w:rPr>
        <w:t xml:space="preserve">Proposal 11: Introduce </w:t>
      </w:r>
      <w:r w:rsidR="0045050E" w:rsidRPr="0021378F">
        <w:rPr>
          <w:rFonts w:eastAsiaTheme="minorEastAsia"/>
          <w:b/>
          <w:bCs/>
          <w:szCs w:val="24"/>
          <w:lang w:eastAsia="ja-JP"/>
        </w:rPr>
        <w:t xml:space="preserve"> </w:t>
      </w:r>
      <w:r w:rsidRPr="0021378F">
        <w:rPr>
          <w:rFonts w:eastAsiaTheme="minorEastAsia"/>
          <w:b/>
          <w:bCs/>
          <w:szCs w:val="24"/>
          <w:lang w:eastAsia="ja-JP"/>
        </w:rPr>
        <w:t xml:space="preserve">requirements for the direct SCell activation </w:t>
      </w:r>
      <w:r w:rsidR="002F61A3" w:rsidRPr="0021378F">
        <w:rPr>
          <w:rFonts w:eastAsiaTheme="minorEastAsia"/>
          <w:b/>
          <w:bCs/>
          <w:szCs w:val="24"/>
          <w:lang w:eastAsia="ja-JP"/>
        </w:rPr>
        <w:t>at SCell addition and direct SCell activation at handover based on the UE requirements defined in TS 38.133 Clause 8.3.</w:t>
      </w:r>
      <w:r w:rsidR="0021378F" w:rsidRPr="0021378F">
        <w:rPr>
          <w:rFonts w:eastAsiaTheme="minorEastAsia"/>
          <w:b/>
          <w:bCs/>
          <w:szCs w:val="24"/>
          <w:lang w:eastAsia="ja-JP"/>
        </w:rPr>
        <w:t>4 and 8.3.5.</w:t>
      </w:r>
    </w:p>
    <w:p w14:paraId="22EC3B38" w14:textId="77E01259" w:rsidR="00517F7D" w:rsidRPr="00B95A9C" w:rsidRDefault="00517F7D" w:rsidP="00920835">
      <w:pPr>
        <w:jc w:val="both"/>
        <w:rPr>
          <w:b/>
          <w:u w:val="single"/>
          <w:lang w:eastAsia="ko-KR"/>
        </w:rPr>
      </w:pPr>
      <w:r w:rsidRPr="00B95A9C">
        <w:rPr>
          <w:b/>
          <w:u w:val="single"/>
          <w:lang w:eastAsia="ko-KR"/>
        </w:rPr>
        <w:t>Requirements for HST</w:t>
      </w:r>
    </w:p>
    <w:p w14:paraId="542516BE" w14:textId="50C8C713" w:rsidR="00BC4D2D" w:rsidRDefault="002B7BEC" w:rsidP="00BC4D2D">
      <w:pPr>
        <w:spacing w:after="120"/>
        <w:jc w:val="both"/>
        <w:rPr>
          <w:rFonts w:eastAsiaTheme="minorEastAsia"/>
          <w:szCs w:val="24"/>
          <w:lang w:eastAsia="ja-JP"/>
        </w:rPr>
      </w:pPr>
      <w:r>
        <w:rPr>
          <w:rFonts w:eastAsiaTheme="minorEastAsia"/>
          <w:szCs w:val="24"/>
          <w:lang w:eastAsia="ja-JP"/>
        </w:rPr>
        <w:t xml:space="preserve">The HST scenario(especially for FR1) is not ruled out by the current WI(it is also not explicitly included). </w:t>
      </w:r>
      <w:r w:rsidR="0068570A">
        <w:rPr>
          <w:rFonts w:eastAsiaTheme="minorEastAsia"/>
          <w:szCs w:val="24"/>
          <w:lang w:eastAsia="ja-JP"/>
        </w:rPr>
        <w:t xml:space="preserve">Considering that HST requirements would anyway be optional, </w:t>
      </w:r>
      <w:r w:rsidR="005D4273">
        <w:rPr>
          <w:rFonts w:eastAsiaTheme="minorEastAsia"/>
          <w:szCs w:val="24"/>
          <w:lang w:eastAsia="ja-JP"/>
        </w:rPr>
        <w:t>it is desirable to already enable this use case since there is no burden on mobile IABs that would not be designed for this deployment scenario.</w:t>
      </w:r>
    </w:p>
    <w:p w14:paraId="6E065867" w14:textId="7B0AAEC4" w:rsidR="00517F7D" w:rsidRPr="0021378F" w:rsidRDefault="005D4273" w:rsidP="000F1A16">
      <w:pPr>
        <w:spacing w:after="120"/>
        <w:jc w:val="both"/>
        <w:rPr>
          <w:rFonts w:eastAsiaTheme="minorEastAsia"/>
          <w:b/>
          <w:bCs/>
          <w:szCs w:val="24"/>
          <w:lang w:eastAsia="ja-JP"/>
        </w:rPr>
      </w:pPr>
      <w:r w:rsidRPr="0021378F">
        <w:rPr>
          <w:rFonts w:eastAsiaTheme="minorEastAsia" w:hint="eastAsia"/>
          <w:b/>
          <w:bCs/>
          <w:szCs w:val="24"/>
          <w:lang w:eastAsia="ja-JP"/>
        </w:rPr>
        <w:t>P</w:t>
      </w:r>
      <w:r w:rsidRPr="0021378F">
        <w:rPr>
          <w:rFonts w:eastAsiaTheme="minorEastAsia"/>
          <w:b/>
          <w:bCs/>
          <w:szCs w:val="24"/>
          <w:lang w:eastAsia="ja-JP"/>
        </w:rPr>
        <w:t>roposal 1</w:t>
      </w:r>
      <w:r w:rsidR="0021378F">
        <w:rPr>
          <w:rFonts w:eastAsiaTheme="minorEastAsia"/>
          <w:b/>
          <w:bCs/>
          <w:szCs w:val="24"/>
          <w:lang w:eastAsia="ja-JP"/>
        </w:rPr>
        <w:t>2</w:t>
      </w:r>
      <w:r w:rsidRPr="0021378F">
        <w:rPr>
          <w:rFonts w:eastAsiaTheme="minorEastAsia"/>
          <w:b/>
          <w:bCs/>
          <w:szCs w:val="24"/>
          <w:lang w:eastAsia="ja-JP"/>
        </w:rPr>
        <w:t xml:space="preserve">: Introduce HST </w:t>
      </w:r>
      <w:r w:rsidR="000F1A16" w:rsidRPr="0021378F">
        <w:rPr>
          <w:rFonts w:eastAsiaTheme="minorEastAsia"/>
          <w:b/>
          <w:bCs/>
          <w:szCs w:val="24"/>
          <w:lang w:eastAsia="ja-JP"/>
        </w:rPr>
        <w:t>requirements as optional such that this use case is also enabled.</w:t>
      </w:r>
    </w:p>
    <w:p w14:paraId="23D99FB2" w14:textId="1B0F19E6" w:rsidR="000F1A16" w:rsidRPr="00B95A9C" w:rsidRDefault="000F1A16" w:rsidP="000F1A16">
      <w:pPr>
        <w:spacing w:after="120"/>
        <w:jc w:val="both"/>
        <w:rPr>
          <w:szCs w:val="24"/>
          <w:lang w:eastAsia="zh-CN"/>
        </w:rPr>
      </w:pPr>
      <w:r>
        <w:rPr>
          <w:rFonts w:eastAsiaTheme="minorEastAsia" w:hint="eastAsia"/>
          <w:szCs w:val="24"/>
          <w:lang w:eastAsia="ja-JP"/>
        </w:rPr>
        <w:t>I</w:t>
      </w:r>
      <w:r>
        <w:rPr>
          <w:rFonts w:eastAsiaTheme="minorEastAsia"/>
          <w:szCs w:val="24"/>
          <w:lang w:eastAsia="ja-JP"/>
        </w:rPr>
        <w:t xml:space="preserve">f this proposal cannot be agreed, optional support for HST should be kept FFS pending </w:t>
      </w:r>
      <w:r w:rsidR="00353147">
        <w:rPr>
          <w:rFonts w:eastAsiaTheme="minorEastAsia"/>
          <w:szCs w:val="24"/>
          <w:lang w:eastAsia="ja-JP"/>
        </w:rPr>
        <w:t>plenary discussion on this use case. This can be discussed in RAN#100 and it would not have any impact on the WI schedule.</w:t>
      </w:r>
    </w:p>
    <w:p w14:paraId="292E1252" w14:textId="77777777" w:rsidR="000E0602" w:rsidRDefault="00D832FB" w:rsidP="00920835">
      <w:pPr>
        <w:pStyle w:val="Heading1"/>
        <w:jc w:val="both"/>
      </w:pPr>
      <w:r>
        <w:t>C</w:t>
      </w:r>
      <w:r w:rsidR="0069757C">
        <w:t>onclusion</w:t>
      </w:r>
    </w:p>
    <w:p w14:paraId="6198D31B" w14:textId="3C05E611" w:rsidR="00AB2E02" w:rsidRDefault="00725C2F" w:rsidP="00920835">
      <w:pPr>
        <w:jc w:val="both"/>
        <w:rPr>
          <w:lang w:val="en-US" w:eastAsia="ja-JP"/>
        </w:rPr>
      </w:pPr>
      <w:r>
        <w:rPr>
          <w:rFonts w:hint="eastAsia"/>
          <w:lang w:val="en-US" w:eastAsia="ja-JP"/>
        </w:rPr>
        <w:t>I</w:t>
      </w:r>
      <w:r>
        <w:rPr>
          <w:lang w:val="en-US" w:eastAsia="ja-JP"/>
        </w:rPr>
        <w:t xml:space="preserve">n this paper we </w:t>
      </w:r>
      <w:r w:rsidR="00010B7B">
        <w:rPr>
          <w:lang w:val="en-US" w:eastAsia="ja-JP"/>
        </w:rPr>
        <w:t xml:space="preserve">presented </w:t>
      </w:r>
      <w:r w:rsidR="0021378F">
        <w:rPr>
          <w:lang w:val="en-US" w:eastAsia="ja-JP"/>
        </w:rPr>
        <w:t>a more detailed analysis of the RRM requirements to be defined for the mobile IAB. We propose the following:</w:t>
      </w:r>
    </w:p>
    <w:p w14:paraId="4D606328" w14:textId="77777777" w:rsidR="0021378F" w:rsidRPr="00875E6D" w:rsidRDefault="0021378F" w:rsidP="0021378F">
      <w:pPr>
        <w:spacing w:after="120"/>
        <w:jc w:val="both"/>
        <w:rPr>
          <w:rFonts w:eastAsiaTheme="minorEastAsia"/>
          <w:b/>
          <w:bCs/>
          <w:szCs w:val="24"/>
          <w:lang w:eastAsia="ja-JP"/>
        </w:rPr>
      </w:pPr>
      <w:r w:rsidRPr="00875E6D">
        <w:rPr>
          <w:rFonts w:eastAsiaTheme="minorEastAsia" w:hint="eastAsia"/>
          <w:b/>
          <w:bCs/>
          <w:szCs w:val="24"/>
          <w:lang w:eastAsia="ja-JP"/>
        </w:rPr>
        <w:t>P</w:t>
      </w:r>
      <w:r w:rsidRPr="00875E6D">
        <w:rPr>
          <w:rFonts w:eastAsiaTheme="minorEastAsia"/>
          <w:b/>
          <w:bCs/>
          <w:szCs w:val="24"/>
          <w:lang w:eastAsia="ja-JP"/>
        </w:rPr>
        <w:t xml:space="preserve">roposal </w:t>
      </w:r>
      <w:r w:rsidRPr="00875E6D">
        <w:rPr>
          <w:rFonts w:eastAsiaTheme="minorEastAsia" w:hint="eastAsia"/>
          <w:b/>
          <w:bCs/>
          <w:szCs w:val="24"/>
          <w:lang w:eastAsia="ja-JP"/>
        </w:rPr>
        <w:t>1</w:t>
      </w:r>
      <w:r w:rsidRPr="00875E6D">
        <w:rPr>
          <w:rFonts w:eastAsiaTheme="minorEastAsia"/>
          <w:b/>
          <w:bCs/>
          <w:szCs w:val="24"/>
          <w:lang w:eastAsia="ja-JP"/>
        </w:rPr>
        <w:t>: Reuse the UE intra-frequency HO requirements from TS 38.133 clauses 6.1.1.2 and 6.1.1.4.</w:t>
      </w:r>
    </w:p>
    <w:p w14:paraId="302F44E9" w14:textId="77777777" w:rsidR="0021378F" w:rsidRPr="00875E6D" w:rsidRDefault="0021378F" w:rsidP="0021378F">
      <w:pPr>
        <w:spacing w:after="120"/>
        <w:jc w:val="both"/>
        <w:rPr>
          <w:b/>
          <w:bCs/>
          <w:szCs w:val="24"/>
          <w:lang w:eastAsia="ja-JP"/>
        </w:rPr>
      </w:pPr>
      <w:r w:rsidRPr="00875E6D">
        <w:rPr>
          <w:rFonts w:hint="eastAsia"/>
          <w:b/>
          <w:bCs/>
          <w:szCs w:val="24"/>
          <w:lang w:eastAsia="ja-JP"/>
        </w:rPr>
        <w:t>P</w:t>
      </w:r>
      <w:r w:rsidRPr="00875E6D">
        <w:rPr>
          <w:b/>
          <w:bCs/>
          <w:szCs w:val="24"/>
          <w:lang w:eastAsia="ja-JP"/>
        </w:rPr>
        <w:t xml:space="preserve">roposal 2: Re-use the UE RRC re-establishment requirements in TS 38.133 clause 6.2.1 for the mobile IAB. </w:t>
      </w:r>
    </w:p>
    <w:p w14:paraId="20736694" w14:textId="77777777" w:rsidR="0021378F" w:rsidRDefault="0021378F" w:rsidP="0021378F">
      <w:pPr>
        <w:spacing w:after="120"/>
        <w:jc w:val="both"/>
        <w:rPr>
          <w:szCs w:val="24"/>
          <w:lang w:eastAsia="ja-JP"/>
        </w:rPr>
      </w:pPr>
      <w:r w:rsidRPr="00875E6D">
        <w:rPr>
          <w:rFonts w:hint="eastAsia"/>
          <w:b/>
          <w:bCs/>
          <w:szCs w:val="24"/>
          <w:lang w:eastAsia="ja-JP"/>
        </w:rPr>
        <w:t>P</w:t>
      </w:r>
      <w:r w:rsidRPr="00875E6D">
        <w:rPr>
          <w:b/>
          <w:bCs/>
          <w:szCs w:val="24"/>
          <w:lang w:eastAsia="ja-JP"/>
        </w:rPr>
        <w:t>roposal 3: Also introduce inter-frequency re-establishment requirement (re-use existing UE requirements) as fallback case for inter-frequency mobility.</w:t>
      </w:r>
    </w:p>
    <w:p w14:paraId="6D38D65D" w14:textId="77777777" w:rsidR="0021378F" w:rsidRPr="00736FC9" w:rsidRDefault="0021378F" w:rsidP="0021378F">
      <w:pPr>
        <w:jc w:val="both"/>
        <w:rPr>
          <w:b/>
          <w:bCs/>
          <w:lang w:val="en-US" w:eastAsia="ja-JP"/>
        </w:rPr>
      </w:pPr>
      <w:r w:rsidRPr="00736FC9">
        <w:rPr>
          <w:rFonts w:hint="eastAsia"/>
          <w:b/>
          <w:bCs/>
          <w:lang w:val="en-US" w:eastAsia="ja-JP"/>
        </w:rPr>
        <w:t>P</w:t>
      </w:r>
      <w:r w:rsidRPr="00736FC9">
        <w:rPr>
          <w:b/>
          <w:bCs/>
          <w:lang w:val="en-US" w:eastAsia="ja-JP"/>
        </w:rPr>
        <w:t>roposal 4: The UE requirements for the active TCI state switching delay from TS 38.133 Clause 8.10 should be reused.</w:t>
      </w:r>
    </w:p>
    <w:p w14:paraId="4A8DBD54" w14:textId="77777777" w:rsidR="0021378F" w:rsidRDefault="0021378F" w:rsidP="0021378F">
      <w:pPr>
        <w:jc w:val="both"/>
        <w:rPr>
          <w:b/>
          <w:lang w:eastAsia="ja-JP"/>
        </w:rPr>
      </w:pPr>
      <w:r w:rsidRPr="00956B36">
        <w:rPr>
          <w:b/>
          <w:lang w:eastAsia="ja-JP"/>
        </w:rPr>
        <w:t>Proposal 5:</w:t>
      </w:r>
      <w:r>
        <w:rPr>
          <w:b/>
          <w:lang w:eastAsia="ja-JP"/>
        </w:rPr>
        <w:t xml:space="preserve"> UE RLM requirements from TS 38.133 Clause 8.1 shall be adapted and reused as follows:</w:t>
      </w:r>
    </w:p>
    <w:p w14:paraId="3AA51010" w14:textId="77777777" w:rsidR="0021378F" w:rsidRDefault="0021378F" w:rsidP="0021378F">
      <w:pPr>
        <w:pStyle w:val="ListParagraph"/>
        <w:numPr>
          <w:ilvl w:val="0"/>
          <w:numId w:val="14"/>
        </w:numPr>
        <w:jc w:val="both"/>
        <w:rPr>
          <w:b/>
          <w:lang w:eastAsia="ja-JP"/>
        </w:rPr>
      </w:pPr>
      <w:r>
        <w:rPr>
          <w:b/>
          <w:lang w:eastAsia="ja-JP"/>
        </w:rPr>
        <w:t>Discard requirements related to DRX: requirements depending on DRX cycle length, requirement at transitions</w:t>
      </w:r>
    </w:p>
    <w:p w14:paraId="696619C4" w14:textId="77777777" w:rsidR="0021378F" w:rsidRDefault="0021378F" w:rsidP="0021378F">
      <w:pPr>
        <w:pStyle w:val="ListParagraph"/>
        <w:numPr>
          <w:ilvl w:val="0"/>
          <w:numId w:val="14"/>
        </w:numPr>
        <w:jc w:val="both"/>
        <w:rPr>
          <w:b/>
          <w:lang w:eastAsia="ja-JP"/>
        </w:rPr>
      </w:pPr>
      <w:r>
        <w:rPr>
          <w:b/>
          <w:lang w:eastAsia="ja-JP"/>
        </w:rPr>
        <w:t>Discard requirements related to measurement gaps and collisions between RLM-RS and measurement gaps</w:t>
      </w:r>
    </w:p>
    <w:p w14:paraId="0CF759E2" w14:textId="77777777" w:rsidR="0021378F" w:rsidRPr="008C5621" w:rsidRDefault="0021378F" w:rsidP="0021378F">
      <w:pPr>
        <w:pStyle w:val="ListParagraph"/>
        <w:numPr>
          <w:ilvl w:val="0"/>
          <w:numId w:val="14"/>
        </w:numPr>
        <w:jc w:val="both"/>
        <w:rPr>
          <w:b/>
          <w:lang w:eastAsia="ja-JP"/>
        </w:rPr>
      </w:pPr>
      <w:r>
        <w:rPr>
          <w:b/>
          <w:lang w:eastAsia="ja-JP"/>
        </w:rPr>
        <w:t>Discard scheduling availability requirements related to FR1-FR2 inter-band CA and NR-DC (clause 8.1.7.4)</w:t>
      </w:r>
    </w:p>
    <w:p w14:paraId="2C24D9DB" w14:textId="77777777" w:rsidR="0021378F" w:rsidRPr="00FE1C50" w:rsidRDefault="0021378F" w:rsidP="0021378F">
      <w:pPr>
        <w:spacing w:after="120"/>
        <w:jc w:val="both"/>
        <w:rPr>
          <w:rFonts w:eastAsiaTheme="minorEastAsia"/>
          <w:b/>
          <w:bCs/>
          <w:szCs w:val="24"/>
          <w:lang w:eastAsia="ja-JP"/>
        </w:rPr>
      </w:pPr>
      <w:r w:rsidRPr="00FE1C50">
        <w:rPr>
          <w:rFonts w:eastAsiaTheme="minorEastAsia" w:hint="eastAsia"/>
          <w:b/>
          <w:bCs/>
          <w:szCs w:val="24"/>
          <w:lang w:eastAsia="ja-JP"/>
        </w:rPr>
        <w:t>P</w:t>
      </w:r>
      <w:r w:rsidRPr="00FE1C50">
        <w:rPr>
          <w:rFonts w:eastAsiaTheme="minorEastAsia"/>
          <w:b/>
          <w:bCs/>
          <w:szCs w:val="24"/>
          <w:lang w:eastAsia="ja-JP"/>
        </w:rPr>
        <w:t>roposal 6: UE link recovery procedures requirements from TS 38.133 Clause 8.5 shall be reused and adapted as follows:</w:t>
      </w:r>
    </w:p>
    <w:p w14:paraId="1CC65EFB" w14:textId="77777777" w:rsidR="0021378F" w:rsidRPr="00FE1C50" w:rsidRDefault="0021378F" w:rsidP="0021378F">
      <w:pPr>
        <w:pStyle w:val="ListParagraph"/>
        <w:numPr>
          <w:ilvl w:val="0"/>
          <w:numId w:val="14"/>
        </w:numPr>
        <w:spacing w:after="120"/>
        <w:jc w:val="both"/>
        <w:rPr>
          <w:rFonts w:eastAsiaTheme="minorEastAsia"/>
          <w:b/>
          <w:bCs/>
          <w:szCs w:val="24"/>
          <w:lang w:eastAsia="ja-JP"/>
        </w:rPr>
      </w:pPr>
      <w:r w:rsidRPr="00FE1C50">
        <w:rPr>
          <w:b/>
          <w:bCs/>
          <w:lang w:eastAsia="ja-JP"/>
        </w:rPr>
        <w:t>Discard requirements related to DRX</w:t>
      </w:r>
    </w:p>
    <w:p w14:paraId="01369469" w14:textId="77777777" w:rsidR="0021378F" w:rsidRPr="00FE1C50" w:rsidRDefault="0021378F" w:rsidP="0021378F">
      <w:pPr>
        <w:pStyle w:val="ListParagraph"/>
        <w:numPr>
          <w:ilvl w:val="0"/>
          <w:numId w:val="14"/>
        </w:numPr>
        <w:spacing w:after="120"/>
        <w:jc w:val="both"/>
        <w:rPr>
          <w:rFonts w:eastAsiaTheme="minorEastAsia"/>
          <w:b/>
          <w:bCs/>
          <w:szCs w:val="24"/>
          <w:lang w:eastAsia="ja-JP"/>
        </w:rPr>
      </w:pPr>
      <w:r w:rsidRPr="00FE1C50">
        <w:rPr>
          <w:b/>
          <w:bCs/>
          <w:lang w:eastAsia="ja-JP"/>
        </w:rPr>
        <w:t>Discard requirements related to measurement gaps</w:t>
      </w:r>
    </w:p>
    <w:p w14:paraId="4EC308EB" w14:textId="25E82FBA" w:rsidR="0021378F" w:rsidRPr="0021378F" w:rsidRDefault="0021378F" w:rsidP="0021378F">
      <w:pPr>
        <w:jc w:val="both"/>
        <w:rPr>
          <w:lang w:val="en-US" w:eastAsia="ja-JP"/>
        </w:rPr>
      </w:pPr>
      <w:r w:rsidRPr="00FE1C50">
        <w:rPr>
          <w:rFonts w:eastAsiaTheme="minorEastAsia" w:hint="eastAsia"/>
          <w:b/>
          <w:bCs/>
          <w:szCs w:val="24"/>
          <w:lang w:eastAsia="ja-JP"/>
        </w:rPr>
        <w:t>D</w:t>
      </w:r>
      <w:r w:rsidRPr="00FE1C50">
        <w:rPr>
          <w:rFonts w:eastAsiaTheme="minorEastAsia"/>
          <w:b/>
          <w:bCs/>
          <w:szCs w:val="24"/>
          <w:lang w:eastAsia="ja-JP"/>
        </w:rPr>
        <w:t>iscard requirements related to deactivated PSCells/SCells, inter-band CA, FR2-2, etc</w:t>
      </w:r>
    </w:p>
    <w:p w14:paraId="11F144C4" w14:textId="77777777" w:rsidR="0021378F" w:rsidRDefault="0021378F" w:rsidP="0021378F">
      <w:pPr>
        <w:jc w:val="both"/>
        <w:rPr>
          <w:b/>
          <w:lang w:eastAsia="ja-JP"/>
        </w:rPr>
      </w:pPr>
      <w:r w:rsidRPr="00B33A43">
        <w:rPr>
          <w:rFonts w:hint="eastAsia"/>
          <w:b/>
          <w:lang w:eastAsia="ja-JP"/>
        </w:rPr>
        <w:t>P</w:t>
      </w:r>
      <w:r w:rsidRPr="00B33A43">
        <w:rPr>
          <w:b/>
          <w:lang w:eastAsia="ja-JP"/>
        </w:rPr>
        <w:t>roposal 7</w:t>
      </w:r>
      <w:r>
        <w:rPr>
          <w:b/>
          <w:lang w:eastAsia="ja-JP"/>
        </w:rPr>
        <w:t>: UE L1-RSR measurement requirements shall be based on the UE requirements defined in TS 38.133 Clause 9.5 and adapted as follows:</w:t>
      </w:r>
    </w:p>
    <w:p w14:paraId="6FE7C913" w14:textId="77777777" w:rsidR="0021378F" w:rsidRDefault="0021378F" w:rsidP="0021378F">
      <w:pPr>
        <w:pStyle w:val="ListParagraph"/>
        <w:numPr>
          <w:ilvl w:val="0"/>
          <w:numId w:val="14"/>
        </w:numPr>
        <w:jc w:val="both"/>
        <w:rPr>
          <w:b/>
          <w:lang w:eastAsia="ja-JP"/>
        </w:rPr>
      </w:pPr>
      <w:r>
        <w:rPr>
          <w:b/>
          <w:lang w:eastAsia="ja-JP"/>
        </w:rPr>
        <w:t xml:space="preserve">Keep the beam sweeping factors </w:t>
      </w:r>
    </w:p>
    <w:p w14:paraId="2A19CEBF" w14:textId="77777777" w:rsidR="0021378F" w:rsidRDefault="0021378F" w:rsidP="0021378F">
      <w:pPr>
        <w:pStyle w:val="ListParagraph"/>
        <w:numPr>
          <w:ilvl w:val="0"/>
          <w:numId w:val="14"/>
        </w:numPr>
        <w:jc w:val="both"/>
        <w:rPr>
          <w:b/>
          <w:lang w:eastAsia="ja-JP"/>
        </w:rPr>
      </w:pPr>
      <w:r>
        <w:rPr>
          <w:rFonts w:hint="eastAsia"/>
          <w:b/>
          <w:lang w:eastAsia="ja-JP"/>
        </w:rPr>
        <w:t>D</w:t>
      </w:r>
      <w:r>
        <w:rPr>
          <w:b/>
          <w:lang w:eastAsia="ja-JP"/>
        </w:rPr>
        <w:t>iscard requirements related to DRX</w:t>
      </w:r>
    </w:p>
    <w:p w14:paraId="3B1D3E25" w14:textId="77777777" w:rsidR="0021378F" w:rsidRPr="00417940" w:rsidRDefault="0021378F" w:rsidP="0021378F">
      <w:pPr>
        <w:pStyle w:val="ListParagraph"/>
        <w:numPr>
          <w:ilvl w:val="0"/>
          <w:numId w:val="14"/>
        </w:numPr>
        <w:jc w:val="both"/>
        <w:rPr>
          <w:b/>
          <w:lang w:eastAsia="ja-JP"/>
        </w:rPr>
      </w:pPr>
      <w:r>
        <w:rPr>
          <w:rFonts w:hint="eastAsia"/>
          <w:b/>
          <w:lang w:eastAsia="ja-JP"/>
        </w:rPr>
        <w:t>D</w:t>
      </w:r>
      <w:r>
        <w:rPr>
          <w:b/>
          <w:lang w:eastAsia="ja-JP"/>
        </w:rPr>
        <w:t>iscard requirements related to measurement gaps(gap sharing) and interf-frequency/inter-RAT measurements</w:t>
      </w:r>
    </w:p>
    <w:p w14:paraId="3B2562DD" w14:textId="77777777" w:rsidR="0021378F" w:rsidRPr="003C5067" w:rsidRDefault="0021378F" w:rsidP="0021378F">
      <w:pPr>
        <w:spacing w:after="120"/>
        <w:jc w:val="both"/>
        <w:rPr>
          <w:b/>
          <w:bCs/>
          <w:szCs w:val="24"/>
          <w:lang w:eastAsia="zh-CN"/>
        </w:rPr>
      </w:pPr>
      <w:r w:rsidRPr="003C5067">
        <w:rPr>
          <w:b/>
          <w:bCs/>
          <w:szCs w:val="24"/>
          <w:lang w:eastAsia="zh-CN"/>
        </w:rPr>
        <w:t>Proposal 8: UE intra-frequency measurement requirements defined in TS 38.133 Clause 9.2 should be reused the L3 measurement requirements with the following amendments:</w:t>
      </w:r>
    </w:p>
    <w:p w14:paraId="244E98DF" w14:textId="77777777" w:rsidR="0021378F" w:rsidRPr="003C5067" w:rsidRDefault="0021378F" w:rsidP="0021378F">
      <w:pPr>
        <w:pStyle w:val="ListParagraph"/>
        <w:numPr>
          <w:ilvl w:val="0"/>
          <w:numId w:val="14"/>
        </w:numPr>
        <w:spacing w:after="120"/>
        <w:jc w:val="both"/>
        <w:rPr>
          <w:b/>
          <w:bCs/>
          <w:szCs w:val="24"/>
          <w:lang w:eastAsia="zh-CN"/>
        </w:rPr>
      </w:pPr>
      <w:r w:rsidRPr="003C5067">
        <w:rPr>
          <w:b/>
          <w:bCs/>
          <w:szCs w:val="24"/>
          <w:lang w:eastAsia="zh-CN"/>
        </w:rPr>
        <w:t>Discard the DRX requirements</w:t>
      </w:r>
    </w:p>
    <w:p w14:paraId="764B5BA8" w14:textId="77777777" w:rsidR="0021378F" w:rsidRDefault="0021378F" w:rsidP="0021378F">
      <w:pPr>
        <w:pStyle w:val="ListParagraph"/>
        <w:numPr>
          <w:ilvl w:val="0"/>
          <w:numId w:val="14"/>
        </w:numPr>
        <w:spacing w:after="120"/>
        <w:jc w:val="both"/>
        <w:rPr>
          <w:szCs w:val="24"/>
          <w:lang w:eastAsia="zh-CN"/>
        </w:rPr>
      </w:pPr>
      <w:r w:rsidRPr="003C5067">
        <w:rPr>
          <w:b/>
          <w:bCs/>
          <w:szCs w:val="24"/>
          <w:lang w:eastAsia="zh-CN"/>
        </w:rPr>
        <w:t>Discard the requirements for SFTD and measurements with gaps.</w:t>
      </w:r>
      <w:r w:rsidRPr="00431647">
        <w:rPr>
          <w:szCs w:val="24"/>
          <w:lang w:eastAsia="zh-CN"/>
        </w:rPr>
        <w:t xml:space="preserve"> </w:t>
      </w:r>
    </w:p>
    <w:p w14:paraId="60379432" w14:textId="3E1E9D81" w:rsidR="00DF66F0" w:rsidRPr="00DF66F0" w:rsidRDefault="00DF66F0" w:rsidP="00DF66F0">
      <w:pPr>
        <w:spacing w:after="120"/>
        <w:jc w:val="both"/>
        <w:rPr>
          <w:rFonts w:eastAsiaTheme="minorEastAsia"/>
          <w:szCs w:val="24"/>
          <w:lang w:eastAsia="ja-JP"/>
        </w:rPr>
      </w:pPr>
      <w:r>
        <w:rPr>
          <w:rFonts w:eastAsiaTheme="minorEastAsia" w:hint="eastAsia"/>
          <w:szCs w:val="24"/>
          <w:lang w:eastAsia="ja-JP"/>
        </w:rPr>
        <w:lastRenderedPageBreak/>
        <w:t>F</w:t>
      </w:r>
      <w:r>
        <w:rPr>
          <w:rFonts w:eastAsiaTheme="minorEastAsia"/>
          <w:szCs w:val="24"/>
          <w:lang w:eastAsia="ja-JP"/>
        </w:rPr>
        <w:t xml:space="preserve">or all the requirements </w:t>
      </w:r>
      <w:r w:rsidR="00373046">
        <w:rPr>
          <w:rFonts w:eastAsiaTheme="minorEastAsia"/>
          <w:szCs w:val="24"/>
          <w:lang w:eastAsia="ja-JP"/>
        </w:rPr>
        <w:t xml:space="preserve">in which the requirements with gaps are discarded, a simple sentence stating that delays will longer if measurement gaps are configured </w:t>
      </w:r>
      <w:r w:rsidR="009A7D71">
        <w:rPr>
          <w:rFonts w:eastAsiaTheme="minorEastAsia"/>
          <w:szCs w:val="24"/>
          <w:lang w:eastAsia="ja-JP"/>
        </w:rPr>
        <w:t>can be included in the specs for consistency.</w:t>
      </w:r>
    </w:p>
    <w:p w14:paraId="6638074E" w14:textId="77777777" w:rsidR="0021378F" w:rsidRPr="00852C46" w:rsidRDefault="0021378F" w:rsidP="0021378F">
      <w:pPr>
        <w:spacing w:after="120"/>
        <w:jc w:val="both"/>
        <w:rPr>
          <w:rFonts w:eastAsiaTheme="minorEastAsia"/>
          <w:b/>
          <w:bCs/>
          <w:szCs w:val="24"/>
          <w:lang w:eastAsia="ja-JP"/>
        </w:rPr>
      </w:pPr>
      <w:r w:rsidRPr="00852C46">
        <w:rPr>
          <w:rFonts w:eastAsiaTheme="minorEastAsia" w:hint="eastAsia"/>
          <w:b/>
          <w:bCs/>
          <w:szCs w:val="24"/>
          <w:lang w:eastAsia="ja-JP"/>
        </w:rPr>
        <w:t>P</w:t>
      </w:r>
      <w:r w:rsidRPr="00852C46">
        <w:rPr>
          <w:rFonts w:eastAsiaTheme="minorEastAsia"/>
          <w:b/>
          <w:bCs/>
          <w:szCs w:val="24"/>
          <w:lang w:eastAsia="ja-JP"/>
        </w:rPr>
        <w:t>roposal 9: UE requirements for 4 step rand access procedure defined in TS 38.133 Clause 6.2.2.2 should be reused for the mobile IAB.</w:t>
      </w:r>
    </w:p>
    <w:p w14:paraId="796E3A82" w14:textId="77777777" w:rsidR="0021378F" w:rsidRPr="00BC4D2D" w:rsidRDefault="0021378F" w:rsidP="0021378F">
      <w:pPr>
        <w:spacing w:after="120"/>
        <w:jc w:val="both"/>
        <w:rPr>
          <w:rFonts w:eastAsiaTheme="minorEastAsia"/>
          <w:b/>
          <w:bCs/>
          <w:szCs w:val="24"/>
          <w:lang w:eastAsia="ja-JP"/>
        </w:rPr>
      </w:pPr>
      <w:r w:rsidRPr="00BC4D2D">
        <w:rPr>
          <w:rFonts w:eastAsiaTheme="minorEastAsia" w:hint="eastAsia"/>
          <w:b/>
          <w:bCs/>
          <w:szCs w:val="24"/>
          <w:lang w:eastAsia="ja-JP"/>
        </w:rPr>
        <w:t>P</w:t>
      </w:r>
      <w:r w:rsidRPr="00BC4D2D">
        <w:rPr>
          <w:rFonts w:eastAsiaTheme="minorEastAsia"/>
          <w:b/>
          <w:bCs/>
          <w:szCs w:val="24"/>
          <w:lang w:eastAsia="ja-JP"/>
        </w:rPr>
        <w:t>roposal 10: Do not introduce requirements for the RRC release with redirection.</w:t>
      </w:r>
    </w:p>
    <w:p w14:paraId="456453E6" w14:textId="77777777" w:rsidR="0021378F" w:rsidRPr="0021378F" w:rsidRDefault="0021378F" w:rsidP="0021378F">
      <w:pPr>
        <w:spacing w:after="120"/>
        <w:jc w:val="both"/>
        <w:rPr>
          <w:rFonts w:eastAsiaTheme="minorEastAsia"/>
          <w:b/>
          <w:bCs/>
          <w:szCs w:val="24"/>
          <w:lang w:eastAsia="ja-JP"/>
        </w:rPr>
      </w:pPr>
      <w:r w:rsidRPr="0021378F">
        <w:rPr>
          <w:rFonts w:eastAsiaTheme="minorEastAsia"/>
          <w:b/>
          <w:bCs/>
          <w:szCs w:val="24"/>
          <w:lang w:eastAsia="ja-JP"/>
        </w:rPr>
        <w:t>Proposal 11: Introduce  requirements for the direct SCell activation at SCell addition and direct SCell activation at handover based on the UE requirements defined in TS 38.133 Clause 8.3.4 and 8.3.5.</w:t>
      </w:r>
    </w:p>
    <w:p w14:paraId="7C1963F4" w14:textId="77777777" w:rsidR="0021378F" w:rsidRPr="0021378F" w:rsidRDefault="0021378F" w:rsidP="0021378F">
      <w:pPr>
        <w:spacing w:after="120"/>
        <w:jc w:val="both"/>
        <w:rPr>
          <w:rFonts w:eastAsiaTheme="minorEastAsia"/>
          <w:b/>
          <w:bCs/>
          <w:szCs w:val="24"/>
          <w:lang w:eastAsia="ja-JP"/>
        </w:rPr>
      </w:pPr>
      <w:r w:rsidRPr="0021378F">
        <w:rPr>
          <w:rFonts w:eastAsiaTheme="minorEastAsia" w:hint="eastAsia"/>
          <w:b/>
          <w:bCs/>
          <w:szCs w:val="24"/>
          <w:lang w:eastAsia="ja-JP"/>
        </w:rPr>
        <w:t>P</w:t>
      </w:r>
      <w:r w:rsidRPr="0021378F">
        <w:rPr>
          <w:rFonts w:eastAsiaTheme="minorEastAsia"/>
          <w:b/>
          <w:bCs/>
          <w:szCs w:val="24"/>
          <w:lang w:eastAsia="ja-JP"/>
        </w:rPr>
        <w:t>roposal 1</w:t>
      </w:r>
      <w:r>
        <w:rPr>
          <w:rFonts w:eastAsiaTheme="minorEastAsia"/>
          <w:b/>
          <w:bCs/>
          <w:szCs w:val="24"/>
          <w:lang w:eastAsia="ja-JP"/>
        </w:rPr>
        <w:t>2</w:t>
      </w:r>
      <w:r w:rsidRPr="0021378F">
        <w:rPr>
          <w:rFonts w:eastAsiaTheme="minorEastAsia"/>
          <w:b/>
          <w:bCs/>
          <w:szCs w:val="24"/>
          <w:lang w:eastAsia="ja-JP"/>
        </w:rPr>
        <w:t>: Introduce HST requirements as optional such that this use case is also enabled.</w:t>
      </w:r>
    </w:p>
    <w:p w14:paraId="53553173" w14:textId="48486426" w:rsidR="0021378F" w:rsidRPr="00C010B4" w:rsidRDefault="009A7D71" w:rsidP="005C4228">
      <w:pPr>
        <w:spacing w:after="120"/>
        <w:jc w:val="both"/>
        <w:rPr>
          <w:b/>
          <w:bCs/>
          <w:lang w:val="en-US" w:eastAsia="ja-JP"/>
        </w:rPr>
      </w:pPr>
      <w:r>
        <w:rPr>
          <w:rFonts w:eastAsiaTheme="minorEastAsia" w:hint="eastAsia"/>
          <w:szCs w:val="24"/>
          <w:lang w:eastAsia="ja-JP"/>
        </w:rPr>
        <w:t>I</w:t>
      </w:r>
      <w:r>
        <w:rPr>
          <w:rFonts w:eastAsiaTheme="minorEastAsia"/>
          <w:szCs w:val="24"/>
          <w:lang w:eastAsia="ja-JP"/>
        </w:rPr>
        <w:t>f this proposal cannot be agreed, optional support for HST should be kept FFS pending plenary discussion on this use case. This can be discussed in RAN#100 and it would not have any impact on the WI schedule.</w:t>
      </w:r>
    </w:p>
    <w:p w14:paraId="3EE796D7" w14:textId="77777777" w:rsidR="003628B5" w:rsidRPr="003628B5" w:rsidRDefault="00E506F9" w:rsidP="00920835">
      <w:pPr>
        <w:pStyle w:val="Heading1"/>
        <w:jc w:val="both"/>
        <w:rPr>
          <w:lang w:val="en-US" w:eastAsia="ja-JP"/>
        </w:rPr>
      </w:pPr>
      <w:r>
        <w:rPr>
          <w:lang w:val="en-US" w:eastAsia="ja-JP"/>
        </w:rPr>
        <w:t>R</w:t>
      </w:r>
      <w:r w:rsidR="003628B5">
        <w:rPr>
          <w:lang w:val="en-US" w:eastAsia="ja-JP"/>
        </w:rPr>
        <w:t>eferences</w:t>
      </w:r>
    </w:p>
    <w:p w14:paraId="2356958E" w14:textId="6E0968FD" w:rsidR="001E22AC" w:rsidRDefault="001E22AC" w:rsidP="00666CA5">
      <w:pPr>
        <w:numPr>
          <w:ilvl w:val="0"/>
          <w:numId w:val="12"/>
        </w:numPr>
        <w:jc w:val="both"/>
        <w:rPr>
          <w:lang w:eastAsia="ja-JP"/>
        </w:rPr>
      </w:pPr>
      <w:r w:rsidRPr="001E22AC">
        <w:rPr>
          <w:lang w:eastAsia="ja-JP"/>
        </w:rPr>
        <w:t>R</w:t>
      </w:r>
      <w:r w:rsidR="00952E14">
        <w:rPr>
          <w:lang w:eastAsia="ja-JP"/>
        </w:rPr>
        <w:t>P</w:t>
      </w:r>
      <w:r w:rsidRPr="001E22AC">
        <w:rPr>
          <w:lang w:eastAsia="ja-JP"/>
        </w:rPr>
        <w:t>-22</w:t>
      </w:r>
      <w:r w:rsidR="00952E14">
        <w:rPr>
          <w:lang w:eastAsia="ja-JP"/>
        </w:rPr>
        <w:t>3177</w:t>
      </w:r>
      <w:r w:rsidR="0098614B">
        <w:rPr>
          <w:lang w:eastAsia="ja-JP"/>
        </w:rPr>
        <w:t>, “</w:t>
      </w:r>
      <w:r w:rsidR="00927032" w:rsidRPr="00054D20">
        <w:rPr>
          <w:lang w:val="en-US" w:eastAsia="zh-CN"/>
        </w:rPr>
        <w:t>Revised WID on Mobile IAB</w:t>
      </w:r>
      <w:r w:rsidR="002079B6">
        <w:rPr>
          <w:lang w:eastAsia="ja-JP"/>
        </w:rPr>
        <w:t xml:space="preserve">”, </w:t>
      </w:r>
      <w:r w:rsidR="00927032">
        <w:rPr>
          <w:lang w:eastAsia="ja-JP"/>
        </w:rPr>
        <w:t>Qualcomm Incorporated</w:t>
      </w:r>
    </w:p>
    <w:p w14:paraId="11830B89" w14:textId="15DDEB87" w:rsidR="00C63736" w:rsidRDefault="00553EFB" w:rsidP="00666CA5">
      <w:pPr>
        <w:numPr>
          <w:ilvl w:val="0"/>
          <w:numId w:val="12"/>
        </w:numPr>
        <w:jc w:val="both"/>
        <w:rPr>
          <w:lang w:eastAsia="ja-JP"/>
        </w:rPr>
      </w:pPr>
      <w:r>
        <w:rPr>
          <w:lang w:eastAsia="ja-JP"/>
        </w:rPr>
        <w:t>RP-230</w:t>
      </w:r>
      <w:r w:rsidR="00AF59C8">
        <w:rPr>
          <w:lang w:eastAsia="ja-JP"/>
        </w:rPr>
        <w:t>6368, “</w:t>
      </w:r>
      <w:r w:rsidR="000D0241" w:rsidRPr="000D0241">
        <w:rPr>
          <w:lang w:eastAsia="ja-JP"/>
        </w:rPr>
        <w:t>WF on Mobile IAB RRM requirements</w:t>
      </w:r>
      <w:r w:rsidR="000D0241">
        <w:rPr>
          <w:lang w:eastAsia="ja-JP"/>
        </w:rPr>
        <w:t>”, Qualcomm Incorporated</w:t>
      </w:r>
    </w:p>
    <w:sectPr w:rsidR="00C63736"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B59A80" w14:textId="77777777" w:rsidR="005426E7" w:rsidRDefault="005426E7">
      <w:r>
        <w:separator/>
      </w:r>
    </w:p>
  </w:endnote>
  <w:endnote w:type="continuationSeparator" w:id="0">
    <w:p w14:paraId="4C2C9032" w14:textId="77777777" w:rsidR="005426E7" w:rsidRDefault="005426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l‚r –¾’©"/>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ËÎÌå"/>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B18AA"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DCE0CCD" w14:textId="77777777" w:rsidR="00F305E7" w:rsidRDefault="00F305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93B41"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42300D6" w14:textId="77777777" w:rsidR="00F305E7" w:rsidRDefault="00F305E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575243" w14:textId="77777777" w:rsidR="005426E7" w:rsidRDefault="005426E7">
      <w:r>
        <w:separator/>
      </w:r>
    </w:p>
  </w:footnote>
  <w:footnote w:type="continuationSeparator" w:id="0">
    <w:p w14:paraId="4B766483" w14:textId="77777777" w:rsidR="005426E7" w:rsidRDefault="005426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24B0B0C"/>
    <w:multiLevelType w:val="hybridMultilevel"/>
    <w:tmpl w:val="2790062E"/>
    <w:lvl w:ilvl="0" w:tplc="591E4F5E">
      <w:numFmt w:val="bullet"/>
      <w:lvlText w:val="-"/>
      <w:lvlJc w:val="left"/>
      <w:pPr>
        <w:ind w:left="645" w:hanging="360"/>
      </w:pPr>
      <w:rPr>
        <w:rFonts w:ascii="Times New Roman" w:eastAsia="ＭＳ 明朝" w:hAnsi="Times New Roman" w:cs="Times New Roman" w:hint="default"/>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4F59F0"/>
    <w:multiLevelType w:val="multilevel"/>
    <w:tmpl w:val="115A13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144"/>
        </w:tabs>
        <w:ind w:left="1144"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A0E4976"/>
    <w:multiLevelType w:val="hybridMultilevel"/>
    <w:tmpl w:val="D71010C4"/>
    <w:lvl w:ilvl="0" w:tplc="DB0849B4">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06694675">
    <w:abstractNumId w:val="5"/>
  </w:num>
  <w:num w:numId="2" w16cid:durableId="99030496">
    <w:abstractNumId w:val="10"/>
  </w:num>
  <w:num w:numId="3" w16cid:durableId="1981568217">
    <w:abstractNumId w:val="12"/>
  </w:num>
  <w:num w:numId="4" w16cid:durableId="1887132948">
    <w:abstractNumId w:val="7"/>
  </w:num>
  <w:num w:numId="5" w16cid:durableId="489293808">
    <w:abstractNumId w:val="3"/>
  </w:num>
  <w:num w:numId="6" w16cid:durableId="1907062060">
    <w:abstractNumId w:val="0"/>
  </w:num>
  <w:num w:numId="7" w16cid:durableId="1985354816">
    <w:abstractNumId w:val="9"/>
  </w:num>
  <w:num w:numId="8" w16cid:durableId="304118720">
    <w:abstractNumId w:val="4"/>
  </w:num>
  <w:num w:numId="9" w16cid:durableId="1909874184">
    <w:abstractNumId w:val="6"/>
  </w:num>
  <w:num w:numId="10" w16cid:durableId="613251759">
    <w:abstractNumId w:val="13"/>
  </w:num>
  <w:num w:numId="11" w16cid:durableId="1281187482">
    <w:abstractNumId w:val="2"/>
  </w:num>
  <w:num w:numId="12" w16cid:durableId="273560800">
    <w:abstractNumId w:val="11"/>
  </w:num>
  <w:num w:numId="13" w16cid:durableId="1941257238">
    <w:abstractNumId w:val="8"/>
  </w:num>
  <w:num w:numId="14" w16cid:durableId="825122279">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1FD3"/>
    <w:rsid w:val="00002376"/>
    <w:rsid w:val="00002F74"/>
    <w:rsid w:val="0000301D"/>
    <w:rsid w:val="00003883"/>
    <w:rsid w:val="00005374"/>
    <w:rsid w:val="000055D7"/>
    <w:rsid w:val="00006110"/>
    <w:rsid w:val="00006198"/>
    <w:rsid w:val="0000667F"/>
    <w:rsid w:val="00006C4A"/>
    <w:rsid w:val="00007568"/>
    <w:rsid w:val="00010570"/>
    <w:rsid w:val="00010B7B"/>
    <w:rsid w:val="00010EE0"/>
    <w:rsid w:val="00011198"/>
    <w:rsid w:val="0001181D"/>
    <w:rsid w:val="00011ADB"/>
    <w:rsid w:val="00011C44"/>
    <w:rsid w:val="0001290A"/>
    <w:rsid w:val="000138F3"/>
    <w:rsid w:val="00013A12"/>
    <w:rsid w:val="0001465F"/>
    <w:rsid w:val="00014FFF"/>
    <w:rsid w:val="000167F5"/>
    <w:rsid w:val="00016A3A"/>
    <w:rsid w:val="0001723C"/>
    <w:rsid w:val="00017A58"/>
    <w:rsid w:val="00020464"/>
    <w:rsid w:val="00020690"/>
    <w:rsid w:val="00020F30"/>
    <w:rsid w:val="00021131"/>
    <w:rsid w:val="0002180A"/>
    <w:rsid w:val="00024305"/>
    <w:rsid w:val="000246F5"/>
    <w:rsid w:val="000248EA"/>
    <w:rsid w:val="00026099"/>
    <w:rsid w:val="00026BDF"/>
    <w:rsid w:val="00026DB4"/>
    <w:rsid w:val="00027229"/>
    <w:rsid w:val="0002744C"/>
    <w:rsid w:val="00030390"/>
    <w:rsid w:val="00030480"/>
    <w:rsid w:val="0003108E"/>
    <w:rsid w:val="000311C6"/>
    <w:rsid w:val="000317A7"/>
    <w:rsid w:val="0003352E"/>
    <w:rsid w:val="0003375A"/>
    <w:rsid w:val="00033B9A"/>
    <w:rsid w:val="00034928"/>
    <w:rsid w:val="00034F8D"/>
    <w:rsid w:val="0003515F"/>
    <w:rsid w:val="0003558C"/>
    <w:rsid w:val="00035828"/>
    <w:rsid w:val="0003668C"/>
    <w:rsid w:val="00036E75"/>
    <w:rsid w:val="00036F82"/>
    <w:rsid w:val="000378CF"/>
    <w:rsid w:val="0003794F"/>
    <w:rsid w:val="00041E4C"/>
    <w:rsid w:val="000420FB"/>
    <w:rsid w:val="00043184"/>
    <w:rsid w:val="00043D07"/>
    <w:rsid w:val="00043EA6"/>
    <w:rsid w:val="0004511D"/>
    <w:rsid w:val="00045318"/>
    <w:rsid w:val="00047600"/>
    <w:rsid w:val="0004795F"/>
    <w:rsid w:val="00047A40"/>
    <w:rsid w:val="00051030"/>
    <w:rsid w:val="000549BA"/>
    <w:rsid w:val="000550EF"/>
    <w:rsid w:val="00055B21"/>
    <w:rsid w:val="00057B62"/>
    <w:rsid w:val="000601B0"/>
    <w:rsid w:val="00062E5A"/>
    <w:rsid w:val="00062F52"/>
    <w:rsid w:val="0006359D"/>
    <w:rsid w:val="0006427B"/>
    <w:rsid w:val="000642D1"/>
    <w:rsid w:val="0006440F"/>
    <w:rsid w:val="00066E3A"/>
    <w:rsid w:val="00066EEB"/>
    <w:rsid w:val="0007016E"/>
    <w:rsid w:val="00070561"/>
    <w:rsid w:val="00070ECC"/>
    <w:rsid w:val="00071437"/>
    <w:rsid w:val="00072B3F"/>
    <w:rsid w:val="000737DA"/>
    <w:rsid w:val="00074F79"/>
    <w:rsid w:val="0007555F"/>
    <w:rsid w:val="00075898"/>
    <w:rsid w:val="00077FE0"/>
    <w:rsid w:val="00080057"/>
    <w:rsid w:val="000827DB"/>
    <w:rsid w:val="00082CE8"/>
    <w:rsid w:val="000841A8"/>
    <w:rsid w:val="00084301"/>
    <w:rsid w:val="000844AC"/>
    <w:rsid w:val="0008452A"/>
    <w:rsid w:val="00084BE4"/>
    <w:rsid w:val="00084DCF"/>
    <w:rsid w:val="0008544F"/>
    <w:rsid w:val="00085C24"/>
    <w:rsid w:val="00085D1E"/>
    <w:rsid w:val="00085DB7"/>
    <w:rsid w:val="00085FB8"/>
    <w:rsid w:val="0008682B"/>
    <w:rsid w:val="000874E6"/>
    <w:rsid w:val="00090BB8"/>
    <w:rsid w:val="0009185E"/>
    <w:rsid w:val="00092919"/>
    <w:rsid w:val="00092DCA"/>
    <w:rsid w:val="00092E07"/>
    <w:rsid w:val="000937D2"/>
    <w:rsid w:val="000940C0"/>
    <w:rsid w:val="00094FFF"/>
    <w:rsid w:val="00096860"/>
    <w:rsid w:val="00096F81"/>
    <w:rsid w:val="0009717B"/>
    <w:rsid w:val="000972E8"/>
    <w:rsid w:val="00097A15"/>
    <w:rsid w:val="000A0BC7"/>
    <w:rsid w:val="000A1326"/>
    <w:rsid w:val="000A1649"/>
    <w:rsid w:val="000A1A26"/>
    <w:rsid w:val="000A2153"/>
    <w:rsid w:val="000A2A53"/>
    <w:rsid w:val="000A2D07"/>
    <w:rsid w:val="000A31E0"/>
    <w:rsid w:val="000A3379"/>
    <w:rsid w:val="000A3A69"/>
    <w:rsid w:val="000A561C"/>
    <w:rsid w:val="000A6602"/>
    <w:rsid w:val="000A786A"/>
    <w:rsid w:val="000A79E3"/>
    <w:rsid w:val="000B0B23"/>
    <w:rsid w:val="000B24B0"/>
    <w:rsid w:val="000B2A42"/>
    <w:rsid w:val="000B2EFB"/>
    <w:rsid w:val="000B327D"/>
    <w:rsid w:val="000B434A"/>
    <w:rsid w:val="000B4D70"/>
    <w:rsid w:val="000B5030"/>
    <w:rsid w:val="000B5EE7"/>
    <w:rsid w:val="000B5FC6"/>
    <w:rsid w:val="000B66BB"/>
    <w:rsid w:val="000B6D46"/>
    <w:rsid w:val="000B6D65"/>
    <w:rsid w:val="000B7E76"/>
    <w:rsid w:val="000C084C"/>
    <w:rsid w:val="000C086D"/>
    <w:rsid w:val="000C0B1F"/>
    <w:rsid w:val="000C1EBE"/>
    <w:rsid w:val="000C20A6"/>
    <w:rsid w:val="000C2223"/>
    <w:rsid w:val="000C23DF"/>
    <w:rsid w:val="000C4A55"/>
    <w:rsid w:val="000C4A8B"/>
    <w:rsid w:val="000C5058"/>
    <w:rsid w:val="000C5396"/>
    <w:rsid w:val="000C5EA1"/>
    <w:rsid w:val="000C63B1"/>
    <w:rsid w:val="000C655C"/>
    <w:rsid w:val="000C6CBF"/>
    <w:rsid w:val="000C73B4"/>
    <w:rsid w:val="000C7E14"/>
    <w:rsid w:val="000D01BA"/>
    <w:rsid w:val="000D0241"/>
    <w:rsid w:val="000D19C5"/>
    <w:rsid w:val="000D1A28"/>
    <w:rsid w:val="000D1B83"/>
    <w:rsid w:val="000D2E2A"/>
    <w:rsid w:val="000D3487"/>
    <w:rsid w:val="000D3CB5"/>
    <w:rsid w:val="000D4E0C"/>
    <w:rsid w:val="000D69FE"/>
    <w:rsid w:val="000D7224"/>
    <w:rsid w:val="000D73DA"/>
    <w:rsid w:val="000D73DE"/>
    <w:rsid w:val="000D7652"/>
    <w:rsid w:val="000E0602"/>
    <w:rsid w:val="000E0E6E"/>
    <w:rsid w:val="000E1041"/>
    <w:rsid w:val="000E1572"/>
    <w:rsid w:val="000E2C23"/>
    <w:rsid w:val="000E3B40"/>
    <w:rsid w:val="000E3D46"/>
    <w:rsid w:val="000E4056"/>
    <w:rsid w:val="000E58CF"/>
    <w:rsid w:val="000E6208"/>
    <w:rsid w:val="000E65BB"/>
    <w:rsid w:val="000F0E0B"/>
    <w:rsid w:val="000F1A16"/>
    <w:rsid w:val="000F1DA5"/>
    <w:rsid w:val="000F269A"/>
    <w:rsid w:val="000F3B93"/>
    <w:rsid w:val="000F539E"/>
    <w:rsid w:val="000F5A74"/>
    <w:rsid w:val="000F5EAE"/>
    <w:rsid w:val="000F70AF"/>
    <w:rsid w:val="000F78E2"/>
    <w:rsid w:val="00102320"/>
    <w:rsid w:val="00102563"/>
    <w:rsid w:val="001033F4"/>
    <w:rsid w:val="00104258"/>
    <w:rsid w:val="00106E80"/>
    <w:rsid w:val="001072D7"/>
    <w:rsid w:val="001102E5"/>
    <w:rsid w:val="001116DA"/>
    <w:rsid w:val="00112756"/>
    <w:rsid w:val="00112A1A"/>
    <w:rsid w:val="00112B02"/>
    <w:rsid w:val="00112CF4"/>
    <w:rsid w:val="00112ED3"/>
    <w:rsid w:val="001135F5"/>
    <w:rsid w:val="00113626"/>
    <w:rsid w:val="00113700"/>
    <w:rsid w:val="00113E85"/>
    <w:rsid w:val="00115824"/>
    <w:rsid w:val="00116046"/>
    <w:rsid w:val="00116F74"/>
    <w:rsid w:val="001176B7"/>
    <w:rsid w:val="0012082D"/>
    <w:rsid w:val="001239DE"/>
    <w:rsid w:val="00123B8B"/>
    <w:rsid w:val="00124252"/>
    <w:rsid w:val="00124802"/>
    <w:rsid w:val="00124944"/>
    <w:rsid w:val="00124F00"/>
    <w:rsid w:val="00125168"/>
    <w:rsid w:val="00125C52"/>
    <w:rsid w:val="00125C5D"/>
    <w:rsid w:val="00125DA1"/>
    <w:rsid w:val="001266F1"/>
    <w:rsid w:val="00126DA5"/>
    <w:rsid w:val="001271F9"/>
    <w:rsid w:val="001274D2"/>
    <w:rsid w:val="00127E48"/>
    <w:rsid w:val="00131FD4"/>
    <w:rsid w:val="00132430"/>
    <w:rsid w:val="00135E13"/>
    <w:rsid w:val="00136BDF"/>
    <w:rsid w:val="00141E0C"/>
    <w:rsid w:val="00142612"/>
    <w:rsid w:val="001430CD"/>
    <w:rsid w:val="00144026"/>
    <w:rsid w:val="00144561"/>
    <w:rsid w:val="001445CF"/>
    <w:rsid w:val="0014774C"/>
    <w:rsid w:val="00147E68"/>
    <w:rsid w:val="0015067F"/>
    <w:rsid w:val="00150EB7"/>
    <w:rsid w:val="00150F51"/>
    <w:rsid w:val="001516D8"/>
    <w:rsid w:val="00151825"/>
    <w:rsid w:val="00151ABA"/>
    <w:rsid w:val="00151F3F"/>
    <w:rsid w:val="00152277"/>
    <w:rsid w:val="0015239C"/>
    <w:rsid w:val="0015356F"/>
    <w:rsid w:val="00153D72"/>
    <w:rsid w:val="00154025"/>
    <w:rsid w:val="001553C6"/>
    <w:rsid w:val="0015760F"/>
    <w:rsid w:val="0016046E"/>
    <w:rsid w:val="00160DCD"/>
    <w:rsid w:val="00160E6F"/>
    <w:rsid w:val="0016136A"/>
    <w:rsid w:val="00161FE8"/>
    <w:rsid w:val="00163472"/>
    <w:rsid w:val="0016354F"/>
    <w:rsid w:val="00163997"/>
    <w:rsid w:val="00163AAD"/>
    <w:rsid w:val="001679C5"/>
    <w:rsid w:val="00170570"/>
    <w:rsid w:val="00170B2E"/>
    <w:rsid w:val="00170C0A"/>
    <w:rsid w:val="00171003"/>
    <w:rsid w:val="00171183"/>
    <w:rsid w:val="00171F5C"/>
    <w:rsid w:val="00173BDF"/>
    <w:rsid w:val="001740A6"/>
    <w:rsid w:val="00174920"/>
    <w:rsid w:val="00175C29"/>
    <w:rsid w:val="00175EB8"/>
    <w:rsid w:val="00176652"/>
    <w:rsid w:val="00176945"/>
    <w:rsid w:val="001771D5"/>
    <w:rsid w:val="00177940"/>
    <w:rsid w:val="00177970"/>
    <w:rsid w:val="00177F69"/>
    <w:rsid w:val="00180E49"/>
    <w:rsid w:val="00181289"/>
    <w:rsid w:val="00182838"/>
    <w:rsid w:val="001842E4"/>
    <w:rsid w:val="001854FC"/>
    <w:rsid w:val="0018555B"/>
    <w:rsid w:val="00185893"/>
    <w:rsid w:val="00186488"/>
    <w:rsid w:val="001864C8"/>
    <w:rsid w:val="0018788E"/>
    <w:rsid w:val="00187E14"/>
    <w:rsid w:val="00187F1D"/>
    <w:rsid w:val="00190238"/>
    <w:rsid w:val="001905F3"/>
    <w:rsid w:val="00190CA2"/>
    <w:rsid w:val="00190E13"/>
    <w:rsid w:val="00190F12"/>
    <w:rsid w:val="00191D5D"/>
    <w:rsid w:val="00192293"/>
    <w:rsid w:val="001925A9"/>
    <w:rsid w:val="00192DD9"/>
    <w:rsid w:val="00193142"/>
    <w:rsid w:val="0019327E"/>
    <w:rsid w:val="00193747"/>
    <w:rsid w:val="00194DF4"/>
    <w:rsid w:val="00195150"/>
    <w:rsid w:val="001954F6"/>
    <w:rsid w:val="001A0437"/>
    <w:rsid w:val="001A17B9"/>
    <w:rsid w:val="001A1B9D"/>
    <w:rsid w:val="001A1D6F"/>
    <w:rsid w:val="001A216F"/>
    <w:rsid w:val="001A24F6"/>
    <w:rsid w:val="001A49F0"/>
    <w:rsid w:val="001A4C57"/>
    <w:rsid w:val="001A50B1"/>
    <w:rsid w:val="001A5720"/>
    <w:rsid w:val="001A6604"/>
    <w:rsid w:val="001A6F9B"/>
    <w:rsid w:val="001A720C"/>
    <w:rsid w:val="001A79A4"/>
    <w:rsid w:val="001B0041"/>
    <w:rsid w:val="001B0825"/>
    <w:rsid w:val="001B0F6F"/>
    <w:rsid w:val="001B127B"/>
    <w:rsid w:val="001B12B5"/>
    <w:rsid w:val="001B180F"/>
    <w:rsid w:val="001B1DBB"/>
    <w:rsid w:val="001B286B"/>
    <w:rsid w:val="001B3291"/>
    <w:rsid w:val="001B4DD5"/>
    <w:rsid w:val="001B5118"/>
    <w:rsid w:val="001B5DF4"/>
    <w:rsid w:val="001B6023"/>
    <w:rsid w:val="001B6982"/>
    <w:rsid w:val="001B6B77"/>
    <w:rsid w:val="001B6B8F"/>
    <w:rsid w:val="001B718C"/>
    <w:rsid w:val="001B7281"/>
    <w:rsid w:val="001C1238"/>
    <w:rsid w:val="001C22CF"/>
    <w:rsid w:val="001C263A"/>
    <w:rsid w:val="001C3588"/>
    <w:rsid w:val="001C3B47"/>
    <w:rsid w:val="001C3FC8"/>
    <w:rsid w:val="001C41EF"/>
    <w:rsid w:val="001C4345"/>
    <w:rsid w:val="001C4A7A"/>
    <w:rsid w:val="001C4AAD"/>
    <w:rsid w:val="001C5110"/>
    <w:rsid w:val="001C5DB8"/>
    <w:rsid w:val="001D002A"/>
    <w:rsid w:val="001D04B9"/>
    <w:rsid w:val="001D134E"/>
    <w:rsid w:val="001D13F1"/>
    <w:rsid w:val="001D1447"/>
    <w:rsid w:val="001D1841"/>
    <w:rsid w:val="001D2401"/>
    <w:rsid w:val="001D2EE6"/>
    <w:rsid w:val="001D2F81"/>
    <w:rsid w:val="001D309C"/>
    <w:rsid w:val="001D32C3"/>
    <w:rsid w:val="001D351D"/>
    <w:rsid w:val="001D3B19"/>
    <w:rsid w:val="001D3CC1"/>
    <w:rsid w:val="001D4299"/>
    <w:rsid w:val="001D43C3"/>
    <w:rsid w:val="001D472D"/>
    <w:rsid w:val="001D4831"/>
    <w:rsid w:val="001D4ABF"/>
    <w:rsid w:val="001D52E4"/>
    <w:rsid w:val="001D57D1"/>
    <w:rsid w:val="001D6ACD"/>
    <w:rsid w:val="001D6E97"/>
    <w:rsid w:val="001D7BA7"/>
    <w:rsid w:val="001E0E61"/>
    <w:rsid w:val="001E1023"/>
    <w:rsid w:val="001E1A48"/>
    <w:rsid w:val="001E1C0D"/>
    <w:rsid w:val="001E22AC"/>
    <w:rsid w:val="001E2C3E"/>
    <w:rsid w:val="001E31EE"/>
    <w:rsid w:val="001E487E"/>
    <w:rsid w:val="001E5303"/>
    <w:rsid w:val="001E57E7"/>
    <w:rsid w:val="001E584A"/>
    <w:rsid w:val="001E5AF6"/>
    <w:rsid w:val="001E658E"/>
    <w:rsid w:val="001E6CA2"/>
    <w:rsid w:val="001E75BB"/>
    <w:rsid w:val="001E786D"/>
    <w:rsid w:val="001E7B00"/>
    <w:rsid w:val="001E7C6A"/>
    <w:rsid w:val="001F099B"/>
    <w:rsid w:val="001F1AFB"/>
    <w:rsid w:val="001F1E8A"/>
    <w:rsid w:val="001F2C22"/>
    <w:rsid w:val="001F32CC"/>
    <w:rsid w:val="001F3385"/>
    <w:rsid w:val="001F3907"/>
    <w:rsid w:val="001F4191"/>
    <w:rsid w:val="001F5A57"/>
    <w:rsid w:val="001F71DC"/>
    <w:rsid w:val="001F7246"/>
    <w:rsid w:val="001F786D"/>
    <w:rsid w:val="001F7D3F"/>
    <w:rsid w:val="001F7D63"/>
    <w:rsid w:val="00200B1A"/>
    <w:rsid w:val="00200D15"/>
    <w:rsid w:val="00200DA9"/>
    <w:rsid w:val="00201310"/>
    <w:rsid w:val="00201480"/>
    <w:rsid w:val="002019FF"/>
    <w:rsid w:val="00201CA6"/>
    <w:rsid w:val="00203B8B"/>
    <w:rsid w:val="00205462"/>
    <w:rsid w:val="00205487"/>
    <w:rsid w:val="002060E3"/>
    <w:rsid w:val="002061EE"/>
    <w:rsid w:val="00206B59"/>
    <w:rsid w:val="00206D86"/>
    <w:rsid w:val="002076F3"/>
    <w:rsid w:val="002079B6"/>
    <w:rsid w:val="00207A4A"/>
    <w:rsid w:val="00210577"/>
    <w:rsid w:val="0021083C"/>
    <w:rsid w:val="0021093C"/>
    <w:rsid w:val="002119C5"/>
    <w:rsid w:val="002121D7"/>
    <w:rsid w:val="002127E6"/>
    <w:rsid w:val="00212EE2"/>
    <w:rsid w:val="0021378F"/>
    <w:rsid w:val="002142D2"/>
    <w:rsid w:val="002146D8"/>
    <w:rsid w:val="0021586F"/>
    <w:rsid w:val="00216158"/>
    <w:rsid w:val="002175F8"/>
    <w:rsid w:val="00217B5A"/>
    <w:rsid w:val="002208C1"/>
    <w:rsid w:val="002236E2"/>
    <w:rsid w:val="00224431"/>
    <w:rsid w:val="002247C0"/>
    <w:rsid w:val="00225C00"/>
    <w:rsid w:val="00230C94"/>
    <w:rsid w:val="00230EB7"/>
    <w:rsid w:val="00230EC6"/>
    <w:rsid w:val="002317C3"/>
    <w:rsid w:val="00232F98"/>
    <w:rsid w:val="00234C5F"/>
    <w:rsid w:val="002350A1"/>
    <w:rsid w:val="002353CE"/>
    <w:rsid w:val="002358BF"/>
    <w:rsid w:val="002362C1"/>
    <w:rsid w:val="00236663"/>
    <w:rsid w:val="002366DE"/>
    <w:rsid w:val="00236C6E"/>
    <w:rsid w:val="00237E42"/>
    <w:rsid w:val="00241F99"/>
    <w:rsid w:val="00242711"/>
    <w:rsid w:val="00244AD9"/>
    <w:rsid w:val="00245579"/>
    <w:rsid w:val="00245810"/>
    <w:rsid w:val="00245BCE"/>
    <w:rsid w:val="002461C3"/>
    <w:rsid w:val="00250072"/>
    <w:rsid w:val="002501EB"/>
    <w:rsid w:val="00251C26"/>
    <w:rsid w:val="00251CE6"/>
    <w:rsid w:val="00252C9A"/>
    <w:rsid w:val="0025307E"/>
    <w:rsid w:val="00253F9A"/>
    <w:rsid w:val="00254194"/>
    <w:rsid w:val="002541E7"/>
    <w:rsid w:val="00255927"/>
    <w:rsid w:val="002559A4"/>
    <w:rsid w:val="00255C09"/>
    <w:rsid w:val="002560F6"/>
    <w:rsid w:val="00256328"/>
    <w:rsid w:val="0025665A"/>
    <w:rsid w:val="00256BBE"/>
    <w:rsid w:val="00260006"/>
    <w:rsid w:val="002604B0"/>
    <w:rsid w:val="00261335"/>
    <w:rsid w:val="002623FE"/>
    <w:rsid w:val="002635B5"/>
    <w:rsid w:val="002635B6"/>
    <w:rsid w:val="002635C2"/>
    <w:rsid w:val="002636AD"/>
    <w:rsid w:val="002647D1"/>
    <w:rsid w:val="00264CC3"/>
    <w:rsid w:val="00265201"/>
    <w:rsid w:val="002657D8"/>
    <w:rsid w:val="002658E7"/>
    <w:rsid w:val="00265AFA"/>
    <w:rsid w:val="00266622"/>
    <w:rsid w:val="00267702"/>
    <w:rsid w:val="00270F79"/>
    <w:rsid w:val="002711D0"/>
    <w:rsid w:val="00271CD5"/>
    <w:rsid w:val="00272474"/>
    <w:rsid w:val="00272CAE"/>
    <w:rsid w:val="00272EA4"/>
    <w:rsid w:val="002730B7"/>
    <w:rsid w:val="002739D3"/>
    <w:rsid w:val="00273F5A"/>
    <w:rsid w:val="00274205"/>
    <w:rsid w:val="0027453E"/>
    <w:rsid w:val="00277774"/>
    <w:rsid w:val="002778DC"/>
    <w:rsid w:val="00277B68"/>
    <w:rsid w:val="00277FEB"/>
    <w:rsid w:val="00280813"/>
    <w:rsid w:val="00280E10"/>
    <w:rsid w:val="00281218"/>
    <w:rsid w:val="002834C9"/>
    <w:rsid w:val="00283AAC"/>
    <w:rsid w:val="00283DA9"/>
    <w:rsid w:val="0028415F"/>
    <w:rsid w:val="0028417E"/>
    <w:rsid w:val="00284391"/>
    <w:rsid w:val="00284E49"/>
    <w:rsid w:val="00284F23"/>
    <w:rsid w:val="00284F57"/>
    <w:rsid w:val="00286219"/>
    <w:rsid w:val="002862AD"/>
    <w:rsid w:val="002865FA"/>
    <w:rsid w:val="002869C0"/>
    <w:rsid w:val="00287186"/>
    <w:rsid w:val="002873E2"/>
    <w:rsid w:val="0029173D"/>
    <w:rsid w:val="00291F2B"/>
    <w:rsid w:val="002921C4"/>
    <w:rsid w:val="0029229A"/>
    <w:rsid w:val="00292B82"/>
    <w:rsid w:val="002932EC"/>
    <w:rsid w:val="00296B7E"/>
    <w:rsid w:val="00296FCC"/>
    <w:rsid w:val="002976AF"/>
    <w:rsid w:val="00297836"/>
    <w:rsid w:val="002A05C0"/>
    <w:rsid w:val="002A0807"/>
    <w:rsid w:val="002A129F"/>
    <w:rsid w:val="002A1AD8"/>
    <w:rsid w:val="002A27F3"/>
    <w:rsid w:val="002A36C4"/>
    <w:rsid w:val="002A3BFD"/>
    <w:rsid w:val="002A5F83"/>
    <w:rsid w:val="002A620B"/>
    <w:rsid w:val="002A6ED0"/>
    <w:rsid w:val="002A72FA"/>
    <w:rsid w:val="002B02CB"/>
    <w:rsid w:val="002B05C7"/>
    <w:rsid w:val="002B0AEC"/>
    <w:rsid w:val="002B11FF"/>
    <w:rsid w:val="002B1C8F"/>
    <w:rsid w:val="002B2C2C"/>
    <w:rsid w:val="002B2C81"/>
    <w:rsid w:val="002B2FEC"/>
    <w:rsid w:val="002B340F"/>
    <w:rsid w:val="002B40E0"/>
    <w:rsid w:val="002B4EA7"/>
    <w:rsid w:val="002B5B0E"/>
    <w:rsid w:val="002B6067"/>
    <w:rsid w:val="002B6395"/>
    <w:rsid w:val="002B75CC"/>
    <w:rsid w:val="002B775F"/>
    <w:rsid w:val="002B7BEC"/>
    <w:rsid w:val="002C034B"/>
    <w:rsid w:val="002C1475"/>
    <w:rsid w:val="002C1C95"/>
    <w:rsid w:val="002C1DCC"/>
    <w:rsid w:val="002C27CE"/>
    <w:rsid w:val="002C4E58"/>
    <w:rsid w:val="002C4F68"/>
    <w:rsid w:val="002C51DE"/>
    <w:rsid w:val="002C5B9E"/>
    <w:rsid w:val="002C7C8C"/>
    <w:rsid w:val="002D087B"/>
    <w:rsid w:val="002D0BCE"/>
    <w:rsid w:val="002D0C99"/>
    <w:rsid w:val="002D2365"/>
    <w:rsid w:val="002D2758"/>
    <w:rsid w:val="002D282D"/>
    <w:rsid w:val="002D447B"/>
    <w:rsid w:val="002D4832"/>
    <w:rsid w:val="002D4919"/>
    <w:rsid w:val="002D4A80"/>
    <w:rsid w:val="002D502F"/>
    <w:rsid w:val="002D5DDD"/>
    <w:rsid w:val="002D7BAB"/>
    <w:rsid w:val="002E0BE0"/>
    <w:rsid w:val="002E173F"/>
    <w:rsid w:val="002E1E34"/>
    <w:rsid w:val="002E272E"/>
    <w:rsid w:val="002E2BE9"/>
    <w:rsid w:val="002E2C05"/>
    <w:rsid w:val="002E3BD7"/>
    <w:rsid w:val="002E407E"/>
    <w:rsid w:val="002E42E1"/>
    <w:rsid w:val="002E4D02"/>
    <w:rsid w:val="002E55A2"/>
    <w:rsid w:val="002E7660"/>
    <w:rsid w:val="002E7944"/>
    <w:rsid w:val="002E7B67"/>
    <w:rsid w:val="002F1791"/>
    <w:rsid w:val="002F1F45"/>
    <w:rsid w:val="002F2FBC"/>
    <w:rsid w:val="002F3A50"/>
    <w:rsid w:val="002F4302"/>
    <w:rsid w:val="002F43C0"/>
    <w:rsid w:val="002F48A3"/>
    <w:rsid w:val="002F48FD"/>
    <w:rsid w:val="002F4A63"/>
    <w:rsid w:val="002F4C00"/>
    <w:rsid w:val="002F5001"/>
    <w:rsid w:val="002F5A20"/>
    <w:rsid w:val="002F61A3"/>
    <w:rsid w:val="002F718D"/>
    <w:rsid w:val="002F7510"/>
    <w:rsid w:val="002F7E3E"/>
    <w:rsid w:val="0030042C"/>
    <w:rsid w:val="00300433"/>
    <w:rsid w:val="00300A06"/>
    <w:rsid w:val="00301EA2"/>
    <w:rsid w:val="00301EFA"/>
    <w:rsid w:val="003023C5"/>
    <w:rsid w:val="00302679"/>
    <w:rsid w:val="0030267E"/>
    <w:rsid w:val="00302D2F"/>
    <w:rsid w:val="00302D5C"/>
    <w:rsid w:val="0030357B"/>
    <w:rsid w:val="003038CB"/>
    <w:rsid w:val="00303E4F"/>
    <w:rsid w:val="0030434B"/>
    <w:rsid w:val="00304479"/>
    <w:rsid w:val="00304EC9"/>
    <w:rsid w:val="0030648A"/>
    <w:rsid w:val="00307636"/>
    <w:rsid w:val="00307D0A"/>
    <w:rsid w:val="0031040B"/>
    <w:rsid w:val="003119CD"/>
    <w:rsid w:val="00311BFB"/>
    <w:rsid w:val="00311D14"/>
    <w:rsid w:val="00312D56"/>
    <w:rsid w:val="00312EF8"/>
    <w:rsid w:val="00314DB7"/>
    <w:rsid w:val="00315017"/>
    <w:rsid w:val="0031579F"/>
    <w:rsid w:val="003175EF"/>
    <w:rsid w:val="00317A8B"/>
    <w:rsid w:val="00322EBD"/>
    <w:rsid w:val="00322F05"/>
    <w:rsid w:val="00323191"/>
    <w:rsid w:val="00323614"/>
    <w:rsid w:val="00323F04"/>
    <w:rsid w:val="00324937"/>
    <w:rsid w:val="00325C68"/>
    <w:rsid w:val="00326129"/>
    <w:rsid w:val="003262DF"/>
    <w:rsid w:val="0032781C"/>
    <w:rsid w:val="00327B03"/>
    <w:rsid w:val="00327EF9"/>
    <w:rsid w:val="00330243"/>
    <w:rsid w:val="00331C12"/>
    <w:rsid w:val="003324CA"/>
    <w:rsid w:val="00332DD8"/>
    <w:rsid w:val="00332E3C"/>
    <w:rsid w:val="0033316A"/>
    <w:rsid w:val="003334E9"/>
    <w:rsid w:val="00333E62"/>
    <w:rsid w:val="00334FB8"/>
    <w:rsid w:val="003359A3"/>
    <w:rsid w:val="0033693F"/>
    <w:rsid w:val="00337613"/>
    <w:rsid w:val="00337A5E"/>
    <w:rsid w:val="0034157C"/>
    <w:rsid w:val="003427F4"/>
    <w:rsid w:val="00342A76"/>
    <w:rsid w:val="00342D54"/>
    <w:rsid w:val="00345C20"/>
    <w:rsid w:val="00345CDD"/>
    <w:rsid w:val="00345FF9"/>
    <w:rsid w:val="0034613F"/>
    <w:rsid w:val="00346772"/>
    <w:rsid w:val="00346BAD"/>
    <w:rsid w:val="003478F5"/>
    <w:rsid w:val="003508AD"/>
    <w:rsid w:val="00353147"/>
    <w:rsid w:val="003543A7"/>
    <w:rsid w:val="00354768"/>
    <w:rsid w:val="00354C4B"/>
    <w:rsid w:val="00355350"/>
    <w:rsid w:val="00357079"/>
    <w:rsid w:val="00357FE0"/>
    <w:rsid w:val="00360611"/>
    <w:rsid w:val="003609F7"/>
    <w:rsid w:val="00360B4B"/>
    <w:rsid w:val="00361435"/>
    <w:rsid w:val="00361788"/>
    <w:rsid w:val="00361C1D"/>
    <w:rsid w:val="003628B5"/>
    <w:rsid w:val="003630DB"/>
    <w:rsid w:val="00363482"/>
    <w:rsid w:val="0036351D"/>
    <w:rsid w:val="003637F6"/>
    <w:rsid w:val="00364132"/>
    <w:rsid w:val="0036492B"/>
    <w:rsid w:val="00364D22"/>
    <w:rsid w:val="0036548D"/>
    <w:rsid w:val="003666B5"/>
    <w:rsid w:val="0036684F"/>
    <w:rsid w:val="003668F8"/>
    <w:rsid w:val="003676F0"/>
    <w:rsid w:val="00367EDE"/>
    <w:rsid w:val="00370CDE"/>
    <w:rsid w:val="003720A7"/>
    <w:rsid w:val="003720AD"/>
    <w:rsid w:val="0037254B"/>
    <w:rsid w:val="00372AA0"/>
    <w:rsid w:val="00373046"/>
    <w:rsid w:val="00373574"/>
    <w:rsid w:val="00374309"/>
    <w:rsid w:val="00375288"/>
    <w:rsid w:val="00377259"/>
    <w:rsid w:val="00380411"/>
    <w:rsid w:val="00380CA3"/>
    <w:rsid w:val="00380D90"/>
    <w:rsid w:val="00381587"/>
    <w:rsid w:val="003818FB"/>
    <w:rsid w:val="00382216"/>
    <w:rsid w:val="0038237B"/>
    <w:rsid w:val="0038297C"/>
    <w:rsid w:val="003829E5"/>
    <w:rsid w:val="00382D0D"/>
    <w:rsid w:val="00383432"/>
    <w:rsid w:val="00383439"/>
    <w:rsid w:val="00383571"/>
    <w:rsid w:val="003837D1"/>
    <w:rsid w:val="00385043"/>
    <w:rsid w:val="003855D7"/>
    <w:rsid w:val="00385D57"/>
    <w:rsid w:val="003861E5"/>
    <w:rsid w:val="00387BA4"/>
    <w:rsid w:val="00387BBF"/>
    <w:rsid w:val="003901FA"/>
    <w:rsid w:val="00390B18"/>
    <w:rsid w:val="00391165"/>
    <w:rsid w:val="00391CF7"/>
    <w:rsid w:val="003927C9"/>
    <w:rsid w:val="00392F02"/>
    <w:rsid w:val="00393306"/>
    <w:rsid w:val="00394151"/>
    <w:rsid w:val="00394216"/>
    <w:rsid w:val="00394CC9"/>
    <w:rsid w:val="0039533D"/>
    <w:rsid w:val="003959B1"/>
    <w:rsid w:val="00395E4A"/>
    <w:rsid w:val="003961A7"/>
    <w:rsid w:val="00396303"/>
    <w:rsid w:val="003964AE"/>
    <w:rsid w:val="00396FEC"/>
    <w:rsid w:val="003A06B7"/>
    <w:rsid w:val="003A196D"/>
    <w:rsid w:val="003A2262"/>
    <w:rsid w:val="003A249A"/>
    <w:rsid w:val="003A28D3"/>
    <w:rsid w:val="003A2904"/>
    <w:rsid w:val="003A2F15"/>
    <w:rsid w:val="003A3229"/>
    <w:rsid w:val="003A41B9"/>
    <w:rsid w:val="003A42C8"/>
    <w:rsid w:val="003A47FD"/>
    <w:rsid w:val="003A4C65"/>
    <w:rsid w:val="003A599A"/>
    <w:rsid w:val="003A5AA8"/>
    <w:rsid w:val="003A6236"/>
    <w:rsid w:val="003A6A23"/>
    <w:rsid w:val="003A73DF"/>
    <w:rsid w:val="003A79BE"/>
    <w:rsid w:val="003A7B83"/>
    <w:rsid w:val="003B0495"/>
    <w:rsid w:val="003B0C9D"/>
    <w:rsid w:val="003B1638"/>
    <w:rsid w:val="003B1819"/>
    <w:rsid w:val="003B1A92"/>
    <w:rsid w:val="003B273C"/>
    <w:rsid w:val="003B3444"/>
    <w:rsid w:val="003B3BF9"/>
    <w:rsid w:val="003B429C"/>
    <w:rsid w:val="003B4806"/>
    <w:rsid w:val="003B53D8"/>
    <w:rsid w:val="003B57E0"/>
    <w:rsid w:val="003B5F4D"/>
    <w:rsid w:val="003B6719"/>
    <w:rsid w:val="003B700B"/>
    <w:rsid w:val="003C0340"/>
    <w:rsid w:val="003C06DA"/>
    <w:rsid w:val="003C0727"/>
    <w:rsid w:val="003C0E42"/>
    <w:rsid w:val="003C1045"/>
    <w:rsid w:val="003C1867"/>
    <w:rsid w:val="003C2394"/>
    <w:rsid w:val="003C2936"/>
    <w:rsid w:val="003C2A72"/>
    <w:rsid w:val="003C2F7F"/>
    <w:rsid w:val="003C3263"/>
    <w:rsid w:val="003C37C2"/>
    <w:rsid w:val="003C4687"/>
    <w:rsid w:val="003C5067"/>
    <w:rsid w:val="003C6439"/>
    <w:rsid w:val="003C655C"/>
    <w:rsid w:val="003C675A"/>
    <w:rsid w:val="003C7753"/>
    <w:rsid w:val="003C7927"/>
    <w:rsid w:val="003D1416"/>
    <w:rsid w:val="003D1991"/>
    <w:rsid w:val="003D1B40"/>
    <w:rsid w:val="003D1EFA"/>
    <w:rsid w:val="003D246C"/>
    <w:rsid w:val="003D2A12"/>
    <w:rsid w:val="003D3513"/>
    <w:rsid w:val="003D4716"/>
    <w:rsid w:val="003D5819"/>
    <w:rsid w:val="003D6C47"/>
    <w:rsid w:val="003D6F0B"/>
    <w:rsid w:val="003D75EC"/>
    <w:rsid w:val="003D7986"/>
    <w:rsid w:val="003E0B2D"/>
    <w:rsid w:val="003E0C07"/>
    <w:rsid w:val="003E1B49"/>
    <w:rsid w:val="003E250B"/>
    <w:rsid w:val="003E2653"/>
    <w:rsid w:val="003E33B9"/>
    <w:rsid w:val="003E3A86"/>
    <w:rsid w:val="003E4CDF"/>
    <w:rsid w:val="003E5136"/>
    <w:rsid w:val="003E658E"/>
    <w:rsid w:val="003E65BD"/>
    <w:rsid w:val="003E69B9"/>
    <w:rsid w:val="003E7070"/>
    <w:rsid w:val="003E75CF"/>
    <w:rsid w:val="003F072F"/>
    <w:rsid w:val="003F1282"/>
    <w:rsid w:val="003F1985"/>
    <w:rsid w:val="003F1A0E"/>
    <w:rsid w:val="003F28F9"/>
    <w:rsid w:val="003F2AED"/>
    <w:rsid w:val="003F2DA5"/>
    <w:rsid w:val="003F2E56"/>
    <w:rsid w:val="003F3C05"/>
    <w:rsid w:val="003F491F"/>
    <w:rsid w:val="003F5079"/>
    <w:rsid w:val="003F5320"/>
    <w:rsid w:val="003F54D2"/>
    <w:rsid w:val="003F5ADC"/>
    <w:rsid w:val="003F5FE3"/>
    <w:rsid w:val="003F77F3"/>
    <w:rsid w:val="00400A7A"/>
    <w:rsid w:val="00402A31"/>
    <w:rsid w:val="00403F04"/>
    <w:rsid w:val="004045B3"/>
    <w:rsid w:val="00405F8D"/>
    <w:rsid w:val="00406FFC"/>
    <w:rsid w:val="0040709F"/>
    <w:rsid w:val="0040764F"/>
    <w:rsid w:val="004079A4"/>
    <w:rsid w:val="00407A40"/>
    <w:rsid w:val="00407F23"/>
    <w:rsid w:val="004105DB"/>
    <w:rsid w:val="00410A15"/>
    <w:rsid w:val="00410F60"/>
    <w:rsid w:val="00411DE9"/>
    <w:rsid w:val="00411E94"/>
    <w:rsid w:val="00411EE7"/>
    <w:rsid w:val="00414803"/>
    <w:rsid w:val="00414BD6"/>
    <w:rsid w:val="00415201"/>
    <w:rsid w:val="0041572D"/>
    <w:rsid w:val="00416705"/>
    <w:rsid w:val="00416B73"/>
    <w:rsid w:val="00416BEC"/>
    <w:rsid w:val="00416EE8"/>
    <w:rsid w:val="00417940"/>
    <w:rsid w:val="00417A99"/>
    <w:rsid w:val="004206BA"/>
    <w:rsid w:val="00420863"/>
    <w:rsid w:val="0042110B"/>
    <w:rsid w:val="00422361"/>
    <w:rsid w:val="00422A9D"/>
    <w:rsid w:val="00422E0A"/>
    <w:rsid w:val="0042335E"/>
    <w:rsid w:val="00423FE3"/>
    <w:rsid w:val="00425A65"/>
    <w:rsid w:val="00425A6C"/>
    <w:rsid w:val="004274F9"/>
    <w:rsid w:val="00427FFA"/>
    <w:rsid w:val="0043053D"/>
    <w:rsid w:val="0043143A"/>
    <w:rsid w:val="00431647"/>
    <w:rsid w:val="00431DD6"/>
    <w:rsid w:val="004324AC"/>
    <w:rsid w:val="0043285A"/>
    <w:rsid w:val="00432C62"/>
    <w:rsid w:val="00433575"/>
    <w:rsid w:val="00433B2D"/>
    <w:rsid w:val="00433DAF"/>
    <w:rsid w:val="00433E77"/>
    <w:rsid w:val="00433E85"/>
    <w:rsid w:val="00433F1B"/>
    <w:rsid w:val="004342A0"/>
    <w:rsid w:val="00434365"/>
    <w:rsid w:val="004344AB"/>
    <w:rsid w:val="00434751"/>
    <w:rsid w:val="00434912"/>
    <w:rsid w:val="00435452"/>
    <w:rsid w:val="00436021"/>
    <w:rsid w:val="00436263"/>
    <w:rsid w:val="004372F6"/>
    <w:rsid w:val="00437606"/>
    <w:rsid w:val="004401A4"/>
    <w:rsid w:val="004404BA"/>
    <w:rsid w:val="0044086E"/>
    <w:rsid w:val="00440C6D"/>
    <w:rsid w:val="00440F4D"/>
    <w:rsid w:val="004410D3"/>
    <w:rsid w:val="0044125C"/>
    <w:rsid w:val="004417AD"/>
    <w:rsid w:val="0044180C"/>
    <w:rsid w:val="00441C17"/>
    <w:rsid w:val="0044213F"/>
    <w:rsid w:val="00443584"/>
    <w:rsid w:val="0044397D"/>
    <w:rsid w:val="00443BA4"/>
    <w:rsid w:val="00443F86"/>
    <w:rsid w:val="00443FD4"/>
    <w:rsid w:val="004445A4"/>
    <w:rsid w:val="00445294"/>
    <w:rsid w:val="00445605"/>
    <w:rsid w:val="00445800"/>
    <w:rsid w:val="0044602B"/>
    <w:rsid w:val="0044606C"/>
    <w:rsid w:val="00446644"/>
    <w:rsid w:val="004466AD"/>
    <w:rsid w:val="004472E9"/>
    <w:rsid w:val="0045006B"/>
    <w:rsid w:val="0045016D"/>
    <w:rsid w:val="00450433"/>
    <w:rsid w:val="0045050E"/>
    <w:rsid w:val="00450852"/>
    <w:rsid w:val="004509B4"/>
    <w:rsid w:val="00451287"/>
    <w:rsid w:val="00451C43"/>
    <w:rsid w:val="00452B25"/>
    <w:rsid w:val="00454D19"/>
    <w:rsid w:val="00454DF4"/>
    <w:rsid w:val="00454FAD"/>
    <w:rsid w:val="00455884"/>
    <w:rsid w:val="00456226"/>
    <w:rsid w:val="004563FC"/>
    <w:rsid w:val="00456FE6"/>
    <w:rsid w:val="00457EE2"/>
    <w:rsid w:val="00460028"/>
    <w:rsid w:val="0046013D"/>
    <w:rsid w:val="00461BEC"/>
    <w:rsid w:val="004622FE"/>
    <w:rsid w:val="00462F48"/>
    <w:rsid w:val="00463B2B"/>
    <w:rsid w:val="00464A7D"/>
    <w:rsid w:val="00464C5F"/>
    <w:rsid w:val="00465074"/>
    <w:rsid w:val="004656F1"/>
    <w:rsid w:val="0046591E"/>
    <w:rsid w:val="00465BF2"/>
    <w:rsid w:val="00465E11"/>
    <w:rsid w:val="00465F0B"/>
    <w:rsid w:val="00466DA4"/>
    <w:rsid w:val="004672D9"/>
    <w:rsid w:val="00467EAC"/>
    <w:rsid w:val="00470371"/>
    <w:rsid w:val="00470D35"/>
    <w:rsid w:val="00471B2D"/>
    <w:rsid w:val="00472250"/>
    <w:rsid w:val="004729B1"/>
    <w:rsid w:val="00474729"/>
    <w:rsid w:val="00475ACA"/>
    <w:rsid w:val="00477349"/>
    <w:rsid w:val="00477AFF"/>
    <w:rsid w:val="00482B06"/>
    <w:rsid w:val="0048385F"/>
    <w:rsid w:val="00483CF6"/>
    <w:rsid w:val="0048493E"/>
    <w:rsid w:val="004852CF"/>
    <w:rsid w:val="0048547C"/>
    <w:rsid w:val="00485F3B"/>
    <w:rsid w:val="00486A63"/>
    <w:rsid w:val="00486E77"/>
    <w:rsid w:val="00487896"/>
    <w:rsid w:val="00490176"/>
    <w:rsid w:val="004904AE"/>
    <w:rsid w:val="004907E1"/>
    <w:rsid w:val="0049139C"/>
    <w:rsid w:val="00491A6E"/>
    <w:rsid w:val="004928E2"/>
    <w:rsid w:val="0049304F"/>
    <w:rsid w:val="00494B13"/>
    <w:rsid w:val="00495637"/>
    <w:rsid w:val="0049580B"/>
    <w:rsid w:val="00495E5F"/>
    <w:rsid w:val="00495E6C"/>
    <w:rsid w:val="00496D08"/>
    <w:rsid w:val="00496D59"/>
    <w:rsid w:val="004976A7"/>
    <w:rsid w:val="00497DF8"/>
    <w:rsid w:val="004A038E"/>
    <w:rsid w:val="004A0599"/>
    <w:rsid w:val="004A1422"/>
    <w:rsid w:val="004A187C"/>
    <w:rsid w:val="004A204A"/>
    <w:rsid w:val="004A2447"/>
    <w:rsid w:val="004A454B"/>
    <w:rsid w:val="004A581E"/>
    <w:rsid w:val="004A6AA6"/>
    <w:rsid w:val="004A7B1E"/>
    <w:rsid w:val="004B144D"/>
    <w:rsid w:val="004B1F23"/>
    <w:rsid w:val="004B23C3"/>
    <w:rsid w:val="004B36F6"/>
    <w:rsid w:val="004B3753"/>
    <w:rsid w:val="004B3A61"/>
    <w:rsid w:val="004B4139"/>
    <w:rsid w:val="004B4356"/>
    <w:rsid w:val="004B50D1"/>
    <w:rsid w:val="004B55C6"/>
    <w:rsid w:val="004B6441"/>
    <w:rsid w:val="004B64D8"/>
    <w:rsid w:val="004B7407"/>
    <w:rsid w:val="004B7689"/>
    <w:rsid w:val="004B7E17"/>
    <w:rsid w:val="004C01F2"/>
    <w:rsid w:val="004C0D02"/>
    <w:rsid w:val="004C149D"/>
    <w:rsid w:val="004C1A8E"/>
    <w:rsid w:val="004C226E"/>
    <w:rsid w:val="004C2475"/>
    <w:rsid w:val="004C321F"/>
    <w:rsid w:val="004C3EE9"/>
    <w:rsid w:val="004C4C38"/>
    <w:rsid w:val="004C644C"/>
    <w:rsid w:val="004C6A32"/>
    <w:rsid w:val="004C72C7"/>
    <w:rsid w:val="004C7862"/>
    <w:rsid w:val="004C7A22"/>
    <w:rsid w:val="004D0378"/>
    <w:rsid w:val="004D1463"/>
    <w:rsid w:val="004D1C49"/>
    <w:rsid w:val="004D34FB"/>
    <w:rsid w:val="004D3AAF"/>
    <w:rsid w:val="004D3AF6"/>
    <w:rsid w:val="004D40A3"/>
    <w:rsid w:val="004D4218"/>
    <w:rsid w:val="004D48DE"/>
    <w:rsid w:val="004D4BFB"/>
    <w:rsid w:val="004D5059"/>
    <w:rsid w:val="004D5664"/>
    <w:rsid w:val="004D6081"/>
    <w:rsid w:val="004D6385"/>
    <w:rsid w:val="004D6636"/>
    <w:rsid w:val="004D67CB"/>
    <w:rsid w:val="004D6F29"/>
    <w:rsid w:val="004D71A9"/>
    <w:rsid w:val="004D7FA8"/>
    <w:rsid w:val="004E11EE"/>
    <w:rsid w:val="004E12B2"/>
    <w:rsid w:val="004E13E0"/>
    <w:rsid w:val="004E1D25"/>
    <w:rsid w:val="004E29C3"/>
    <w:rsid w:val="004E2BE0"/>
    <w:rsid w:val="004E3041"/>
    <w:rsid w:val="004E36DC"/>
    <w:rsid w:val="004E373A"/>
    <w:rsid w:val="004E3B0F"/>
    <w:rsid w:val="004E49C5"/>
    <w:rsid w:val="004E4CC0"/>
    <w:rsid w:val="004E5AFE"/>
    <w:rsid w:val="004E5B05"/>
    <w:rsid w:val="004E5CB3"/>
    <w:rsid w:val="004E5E00"/>
    <w:rsid w:val="004E7064"/>
    <w:rsid w:val="004E78C8"/>
    <w:rsid w:val="004F0B7B"/>
    <w:rsid w:val="004F2825"/>
    <w:rsid w:val="004F2A78"/>
    <w:rsid w:val="004F2CFA"/>
    <w:rsid w:val="004F37F0"/>
    <w:rsid w:val="004F4207"/>
    <w:rsid w:val="004F4B02"/>
    <w:rsid w:val="004F4FB8"/>
    <w:rsid w:val="004F5C5A"/>
    <w:rsid w:val="004F5D10"/>
    <w:rsid w:val="004F6043"/>
    <w:rsid w:val="004F692F"/>
    <w:rsid w:val="004F7081"/>
    <w:rsid w:val="004F7290"/>
    <w:rsid w:val="004F7446"/>
    <w:rsid w:val="004F7C23"/>
    <w:rsid w:val="005003DF"/>
    <w:rsid w:val="00501D13"/>
    <w:rsid w:val="00501F63"/>
    <w:rsid w:val="00503C9B"/>
    <w:rsid w:val="00505386"/>
    <w:rsid w:val="005068E4"/>
    <w:rsid w:val="00506C43"/>
    <w:rsid w:val="00506CAE"/>
    <w:rsid w:val="00507B00"/>
    <w:rsid w:val="00507B9C"/>
    <w:rsid w:val="00510751"/>
    <w:rsid w:val="00510EF9"/>
    <w:rsid w:val="00511476"/>
    <w:rsid w:val="00512B2B"/>
    <w:rsid w:val="005167E8"/>
    <w:rsid w:val="00517F7D"/>
    <w:rsid w:val="0052029F"/>
    <w:rsid w:val="0052035A"/>
    <w:rsid w:val="005228A9"/>
    <w:rsid w:val="00524D75"/>
    <w:rsid w:val="00525E31"/>
    <w:rsid w:val="0052694E"/>
    <w:rsid w:val="00526D84"/>
    <w:rsid w:val="0052707B"/>
    <w:rsid w:val="0052782A"/>
    <w:rsid w:val="005327B6"/>
    <w:rsid w:val="00532855"/>
    <w:rsid w:val="005331CE"/>
    <w:rsid w:val="00534C5F"/>
    <w:rsid w:val="0053509D"/>
    <w:rsid w:val="00535E13"/>
    <w:rsid w:val="0053650A"/>
    <w:rsid w:val="00536833"/>
    <w:rsid w:val="00537B25"/>
    <w:rsid w:val="00537F2E"/>
    <w:rsid w:val="0054008E"/>
    <w:rsid w:val="00540AD9"/>
    <w:rsid w:val="005417C6"/>
    <w:rsid w:val="005423B4"/>
    <w:rsid w:val="005426E7"/>
    <w:rsid w:val="0054292E"/>
    <w:rsid w:val="00543144"/>
    <w:rsid w:val="0054332B"/>
    <w:rsid w:val="005434E4"/>
    <w:rsid w:val="00544F7A"/>
    <w:rsid w:val="00545421"/>
    <w:rsid w:val="005455F1"/>
    <w:rsid w:val="00546197"/>
    <w:rsid w:val="00547B0A"/>
    <w:rsid w:val="00547C98"/>
    <w:rsid w:val="00550CA9"/>
    <w:rsid w:val="00551FCA"/>
    <w:rsid w:val="0055240B"/>
    <w:rsid w:val="0055326C"/>
    <w:rsid w:val="00553EFB"/>
    <w:rsid w:val="00553F64"/>
    <w:rsid w:val="005549DD"/>
    <w:rsid w:val="00554A85"/>
    <w:rsid w:val="00554B68"/>
    <w:rsid w:val="00554F48"/>
    <w:rsid w:val="005551AE"/>
    <w:rsid w:val="005565C0"/>
    <w:rsid w:val="005576F7"/>
    <w:rsid w:val="005607A9"/>
    <w:rsid w:val="00563E5E"/>
    <w:rsid w:val="0056479E"/>
    <w:rsid w:val="00565866"/>
    <w:rsid w:val="0056719B"/>
    <w:rsid w:val="00570586"/>
    <w:rsid w:val="00570B85"/>
    <w:rsid w:val="00570DB9"/>
    <w:rsid w:val="0057160B"/>
    <w:rsid w:val="005719CC"/>
    <w:rsid w:val="00571F0F"/>
    <w:rsid w:val="00572669"/>
    <w:rsid w:val="0057316B"/>
    <w:rsid w:val="00575ED0"/>
    <w:rsid w:val="00577F68"/>
    <w:rsid w:val="0058025A"/>
    <w:rsid w:val="0058171C"/>
    <w:rsid w:val="005819DD"/>
    <w:rsid w:val="0058268D"/>
    <w:rsid w:val="00582D70"/>
    <w:rsid w:val="0058368D"/>
    <w:rsid w:val="00583984"/>
    <w:rsid w:val="00583FF2"/>
    <w:rsid w:val="00585287"/>
    <w:rsid w:val="00586B81"/>
    <w:rsid w:val="00586D95"/>
    <w:rsid w:val="005873E4"/>
    <w:rsid w:val="00587A2A"/>
    <w:rsid w:val="00587F45"/>
    <w:rsid w:val="00590164"/>
    <w:rsid w:val="00590642"/>
    <w:rsid w:val="00591FF2"/>
    <w:rsid w:val="005928AB"/>
    <w:rsid w:val="005936B7"/>
    <w:rsid w:val="0059391C"/>
    <w:rsid w:val="005942D5"/>
    <w:rsid w:val="0059466A"/>
    <w:rsid w:val="00594752"/>
    <w:rsid w:val="0059621D"/>
    <w:rsid w:val="00597E5D"/>
    <w:rsid w:val="005A085B"/>
    <w:rsid w:val="005A1AAE"/>
    <w:rsid w:val="005A2608"/>
    <w:rsid w:val="005A29EA"/>
    <w:rsid w:val="005A2E56"/>
    <w:rsid w:val="005A329D"/>
    <w:rsid w:val="005A51E9"/>
    <w:rsid w:val="005A5467"/>
    <w:rsid w:val="005A5966"/>
    <w:rsid w:val="005A5CD5"/>
    <w:rsid w:val="005A67B8"/>
    <w:rsid w:val="005B0567"/>
    <w:rsid w:val="005B1220"/>
    <w:rsid w:val="005B1CE8"/>
    <w:rsid w:val="005B2CBF"/>
    <w:rsid w:val="005B3367"/>
    <w:rsid w:val="005B39CB"/>
    <w:rsid w:val="005B4429"/>
    <w:rsid w:val="005B448B"/>
    <w:rsid w:val="005B5F79"/>
    <w:rsid w:val="005B65D4"/>
    <w:rsid w:val="005B792A"/>
    <w:rsid w:val="005B7A0A"/>
    <w:rsid w:val="005C0EAA"/>
    <w:rsid w:val="005C1017"/>
    <w:rsid w:val="005C1723"/>
    <w:rsid w:val="005C191E"/>
    <w:rsid w:val="005C2BB3"/>
    <w:rsid w:val="005C30D3"/>
    <w:rsid w:val="005C33CD"/>
    <w:rsid w:val="005C3FD8"/>
    <w:rsid w:val="005C3FF1"/>
    <w:rsid w:val="005C404A"/>
    <w:rsid w:val="005C4228"/>
    <w:rsid w:val="005C433A"/>
    <w:rsid w:val="005C5F4D"/>
    <w:rsid w:val="005C68D3"/>
    <w:rsid w:val="005C6C87"/>
    <w:rsid w:val="005C6EA5"/>
    <w:rsid w:val="005D15AF"/>
    <w:rsid w:val="005D1853"/>
    <w:rsid w:val="005D1A0F"/>
    <w:rsid w:val="005D3511"/>
    <w:rsid w:val="005D3935"/>
    <w:rsid w:val="005D4273"/>
    <w:rsid w:val="005D4ED6"/>
    <w:rsid w:val="005D6A1C"/>
    <w:rsid w:val="005D6F86"/>
    <w:rsid w:val="005D70B6"/>
    <w:rsid w:val="005D717C"/>
    <w:rsid w:val="005D7C23"/>
    <w:rsid w:val="005E05A6"/>
    <w:rsid w:val="005E19B4"/>
    <w:rsid w:val="005E1EE7"/>
    <w:rsid w:val="005E2102"/>
    <w:rsid w:val="005E30E3"/>
    <w:rsid w:val="005E3C68"/>
    <w:rsid w:val="005E475E"/>
    <w:rsid w:val="005E534E"/>
    <w:rsid w:val="005E597B"/>
    <w:rsid w:val="005E5CBA"/>
    <w:rsid w:val="005E63F9"/>
    <w:rsid w:val="005E684F"/>
    <w:rsid w:val="005E6905"/>
    <w:rsid w:val="005E6BCB"/>
    <w:rsid w:val="005E73B8"/>
    <w:rsid w:val="005E73F4"/>
    <w:rsid w:val="005E7A84"/>
    <w:rsid w:val="005E7E5C"/>
    <w:rsid w:val="005F0059"/>
    <w:rsid w:val="005F03E6"/>
    <w:rsid w:val="005F04F7"/>
    <w:rsid w:val="005F15A5"/>
    <w:rsid w:val="005F2549"/>
    <w:rsid w:val="005F2818"/>
    <w:rsid w:val="005F2A90"/>
    <w:rsid w:val="005F30B5"/>
    <w:rsid w:val="005F3CB3"/>
    <w:rsid w:val="005F4549"/>
    <w:rsid w:val="005F4FE7"/>
    <w:rsid w:val="005F5101"/>
    <w:rsid w:val="005F5AE3"/>
    <w:rsid w:val="005F76A4"/>
    <w:rsid w:val="005F7753"/>
    <w:rsid w:val="005F7971"/>
    <w:rsid w:val="00600EAD"/>
    <w:rsid w:val="006028C3"/>
    <w:rsid w:val="00603617"/>
    <w:rsid w:val="00603861"/>
    <w:rsid w:val="006039BB"/>
    <w:rsid w:val="006044EB"/>
    <w:rsid w:val="006046B6"/>
    <w:rsid w:val="00604770"/>
    <w:rsid w:val="006059EE"/>
    <w:rsid w:val="00607638"/>
    <w:rsid w:val="00607DB2"/>
    <w:rsid w:val="006102C5"/>
    <w:rsid w:val="00610FB5"/>
    <w:rsid w:val="00611179"/>
    <w:rsid w:val="00611541"/>
    <w:rsid w:val="00611E72"/>
    <w:rsid w:val="006123A2"/>
    <w:rsid w:val="00613713"/>
    <w:rsid w:val="0061395D"/>
    <w:rsid w:val="00613AB5"/>
    <w:rsid w:val="00613B5B"/>
    <w:rsid w:val="00613E5D"/>
    <w:rsid w:val="00615075"/>
    <w:rsid w:val="006173AF"/>
    <w:rsid w:val="006178A1"/>
    <w:rsid w:val="006178BC"/>
    <w:rsid w:val="00617A16"/>
    <w:rsid w:val="00620186"/>
    <w:rsid w:val="006205C1"/>
    <w:rsid w:val="00620D81"/>
    <w:rsid w:val="0062180E"/>
    <w:rsid w:val="00621A39"/>
    <w:rsid w:val="0062340D"/>
    <w:rsid w:val="00623B4C"/>
    <w:rsid w:val="00623FDF"/>
    <w:rsid w:val="0062416F"/>
    <w:rsid w:val="00624B5C"/>
    <w:rsid w:val="00624E1B"/>
    <w:rsid w:val="00624E83"/>
    <w:rsid w:val="006252F1"/>
    <w:rsid w:val="006258FC"/>
    <w:rsid w:val="00626000"/>
    <w:rsid w:val="0062606D"/>
    <w:rsid w:val="006261CB"/>
    <w:rsid w:val="0062624E"/>
    <w:rsid w:val="00626BEF"/>
    <w:rsid w:val="006312FE"/>
    <w:rsid w:val="0063190E"/>
    <w:rsid w:val="0063253F"/>
    <w:rsid w:val="006326A8"/>
    <w:rsid w:val="00633CAB"/>
    <w:rsid w:val="006344A4"/>
    <w:rsid w:val="00635564"/>
    <w:rsid w:val="006355E7"/>
    <w:rsid w:val="00635FF3"/>
    <w:rsid w:val="00636784"/>
    <w:rsid w:val="00636BE0"/>
    <w:rsid w:val="0063720F"/>
    <w:rsid w:val="00637C32"/>
    <w:rsid w:val="006404BF"/>
    <w:rsid w:val="00640789"/>
    <w:rsid w:val="006411FD"/>
    <w:rsid w:val="006415CF"/>
    <w:rsid w:val="00642AD7"/>
    <w:rsid w:val="006430AE"/>
    <w:rsid w:val="00643CD3"/>
    <w:rsid w:val="00643D1C"/>
    <w:rsid w:val="006440DF"/>
    <w:rsid w:val="0064488A"/>
    <w:rsid w:val="00644BAB"/>
    <w:rsid w:val="00644C82"/>
    <w:rsid w:val="00645AE3"/>
    <w:rsid w:val="006463E2"/>
    <w:rsid w:val="0064709A"/>
    <w:rsid w:val="00647471"/>
    <w:rsid w:val="006477B3"/>
    <w:rsid w:val="00647A7E"/>
    <w:rsid w:val="006523AD"/>
    <w:rsid w:val="006523C6"/>
    <w:rsid w:val="00652432"/>
    <w:rsid w:val="0065251A"/>
    <w:rsid w:val="0065295A"/>
    <w:rsid w:val="00652BD8"/>
    <w:rsid w:val="0065400C"/>
    <w:rsid w:val="006551F3"/>
    <w:rsid w:val="00655E22"/>
    <w:rsid w:val="00656812"/>
    <w:rsid w:val="00656915"/>
    <w:rsid w:val="0065711D"/>
    <w:rsid w:val="006606E2"/>
    <w:rsid w:val="00662EF5"/>
    <w:rsid w:val="0066306E"/>
    <w:rsid w:val="006637A1"/>
    <w:rsid w:val="00665702"/>
    <w:rsid w:val="00666CA5"/>
    <w:rsid w:val="006677A5"/>
    <w:rsid w:val="0066786A"/>
    <w:rsid w:val="00667EAC"/>
    <w:rsid w:val="006713F8"/>
    <w:rsid w:val="0067240C"/>
    <w:rsid w:val="006724D8"/>
    <w:rsid w:val="0067269C"/>
    <w:rsid w:val="006731A0"/>
    <w:rsid w:val="00673FE1"/>
    <w:rsid w:val="00674355"/>
    <w:rsid w:val="006744D9"/>
    <w:rsid w:val="006757A3"/>
    <w:rsid w:val="006758D1"/>
    <w:rsid w:val="00675FE2"/>
    <w:rsid w:val="0067607F"/>
    <w:rsid w:val="0067642D"/>
    <w:rsid w:val="00676EF1"/>
    <w:rsid w:val="006771D9"/>
    <w:rsid w:val="0068132F"/>
    <w:rsid w:val="006816F2"/>
    <w:rsid w:val="0068339B"/>
    <w:rsid w:val="00683F7E"/>
    <w:rsid w:val="006843AF"/>
    <w:rsid w:val="006844EF"/>
    <w:rsid w:val="0068570A"/>
    <w:rsid w:val="00686950"/>
    <w:rsid w:val="00686C73"/>
    <w:rsid w:val="00686E53"/>
    <w:rsid w:val="006870DB"/>
    <w:rsid w:val="006875E1"/>
    <w:rsid w:val="00687C62"/>
    <w:rsid w:val="0069074E"/>
    <w:rsid w:val="00690E2C"/>
    <w:rsid w:val="006912D1"/>
    <w:rsid w:val="006913F1"/>
    <w:rsid w:val="0069257A"/>
    <w:rsid w:val="006937D5"/>
    <w:rsid w:val="0069399C"/>
    <w:rsid w:val="0069460F"/>
    <w:rsid w:val="006947F0"/>
    <w:rsid w:val="006949A7"/>
    <w:rsid w:val="00694A54"/>
    <w:rsid w:val="00694BAD"/>
    <w:rsid w:val="00694EEB"/>
    <w:rsid w:val="00695D19"/>
    <w:rsid w:val="00696D35"/>
    <w:rsid w:val="00696F9B"/>
    <w:rsid w:val="00697217"/>
    <w:rsid w:val="0069757C"/>
    <w:rsid w:val="006A0FB1"/>
    <w:rsid w:val="006A0FC3"/>
    <w:rsid w:val="006A119E"/>
    <w:rsid w:val="006A16FF"/>
    <w:rsid w:val="006A188F"/>
    <w:rsid w:val="006A2312"/>
    <w:rsid w:val="006A2474"/>
    <w:rsid w:val="006A28BE"/>
    <w:rsid w:val="006A2CBC"/>
    <w:rsid w:val="006A2F29"/>
    <w:rsid w:val="006A3AA1"/>
    <w:rsid w:val="006A3E22"/>
    <w:rsid w:val="006A3F84"/>
    <w:rsid w:val="006A46E3"/>
    <w:rsid w:val="006A4FF4"/>
    <w:rsid w:val="006A50B5"/>
    <w:rsid w:val="006A549A"/>
    <w:rsid w:val="006A64C8"/>
    <w:rsid w:val="006B0041"/>
    <w:rsid w:val="006B0266"/>
    <w:rsid w:val="006B03AA"/>
    <w:rsid w:val="006B083A"/>
    <w:rsid w:val="006B08DE"/>
    <w:rsid w:val="006B0935"/>
    <w:rsid w:val="006B1C59"/>
    <w:rsid w:val="006B3E16"/>
    <w:rsid w:val="006B4105"/>
    <w:rsid w:val="006B4331"/>
    <w:rsid w:val="006B49F6"/>
    <w:rsid w:val="006B5C23"/>
    <w:rsid w:val="006B5DD2"/>
    <w:rsid w:val="006B6DAA"/>
    <w:rsid w:val="006B6E8C"/>
    <w:rsid w:val="006B7132"/>
    <w:rsid w:val="006B7D70"/>
    <w:rsid w:val="006C0A93"/>
    <w:rsid w:val="006C0C70"/>
    <w:rsid w:val="006C14BA"/>
    <w:rsid w:val="006C18B7"/>
    <w:rsid w:val="006C19D1"/>
    <w:rsid w:val="006C2491"/>
    <w:rsid w:val="006C2A30"/>
    <w:rsid w:val="006C2C1C"/>
    <w:rsid w:val="006C33C9"/>
    <w:rsid w:val="006C388D"/>
    <w:rsid w:val="006C3E1E"/>
    <w:rsid w:val="006C43D4"/>
    <w:rsid w:val="006C44DF"/>
    <w:rsid w:val="006C5A1D"/>
    <w:rsid w:val="006C5A6E"/>
    <w:rsid w:val="006C6C6E"/>
    <w:rsid w:val="006C7168"/>
    <w:rsid w:val="006C757A"/>
    <w:rsid w:val="006C7C5A"/>
    <w:rsid w:val="006D0CF1"/>
    <w:rsid w:val="006D0FC3"/>
    <w:rsid w:val="006D2020"/>
    <w:rsid w:val="006D3D0F"/>
    <w:rsid w:val="006D3F2F"/>
    <w:rsid w:val="006D4A70"/>
    <w:rsid w:val="006D5C31"/>
    <w:rsid w:val="006D7134"/>
    <w:rsid w:val="006D7959"/>
    <w:rsid w:val="006E0C56"/>
    <w:rsid w:val="006E1B28"/>
    <w:rsid w:val="006E249F"/>
    <w:rsid w:val="006E2AC2"/>
    <w:rsid w:val="006E3112"/>
    <w:rsid w:val="006E4356"/>
    <w:rsid w:val="006E46D0"/>
    <w:rsid w:val="006E6FE5"/>
    <w:rsid w:val="006E778F"/>
    <w:rsid w:val="006E7859"/>
    <w:rsid w:val="006E79E6"/>
    <w:rsid w:val="006F0ACE"/>
    <w:rsid w:val="006F1573"/>
    <w:rsid w:val="006F1FA0"/>
    <w:rsid w:val="006F3228"/>
    <w:rsid w:val="006F48F6"/>
    <w:rsid w:val="006F4AA6"/>
    <w:rsid w:val="006F4DBC"/>
    <w:rsid w:val="006F4F21"/>
    <w:rsid w:val="006F5D37"/>
    <w:rsid w:val="006F63F4"/>
    <w:rsid w:val="006F676E"/>
    <w:rsid w:val="006F6B45"/>
    <w:rsid w:val="006F6E6E"/>
    <w:rsid w:val="006F7BA6"/>
    <w:rsid w:val="00700830"/>
    <w:rsid w:val="007014DA"/>
    <w:rsid w:val="00701DA0"/>
    <w:rsid w:val="00702CB0"/>
    <w:rsid w:val="00704120"/>
    <w:rsid w:val="007044A4"/>
    <w:rsid w:val="007047D6"/>
    <w:rsid w:val="0070489E"/>
    <w:rsid w:val="00704EAD"/>
    <w:rsid w:val="00704F8D"/>
    <w:rsid w:val="00705142"/>
    <w:rsid w:val="00705161"/>
    <w:rsid w:val="00705EB8"/>
    <w:rsid w:val="00706076"/>
    <w:rsid w:val="00706CEE"/>
    <w:rsid w:val="0070744E"/>
    <w:rsid w:val="00707A97"/>
    <w:rsid w:val="00710005"/>
    <w:rsid w:val="0071005F"/>
    <w:rsid w:val="007108D8"/>
    <w:rsid w:val="007113BE"/>
    <w:rsid w:val="0071157E"/>
    <w:rsid w:val="007115DC"/>
    <w:rsid w:val="00711608"/>
    <w:rsid w:val="00711D27"/>
    <w:rsid w:val="00711F11"/>
    <w:rsid w:val="00712B7E"/>
    <w:rsid w:val="00712CBA"/>
    <w:rsid w:val="007148D0"/>
    <w:rsid w:val="00715A97"/>
    <w:rsid w:val="00716001"/>
    <w:rsid w:val="00717A9D"/>
    <w:rsid w:val="007205BB"/>
    <w:rsid w:val="0072166E"/>
    <w:rsid w:val="00721679"/>
    <w:rsid w:val="00721D85"/>
    <w:rsid w:val="007225D7"/>
    <w:rsid w:val="00723562"/>
    <w:rsid w:val="007236F8"/>
    <w:rsid w:val="007237BD"/>
    <w:rsid w:val="0072477F"/>
    <w:rsid w:val="00724B54"/>
    <w:rsid w:val="00724C49"/>
    <w:rsid w:val="007255B7"/>
    <w:rsid w:val="00725C2F"/>
    <w:rsid w:val="0072658F"/>
    <w:rsid w:val="0072661B"/>
    <w:rsid w:val="0072664F"/>
    <w:rsid w:val="00726A85"/>
    <w:rsid w:val="00726B8F"/>
    <w:rsid w:val="00727071"/>
    <w:rsid w:val="00727242"/>
    <w:rsid w:val="007275EE"/>
    <w:rsid w:val="00731097"/>
    <w:rsid w:val="00731359"/>
    <w:rsid w:val="007319FD"/>
    <w:rsid w:val="0073334B"/>
    <w:rsid w:val="0073413D"/>
    <w:rsid w:val="0073419D"/>
    <w:rsid w:val="00736FC9"/>
    <w:rsid w:val="00737096"/>
    <w:rsid w:val="0074165F"/>
    <w:rsid w:val="00741B7D"/>
    <w:rsid w:val="0074249E"/>
    <w:rsid w:val="00742990"/>
    <w:rsid w:val="00744B8C"/>
    <w:rsid w:val="007452CF"/>
    <w:rsid w:val="0074676D"/>
    <w:rsid w:val="0074697D"/>
    <w:rsid w:val="00746F72"/>
    <w:rsid w:val="0075051D"/>
    <w:rsid w:val="00751CF0"/>
    <w:rsid w:val="007522C2"/>
    <w:rsid w:val="00752632"/>
    <w:rsid w:val="00753033"/>
    <w:rsid w:val="00753A6B"/>
    <w:rsid w:val="007550B4"/>
    <w:rsid w:val="00757096"/>
    <w:rsid w:val="00757944"/>
    <w:rsid w:val="00757CD6"/>
    <w:rsid w:val="00757F25"/>
    <w:rsid w:val="007601B6"/>
    <w:rsid w:val="00760860"/>
    <w:rsid w:val="00761F30"/>
    <w:rsid w:val="007620EB"/>
    <w:rsid w:val="0076227C"/>
    <w:rsid w:val="00762588"/>
    <w:rsid w:val="00762650"/>
    <w:rsid w:val="00762E73"/>
    <w:rsid w:val="00763091"/>
    <w:rsid w:val="007634CB"/>
    <w:rsid w:val="007635A1"/>
    <w:rsid w:val="0076433C"/>
    <w:rsid w:val="007663F2"/>
    <w:rsid w:val="007669A7"/>
    <w:rsid w:val="00766C29"/>
    <w:rsid w:val="0076716E"/>
    <w:rsid w:val="00770A09"/>
    <w:rsid w:val="00770C66"/>
    <w:rsid w:val="00770EF3"/>
    <w:rsid w:val="0077209C"/>
    <w:rsid w:val="0077210F"/>
    <w:rsid w:val="00772F91"/>
    <w:rsid w:val="0077333A"/>
    <w:rsid w:val="0077365E"/>
    <w:rsid w:val="00773968"/>
    <w:rsid w:val="007739A8"/>
    <w:rsid w:val="00773AFC"/>
    <w:rsid w:val="00773F65"/>
    <w:rsid w:val="0077434B"/>
    <w:rsid w:val="00774C4D"/>
    <w:rsid w:val="007754EA"/>
    <w:rsid w:val="00775DEF"/>
    <w:rsid w:val="007771C3"/>
    <w:rsid w:val="00777E61"/>
    <w:rsid w:val="00782C57"/>
    <w:rsid w:val="00782EBE"/>
    <w:rsid w:val="007832EC"/>
    <w:rsid w:val="0078349C"/>
    <w:rsid w:val="00783911"/>
    <w:rsid w:val="00783A3A"/>
    <w:rsid w:val="007846F4"/>
    <w:rsid w:val="007851E4"/>
    <w:rsid w:val="007860AD"/>
    <w:rsid w:val="00786E41"/>
    <w:rsid w:val="00787CD3"/>
    <w:rsid w:val="00787FC2"/>
    <w:rsid w:val="00790774"/>
    <w:rsid w:val="007907BA"/>
    <w:rsid w:val="00790FEC"/>
    <w:rsid w:val="007910B3"/>
    <w:rsid w:val="00791CC0"/>
    <w:rsid w:val="007936C4"/>
    <w:rsid w:val="0079382B"/>
    <w:rsid w:val="007942B9"/>
    <w:rsid w:val="0079485D"/>
    <w:rsid w:val="00794977"/>
    <w:rsid w:val="007949AB"/>
    <w:rsid w:val="007951C7"/>
    <w:rsid w:val="00796FBD"/>
    <w:rsid w:val="0079758B"/>
    <w:rsid w:val="007A065B"/>
    <w:rsid w:val="007A0BD1"/>
    <w:rsid w:val="007A1BD7"/>
    <w:rsid w:val="007A2462"/>
    <w:rsid w:val="007A29A7"/>
    <w:rsid w:val="007A323B"/>
    <w:rsid w:val="007A36E8"/>
    <w:rsid w:val="007A393B"/>
    <w:rsid w:val="007A425A"/>
    <w:rsid w:val="007A5B0B"/>
    <w:rsid w:val="007A6809"/>
    <w:rsid w:val="007A72FB"/>
    <w:rsid w:val="007B0C6C"/>
    <w:rsid w:val="007B0D5D"/>
    <w:rsid w:val="007B0DE3"/>
    <w:rsid w:val="007B27D2"/>
    <w:rsid w:val="007B2EAC"/>
    <w:rsid w:val="007B4DE4"/>
    <w:rsid w:val="007B4EF8"/>
    <w:rsid w:val="007B5195"/>
    <w:rsid w:val="007B58FA"/>
    <w:rsid w:val="007B7E62"/>
    <w:rsid w:val="007C1173"/>
    <w:rsid w:val="007C118E"/>
    <w:rsid w:val="007C16BC"/>
    <w:rsid w:val="007C18C2"/>
    <w:rsid w:val="007C2CD2"/>
    <w:rsid w:val="007C2EFF"/>
    <w:rsid w:val="007C3016"/>
    <w:rsid w:val="007C3352"/>
    <w:rsid w:val="007C34B9"/>
    <w:rsid w:val="007C4ABA"/>
    <w:rsid w:val="007C4D89"/>
    <w:rsid w:val="007C4E56"/>
    <w:rsid w:val="007C54FC"/>
    <w:rsid w:val="007C599A"/>
    <w:rsid w:val="007C5D8F"/>
    <w:rsid w:val="007C6870"/>
    <w:rsid w:val="007C6E0D"/>
    <w:rsid w:val="007C72A8"/>
    <w:rsid w:val="007D2289"/>
    <w:rsid w:val="007D2899"/>
    <w:rsid w:val="007D47CD"/>
    <w:rsid w:val="007D605E"/>
    <w:rsid w:val="007D6CE6"/>
    <w:rsid w:val="007D7A27"/>
    <w:rsid w:val="007D7F5A"/>
    <w:rsid w:val="007E0A2A"/>
    <w:rsid w:val="007E1275"/>
    <w:rsid w:val="007E211F"/>
    <w:rsid w:val="007E2178"/>
    <w:rsid w:val="007E2D67"/>
    <w:rsid w:val="007E2FFD"/>
    <w:rsid w:val="007E32D9"/>
    <w:rsid w:val="007E40EF"/>
    <w:rsid w:val="007E44BB"/>
    <w:rsid w:val="007E4F2E"/>
    <w:rsid w:val="007E57E8"/>
    <w:rsid w:val="007E5B8D"/>
    <w:rsid w:val="007E74E4"/>
    <w:rsid w:val="007E766A"/>
    <w:rsid w:val="007E7B55"/>
    <w:rsid w:val="007F0B26"/>
    <w:rsid w:val="007F0BDC"/>
    <w:rsid w:val="007F1496"/>
    <w:rsid w:val="007F28E1"/>
    <w:rsid w:val="007F2DE0"/>
    <w:rsid w:val="007F35DC"/>
    <w:rsid w:val="007F51CC"/>
    <w:rsid w:val="007F5F94"/>
    <w:rsid w:val="007F6131"/>
    <w:rsid w:val="007F6749"/>
    <w:rsid w:val="007F6E6F"/>
    <w:rsid w:val="007F72A0"/>
    <w:rsid w:val="007F748E"/>
    <w:rsid w:val="007F7987"/>
    <w:rsid w:val="007F7FA9"/>
    <w:rsid w:val="008000EE"/>
    <w:rsid w:val="00800130"/>
    <w:rsid w:val="008012E7"/>
    <w:rsid w:val="008017C0"/>
    <w:rsid w:val="00801901"/>
    <w:rsid w:val="00801D20"/>
    <w:rsid w:val="00802DF8"/>
    <w:rsid w:val="00803BB2"/>
    <w:rsid w:val="00805272"/>
    <w:rsid w:val="008052A4"/>
    <w:rsid w:val="00806522"/>
    <w:rsid w:val="00806D18"/>
    <w:rsid w:val="008070E2"/>
    <w:rsid w:val="0080737A"/>
    <w:rsid w:val="008077EA"/>
    <w:rsid w:val="00807B5C"/>
    <w:rsid w:val="00810344"/>
    <w:rsid w:val="00810C23"/>
    <w:rsid w:val="008125C5"/>
    <w:rsid w:val="008125C7"/>
    <w:rsid w:val="0081296A"/>
    <w:rsid w:val="00812AAD"/>
    <w:rsid w:val="008130B5"/>
    <w:rsid w:val="00813B7E"/>
    <w:rsid w:val="00813F05"/>
    <w:rsid w:val="008144EA"/>
    <w:rsid w:val="008151F2"/>
    <w:rsid w:val="008152C9"/>
    <w:rsid w:val="00815301"/>
    <w:rsid w:val="00815410"/>
    <w:rsid w:val="008167D2"/>
    <w:rsid w:val="008167F9"/>
    <w:rsid w:val="008169E8"/>
    <w:rsid w:val="00816A0D"/>
    <w:rsid w:val="00816A67"/>
    <w:rsid w:val="00817528"/>
    <w:rsid w:val="008209B8"/>
    <w:rsid w:val="00820F0E"/>
    <w:rsid w:val="00821285"/>
    <w:rsid w:val="0082184B"/>
    <w:rsid w:val="0082276A"/>
    <w:rsid w:val="008234E7"/>
    <w:rsid w:val="0082472F"/>
    <w:rsid w:val="00824D2A"/>
    <w:rsid w:val="00825300"/>
    <w:rsid w:val="00825375"/>
    <w:rsid w:val="00825777"/>
    <w:rsid w:val="0082599D"/>
    <w:rsid w:val="00826CB4"/>
    <w:rsid w:val="00827324"/>
    <w:rsid w:val="00827F68"/>
    <w:rsid w:val="0083033F"/>
    <w:rsid w:val="00830625"/>
    <w:rsid w:val="008310D9"/>
    <w:rsid w:val="00831355"/>
    <w:rsid w:val="008318A3"/>
    <w:rsid w:val="0083247C"/>
    <w:rsid w:val="008343F5"/>
    <w:rsid w:val="00834639"/>
    <w:rsid w:val="00834BAF"/>
    <w:rsid w:val="00834D86"/>
    <w:rsid w:val="00835000"/>
    <w:rsid w:val="00835FD5"/>
    <w:rsid w:val="00836C03"/>
    <w:rsid w:val="008371EC"/>
    <w:rsid w:val="00837AA5"/>
    <w:rsid w:val="0084009E"/>
    <w:rsid w:val="0084078A"/>
    <w:rsid w:val="00840FF2"/>
    <w:rsid w:val="00841439"/>
    <w:rsid w:val="00841609"/>
    <w:rsid w:val="00841619"/>
    <w:rsid w:val="00842010"/>
    <w:rsid w:val="008436A4"/>
    <w:rsid w:val="0084379E"/>
    <w:rsid w:val="00844161"/>
    <w:rsid w:val="008454F1"/>
    <w:rsid w:val="00846038"/>
    <w:rsid w:val="00846244"/>
    <w:rsid w:val="0084627F"/>
    <w:rsid w:val="00846A26"/>
    <w:rsid w:val="00847AD1"/>
    <w:rsid w:val="00847D73"/>
    <w:rsid w:val="008505D7"/>
    <w:rsid w:val="00850756"/>
    <w:rsid w:val="008510B8"/>
    <w:rsid w:val="00851B52"/>
    <w:rsid w:val="00852C46"/>
    <w:rsid w:val="00853B27"/>
    <w:rsid w:val="008562A0"/>
    <w:rsid w:val="0085660A"/>
    <w:rsid w:val="00856FF7"/>
    <w:rsid w:val="00857424"/>
    <w:rsid w:val="0085775F"/>
    <w:rsid w:val="00857AA3"/>
    <w:rsid w:val="00857D43"/>
    <w:rsid w:val="00860B68"/>
    <w:rsid w:val="00861728"/>
    <w:rsid w:val="008625CB"/>
    <w:rsid w:val="00862C8B"/>
    <w:rsid w:val="008632C0"/>
    <w:rsid w:val="0086571F"/>
    <w:rsid w:val="0086772C"/>
    <w:rsid w:val="00867D3B"/>
    <w:rsid w:val="008704E3"/>
    <w:rsid w:val="00870B22"/>
    <w:rsid w:val="0087140E"/>
    <w:rsid w:val="00871CE9"/>
    <w:rsid w:val="00871CFD"/>
    <w:rsid w:val="00872994"/>
    <w:rsid w:val="008732EC"/>
    <w:rsid w:val="00874493"/>
    <w:rsid w:val="00874DFD"/>
    <w:rsid w:val="0087541C"/>
    <w:rsid w:val="00875787"/>
    <w:rsid w:val="00875E6D"/>
    <w:rsid w:val="00875F15"/>
    <w:rsid w:val="008760A4"/>
    <w:rsid w:val="00876D92"/>
    <w:rsid w:val="008772BE"/>
    <w:rsid w:val="00880F6C"/>
    <w:rsid w:val="00881166"/>
    <w:rsid w:val="00881D0A"/>
    <w:rsid w:val="00882406"/>
    <w:rsid w:val="00882E2E"/>
    <w:rsid w:val="00883201"/>
    <w:rsid w:val="00883CF5"/>
    <w:rsid w:val="00883D73"/>
    <w:rsid w:val="00883EEA"/>
    <w:rsid w:val="00884495"/>
    <w:rsid w:val="008847C3"/>
    <w:rsid w:val="00884952"/>
    <w:rsid w:val="0088499F"/>
    <w:rsid w:val="00884C9A"/>
    <w:rsid w:val="00885C1D"/>
    <w:rsid w:val="00885CB4"/>
    <w:rsid w:val="008863FC"/>
    <w:rsid w:val="00886758"/>
    <w:rsid w:val="00887156"/>
    <w:rsid w:val="0088723B"/>
    <w:rsid w:val="0088737D"/>
    <w:rsid w:val="008875A4"/>
    <w:rsid w:val="008908A6"/>
    <w:rsid w:val="00891718"/>
    <w:rsid w:val="00891E17"/>
    <w:rsid w:val="0089249B"/>
    <w:rsid w:val="00892DDB"/>
    <w:rsid w:val="008930BE"/>
    <w:rsid w:val="0089367F"/>
    <w:rsid w:val="0089466D"/>
    <w:rsid w:val="00894EE0"/>
    <w:rsid w:val="008951A8"/>
    <w:rsid w:val="0089529E"/>
    <w:rsid w:val="0089534C"/>
    <w:rsid w:val="008968D7"/>
    <w:rsid w:val="00896DB2"/>
    <w:rsid w:val="008A0E21"/>
    <w:rsid w:val="008A1DDA"/>
    <w:rsid w:val="008A1EB8"/>
    <w:rsid w:val="008A2168"/>
    <w:rsid w:val="008A2218"/>
    <w:rsid w:val="008A25F1"/>
    <w:rsid w:val="008A2701"/>
    <w:rsid w:val="008A49D7"/>
    <w:rsid w:val="008A4C71"/>
    <w:rsid w:val="008A5FB2"/>
    <w:rsid w:val="008A7A92"/>
    <w:rsid w:val="008A7D0D"/>
    <w:rsid w:val="008A7E55"/>
    <w:rsid w:val="008B0F95"/>
    <w:rsid w:val="008B13DF"/>
    <w:rsid w:val="008B1C49"/>
    <w:rsid w:val="008B1ED0"/>
    <w:rsid w:val="008B356B"/>
    <w:rsid w:val="008B4CD8"/>
    <w:rsid w:val="008B4E9B"/>
    <w:rsid w:val="008B52B5"/>
    <w:rsid w:val="008B568C"/>
    <w:rsid w:val="008B5993"/>
    <w:rsid w:val="008B64A6"/>
    <w:rsid w:val="008B6932"/>
    <w:rsid w:val="008B6E79"/>
    <w:rsid w:val="008B77F7"/>
    <w:rsid w:val="008B7B1D"/>
    <w:rsid w:val="008C0215"/>
    <w:rsid w:val="008C10DA"/>
    <w:rsid w:val="008C23A2"/>
    <w:rsid w:val="008C29B5"/>
    <w:rsid w:val="008C3C31"/>
    <w:rsid w:val="008C5621"/>
    <w:rsid w:val="008C60E5"/>
    <w:rsid w:val="008C7629"/>
    <w:rsid w:val="008C7677"/>
    <w:rsid w:val="008D05D9"/>
    <w:rsid w:val="008D0DFF"/>
    <w:rsid w:val="008D114D"/>
    <w:rsid w:val="008D1CEC"/>
    <w:rsid w:val="008D207A"/>
    <w:rsid w:val="008D2084"/>
    <w:rsid w:val="008D23C6"/>
    <w:rsid w:val="008D31B4"/>
    <w:rsid w:val="008D3567"/>
    <w:rsid w:val="008D3663"/>
    <w:rsid w:val="008D3952"/>
    <w:rsid w:val="008D3AAB"/>
    <w:rsid w:val="008D3F73"/>
    <w:rsid w:val="008D4F69"/>
    <w:rsid w:val="008D59F7"/>
    <w:rsid w:val="008D5A2D"/>
    <w:rsid w:val="008D6A23"/>
    <w:rsid w:val="008D7109"/>
    <w:rsid w:val="008D7F81"/>
    <w:rsid w:val="008E0181"/>
    <w:rsid w:val="008E0409"/>
    <w:rsid w:val="008E0532"/>
    <w:rsid w:val="008E1130"/>
    <w:rsid w:val="008E2080"/>
    <w:rsid w:val="008E2C29"/>
    <w:rsid w:val="008E3533"/>
    <w:rsid w:val="008E36E3"/>
    <w:rsid w:val="008E51D3"/>
    <w:rsid w:val="008E584F"/>
    <w:rsid w:val="008E742E"/>
    <w:rsid w:val="008E74BC"/>
    <w:rsid w:val="008F009E"/>
    <w:rsid w:val="008F05D8"/>
    <w:rsid w:val="008F088C"/>
    <w:rsid w:val="008F1ACD"/>
    <w:rsid w:val="008F1C36"/>
    <w:rsid w:val="008F1C6F"/>
    <w:rsid w:val="008F1F76"/>
    <w:rsid w:val="008F2E19"/>
    <w:rsid w:val="008F2E34"/>
    <w:rsid w:val="008F2E41"/>
    <w:rsid w:val="008F33AA"/>
    <w:rsid w:val="008F38FD"/>
    <w:rsid w:val="008F393B"/>
    <w:rsid w:val="008F455D"/>
    <w:rsid w:val="008F4C5C"/>
    <w:rsid w:val="008F532F"/>
    <w:rsid w:val="008F5EA6"/>
    <w:rsid w:val="008F6101"/>
    <w:rsid w:val="008F6897"/>
    <w:rsid w:val="00900567"/>
    <w:rsid w:val="009005EE"/>
    <w:rsid w:val="00900663"/>
    <w:rsid w:val="00900D2E"/>
    <w:rsid w:val="00902143"/>
    <w:rsid w:val="00903D25"/>
    <w:rsid w:val="00903EC0"/>
    <w:rsid w:val="009042F2"/>
    <w:rsid w:val="00904CAB"/>
    <w:rsid w:val="00905468"/>
    <w:rsid w:val="0090617D"/>
    <w:rsid w:val="00906591"/>
    <w:rsid w:val="00906EB7"/>
    <w:rsid w:val="0090797F"/>
    <w:rsid w:val="00910C69"/>
    <w:rsid w:val="00911040"/>
    <w:rsid w:val="00911195"/>
    <w:rsid w:val="00911F50"/>
    <w:rsid w:val="00912095"/>
    <w:rsid w:val="00912569"/>
    <w:rsid w:val="00912EC2"/>
    <w:rsid w:val="009136DA"/>
    <w:rsid w:val="00913FF8"/>
    <w:rsid w:val="009140C3"/>
    <w:rsid w:val="0091417E"/>
    <w:rsid w:val="00914799"/>
    <w:rsid w:val="00914A3A"/>
    <w:rsid w:val="009159CA"/>
    <w:rsid w:val="00916F2D"/>
    <w:rsid w:val="00917554"/>
    <w:rsid w:val="00917B84"/>
    <w:rsid w:val="00920205"/>
    <w:rsid w:val="00920835"/>
    <w:rsid w:val="00920F15"/>
    <w:rsid w:val="009214E7"/>
    <w:rsid w:val="00921949"/>
    <w:rsid w:val="00921DCD"/>
    <w:rsid w:val="0092276F"/>
    <w:rsid w:val="00922DE5"/>
    <w:rsid w:val="009230C8"/>
    <w:rsid w:val="00923C16"/>
    <w:rsid w:val="0092405A"/>
    <w:rsid w:val="00924705"/>
    <w:rsid w:val="0092673C"/>
    <w:rsid w:val="00926EC6"/>
    <w:rsid w:val="00927032"/>
    <w:rsid w:val="00930579"/>
    <w:rsid w:val="009307BC"/>
    <w:rsid w:val="00930BB1"/>
    <w:rsid w:val="009314C8"/>
    <w:rsid w:val="0093196F"/>
    <w:rsid w:val="00931B79"/>
    <w:rsid w:val="009339EC"/>
    <w:rsid w:val="009340B4"/>
    <w:rsid w:val="0093417C"/>
    <w:rsid w:val="00935285"/>
    <w:rsid w:val="009355B9"/>
    <w:rsid w:val="00935C9F"/>
    <w:rsid w:val="00936A90"/>
    <w:rsid w:val="0093712F"/>
    <w:rsid w:val="0093744D"/>
    <w:rsid w:val="0093763B"/>
    <w:rsid w:val="00940474"/>
    <w:rsid w:val="00940E8F"/>
    <w:rsid w:val="00941429"/>
    <w:rsid w:val="009416AD"/>
    <w:rsid w:val="009417D0"/>
    <w:rsid w:val="009428CB"/>
    <w:rsid w:val="00943913"/>
    <w:rsid w:val="0094506E"/>
    <w:rsid w:val="0094581F"/>
    <w:rsid w:val="0094648C"/>
    <w:rsid w:val="009470D1"/>
    <w:rsid w:val="00947CE3"/>
    <w:rsid w:val="00947FF7"/>
    <w:rsid w:val="00950704"/>
    <w:rsid w:val="00950813"/>
    <w:rsid w:val="00950F8B"/>
    <w:rsid w:val="0095143F"/>
    <w:rsid w:val="009526C6"/>
    <w:rsid w:val="00952E14"/>
    <w:rsid w:val="009536E5"/>
    <w:rsid w:val="00953893"/>
    <w:rsid w:val="00953EA9"/>
    <w:rsid w:val="00954F65"/>
    <w:rsid w:val="009562D6"/>
    <w:rsid w:val="0095630B"/>
    <w:rsid w:val="00956396"/>
    <w:rsid w:val="00956A61"/>
    <w:rsid w:val="00956B36"/>
    <w:rsid w:val="00956B6A"/>
    <w:rsid w:val="009571B4"/>
    <w:rsid w:val="009578D9"/>
    <w:rsid w:val="00960BC2"/>
    <w:rsid w:val="00960C08"/>
    <w:rsid w:val="009614BD"/>
    <w:rsid w:val="00961F13"/>
    <w:rsid w:val="00961FE2"/>
    <w:rsid w:val="00964583"/>
    <w:rsid w:val="009657FE"/>
    <w:rsid w:val="00965DC9"/>
    <w:rsid w:val="0096660E"/>
    <w:rsid w:val="009671DC"/>
    <w:rsid w:val="00970040"/>
    <w:rsid w:val="009708B5"/>
    <w:rsid w:val="00970BA5"/>
    <w:rsid w:val="00970BDC"/>
    <w:rsid w:val="00970CE1"/>
    <w:rsid w:val="00971727"/>
    <w:rsid w:val="00971980"/>
    <w:rsid w:val="00971DBA"/>
    <w:rsid w:val="00971F5E"/>
    <w:rsid w:val="00972BDD"/>
    <w:rsid w:val="00973219"/>
    <w:rsid w:val="009747BC"/>
    <w:rsid w:val="00974B5A"/>
    <w:rsid w:val="00975224"/>
    <w:rsid w:val="00975ED0"/>
    <w:rsid w:val="00975FB6"/>
    <w:rsid w:val="009769C3"/>
    <w:rsid w:val="00976DAF"/>
    <w:rsid w:val="00976DF2"/>
    <w:rsid w:val="00977CA4"/>
    <w:rsid w:val="00980BE4"/>
    <w:rsid w:val="00980BF8"/>
    <w:rsid w:val="009818F6"/>
    <w:rsid w:val="0098211B"/>
    <w:rsid w:val="00983188"/>
    <w:rsid w:val="0098323E"/>
    <w:rsid w:val="009833C7"/>
    <w:rsid w:val="00983671"/>
    <w:rsid w:val="00983EAA"/>
    <w:rsid w:val="00985AE1"/>
    <w:rsid w:val="0098614B"/>
    <w:rsid w:val="009863C3"/>
    <w:rsid w:val="0098654C"/>
    <w:rsid w:val="00986FE0"/>
    <w:rsid w:val="0098716E"/>
    <w:rsid w:val="00987703"/>
    <w:rsid w:val="00987AE1"/>
    <w:rsid w:val="00990B52"/>
    <w:rsid w:val="00990BDE"/>
    <w:rsid w:val="00992713"/>
    <w:rsid w:val="00992913"/>
    <w:rsid w:val="00994930"/>
    <w:rsid w:val="00994B7A"/>
    <w:rsid w:val="00997098"/>
    <w:rsid w:val="0099731F"/>
    <w:rsid w:val="009A0750"/>
    <w:rsid w:val="009A221C"/>
    <w:rsid w:val="009A3970"/>
    <w:rsid w:val="009A4651"/>
    <w:rsid w:val="009A49A2"/>
    <w:rsid w:val="009A4D02"/>
    <w:rsid w:val="009A52BF"/>
    <w:rsid w:val="009A6DC5"/>
    <w:rsid w:val="009A7566"/>
    <w:rsid w:val="009A7D71"/>
    <w:rsid w:val="009B0013"/>
    <w:rsid w:val="009B0E4F"/>
    <w:rsid w:val="009B0F23"/>
    <w:rsid w:val="009B17EC"/>
    <w:rsid w:val="009B1EEE"/>
    <w:rsid w:val="009B2851"/>
    <w:rsid w:val="009B2DD8"/>
    <w:rsid w:val="009B3D1D"/>
    <w:rsid w:val="009B3FBB"/>
    <w:rsid w:val="009B5A1C"/>
    <w:rsid w:val="009B664A"/>
    <w:rsid w:val="009B7262"/>
    <w:rsid w:val="009B73DC"/>
    <w:rsid w:val="009C04FC"/>
    <w:rsid w:val="009C2D78"/>
    <w:rsid w:val="009C3935"/>
    <w:rsid w:val="009C5C71"/>
    <w:rsid w:val="009C5DCE"/>
    <w:rsid w:val="009C67FD"/>
    <w:rsid w:val="009C68CB"/>
    <w:rsid w:val="009C75C0"/>
    <w:rsid w:val="009C760D"/>
    <w:rsid w:val="009C769F"/>
    <w:rsid w:val="009C7F7C"/>
    <w:rsid w:val="009D013B"/>
    <w:rsid w:val="009D04B1"/>
    <w:rsid w:val="009D09E5"/>
    <w:rsid w:val="009D0A95"/>
    <w:rsid w:val="009D0B7A"/>
    <w:rsid w:val="009D27D6"/>
    <w:rsid w:val="009D2856"/>
    <w:rsid w:val="009D2D1C"/>
    <w:rsid w:val="009D2E94"/>
    <w:rsid w:val="009D3E19"/>
    <w:rsid w:val="009D48CC"/>
    <w:rsid w:val="009D5551"/>
    <w:rsid w:val="009D5DA2"/>
    <w:rsid w:val="009D7624"/>
    <w:rsid w:val="009D7CE7"/>
    <w:rsid w:val="009D7CFD"/>
    <w:rsid w:val="009E069E"/>
    <w:rsid w:val="009E07D9"/>
    <w:rsid w:val="009E09BD"/>
    <w:rsid w:val="009E1FF1"/>
    <w:rsid w:val="009E27F4"/>
    <w:rsid w:val="009E37EB"/>
    <w:rsid w:val="009E429A"/>
    <w:rsid w:val="009E42CF"/>
    <w:rsid w:val="009E4437"/>
    <w:rsid w:val="009E5F08"/>
    <w:rsid w:val="009E5FE9"/>
    <w:rsid w:val="009E66DE"/>
    <w:rsid w:val="009E67E5"/>
    <w:rsid w:val="009E6BAF"/>
    <w:rsid w:val="009F09F1"/>
    <w:rsid w:val="009F1A36"/>
    <w:rsid w:val="009F1E72"/>
    <w:rsid w:val="009F230A"/>
    <w:rsid w:val="009F3197"/>
    <w:rsid w:val="009F4335"/>
    <w:rsid w:val="009F4DD9"/>
    <w:rsid w:val="009F51EF"/>
    <w:rsid w:val="009F5752"/>
    <w:rsid w:val="009F5F40"/>
    <w:rsid w:val="009F603A"/>
    <w:rsid w:val="009F6649"/>
    <w:rsid w:val="009F7216"/>
    <w:rsid w:val="009F7497"/>
    <w:rsid w:val="00A00386"/>
    <w:rsid w:val="00A00DD6"/>
    <w:rsid w:val="00A00E73"/>
    <w:rsid w:val="00A011B7"/>
    <w:rsid w:val="00A0230E"/>
    <w:rsid w:val="00A027AF"/>
    <w:rsid w:val="00A027E3"/>
    <w:rsid w:val="00A02815"/>
    <w:rsid w:val="00A02911"/>
    <w:rsid w:val="00A0365B"/>
    <w:rsid w:val="00A038E7"/>
    <w:rsid w:val="00A03A81"/>
    <w:rsid w:val="00A04AB4"/>
    <w:rsid w:val="00A04F4E"/>
    <w:rsid w:val="00A05FB6"/>
    <w:rsid w:val="00A0685D"/>
    <w:rsid w:val="00A07270"/>
    <w:rsid w:val="00A0728D"/>
    <w:rsid w:val="00A07D22"/>
    <w:rsid w:val="00A10D63"/>
    <w:rsid w:val="00A138B5"/>
    <w:rsid w:val="00A14E3E"/>
    <w:rsid w:val="00A1558E"/>
    <w:rsid w:val="00A15A19"/>
    <w:rsid w:val="00A15BBD"/>
    <w:rsid w:val="00A16647"/>
    <w:rsid w:val="00A16AE1"/>
    <w:rsid w:val="00A179C1"/>
    <w:rsid w:val="00A17B40"/>
    <w:rsid w:val="00A2016C"/>
    <w:rsid w:val="00A2105D"/>
    <w:rsid w:val="00A212C4"/>
    <w:rsid w:val="00A2181D"/>
    <w:rsid w:val="00A21BE5"/>
    <w:rsid w:val="00A21EEF"/>
    <w:rsid w:val="00A2240D"/>
    <w:rsid w:val="00A2294E"/>
    <w:rsid w:val="00A22D92"/>
    <w:rsid w:val="00A235BD"/>
    <w:rsid w:val="00A23998"/>
    <w:rsid w:val="00A23D27"/>
    <w:rsid w:val="00A23EB5"/>
    <w:rsid w:val="00A245D0"/>
    <w:rsid w:val="00A24673"/>
    <w:rsid w:val="00A2529F"/>
    <w:rsid w:val="00A252E2"/>
    <w:rsid w:val="00A26A8C"/>
    <w:rsid w:val="00A2732D"/>
    <w:rsid w:val="00A27619"/>
    <w:rsid w:val="00A2794D"/>
    <w:rsid w:val="00A27A6E"/>
    <w:rsid w:val="00A3037E"/>
    <w:rsid w:val="00A3078A"/>
    <w:rsid w:val="00A30DF7"/>
    <w:rsid w:val="00A310A7"/>
    <w:rsid w:val="00A31110"/>
    <w:rsid w:val="00A321A2"/>
    <w:rsid w:val="00A3338C"/>
    <w:rsid w:val="00A33B74"/>
    <w:rsid w:val="00A33F1F"/>
    <w:rsid w:val="00A34635"/>
    <w:rsid w:val="00A3532D"/>
    <w:rsid w:val="00A3596F"/>
    <w:rsid w:val="00A364F4"/>
    <w:rsid w:val="00A36FC4"/>
    <w:rsid w:val="00A372C6"/>
    <w:rsid w:val="00A41587"/>
    <w:rsid w:val="00A429AA"/>
    <w:rsid w:val="00A42E4C"/>
    <w:rsid w:val="00A43127"/>
    <w:rsid w:val="00A431F8"/>
    <w:rsid w:val="00A43200"/>
    <w:rsid w:val="00A46114"/>
    <w:rsid w:val="00A46E5E"/>
    <w:rsid w:val="00A4745D"/>
    <w:rsid w:val="00A47AA8"/>
    <w:rsid w:val="00A50607"/>
    <w:rsid w:val="00A50898"/>
    <w:rsid w:val="00A51BFF"/>
    <w:rsid w:val="00A51D95"/>
    <w:rsid w:val="00A520E1"/>
    <w:rsid w:val="00A5218B"/>
    <w:rsid w:val="00A52603"/>
    <w:rsid w:val="00A52DD9"/>
    <w:rsid w:val="00A52FD6"/>
    <w:rsid w:val="00A541CC"/>
    <w:rsid w:val="00A54576"/>
    <w:rsid w:val="00A55C0E"/>
    <w:rsid w:val="00A55C31"/>
    <w:rsid w:val="00A55E60"/>
    <w:rsid w:val="00A5606A"/>
    <w:rsid w:val="00A56DCF"/>
    <w:rsid w:val="00A57C83"/>
    <w:rsid w:val="00A60A29"/>
    <w:rsid w:val="00A612CF"/>
    <w:rsid w:val="00A61E45"/>
    <w:rsid w:val="00A62FD5"/>
    <w:rsid w:val="00A632B9"/>
    <w:rsid w:val="00A63319"/>
    <w:rsid w:val="00A63EAA"/>
    <w:rsid w:val="00A64E25"/>
    <w:rsid w:val="00A6557B"/>
    <w:rsid w:val="00A65A23"/>
    <w:rsid w:val="00A65F00"/>
    <w:rsid w:val="00A66AFB"/>
    <w:rsid w:val="00A6754A"/>
    <w:rsid w:val="00A67790"/>
    <w:rsid w:val="00A67F8B"/>
    <w:rsid w:val="00A7016A"/>
    <w:rsid w:val="00A704FC"/>
    <w:rsid w:val="00A70954"/>
    <w:rsid w:val="00A70A64"/>
    <w:rsid w:val="00A71250"/>
    <w:rsid w:val="00A71E21"/>
    <w:rsid w:val="00A722EA"/>
    <w:rsid w:val="00A728D6"/>
    <w:rsid w:val="00A7399B"/>
    <w:rsid w:val="00A73CC6"/>
    <w:rsid w:val="00A745F2"/>
    <w:rsid w:val="00A764F1"/>
    <w:rsid w:val="00A76A2E"/>
    <w:rsid w:val="00A77CF3"/>
    <w:rsid w:val="00A8033D"/>
    <w:rsid w:val="00A803C7"/>
    <w:rsid w:val="00A80D15"/>
    <w:rsid w:val="00A811E8"/>
    <w:rsid w:val="00A81382"/>
    <w:rsid w:val="00A81C4E"/>
    <w:rsid w:val="00A81FF7"/>
    <w:rsid w:val="00A826C9"/>
    <w:rsid w:val="00A828C9"/>
    <w:rsid w:val="00A82CA9"/>
    <w:rsid w:val="00A82D62"/>
    <w:rsid w:val="00A82F3F"/>
    <w:rsid w:val="00A83401"/>
    <w:rsid w:val="00A83445"/>
    <w:rsid w:val="00A834BF"/>
    <w:rsid w:val="00A8360E"/>
    <w:rsid w:val="00A84CC1"/>
    <w:rsid w:val="00A854EE"/>
    <w:rsid w:val="00A903C8"/>
    <w:rsid w:val="00A91B70"/>
    <w:rsid w:val="00A939DE"/>
    <w:rsid w:val="00A93E98"/>
    <w:rsid w:val="00A93EAF"/>
    <w:rsid w:val="00A952EA"/>
    <w:rsid w:val="00A956C7"/>
    <w:rsid w:val="00A956D5"/>
    <w:rsid w:val="00A958A5"/>
    <w:rsid w:val="00A971F8"/>
    <w:rsid w:val="00A9739A"/>
    <w:rsid w:val="00A97B21"/>
    <w:rsid w:val="00AA04D8"/>
    <w:rsid w:val="00AA145D"/>
    <w:rsid w:val="00AA19FE"/>
    <w:rsid w:val="00AA1CC0"/>
    <w:rsid w:val="00AA24BD"/>
    <w:rsid w:val="00AA2A27"/>
    <w:rsid w:val="00AA490F"/>
    <w:rsid w:val="00AA4989"/>
    <w:rsid w:val="00AA539D"/>
    <w:rsid w:val="00AA5550"/>
    <w:rsid w:val="00AA59E9"/>
    <w:rsid w:val="00AA5BC2"/>
    <w:rsid w:val="00AA6491"/>
    <w:rsid w:val="00AA65AD"/>
    <w:rsid w:val="00AA79BE"/>
    <w:rsid w:val="00AB07AC"/>
    <w:rsid w:val="00AB19DD"/>
    <w:rsid w:val="00AB1AAE"/>
    <w:rsid w:val="00AB2E02"/>
    <w:rsid w:val="00AB393C"/>
    <w:rsid w:val="00AB4143"/>
    <w:rsid w:val="00AB488E"/>
    <w:rsid w:val="00AB4A58"/>
    <w:rsid w:val="00AB4B24"/>
    <w:rsid w:val="00AB5067"/>
    <w:rsid w:val="00AB5E90"/>
    <w:rsid w:val="00AB6072"/>
    <w:rsid w:val="00AB617A"/>
    <w:rsid w:val="00AB68CA"/>
    <w:rsid w:val="00AB6943"/>
    <w:rsid w:val="00AB7D4D"/>
    <w:rsid w:val="00AC1807"/>
    <w:rsid w:val="00AC1D9E"/>
    <w:rsid w:val="00AC1DAE"/>
    <w:rsid w:val="00AC1EE9"/>
    <w:rsid w:val="00AC3132"/>
    <w:rsid w:val="00AC448D"/>
    <w:rsid w:val="00AC5010"/>
    <w:rsid w:val="00AC52E3"/>
    <w:rsid w:val="00AC58B4"/>
    <w:rsid w:val="00AC6C3A"/>
    <w:rsid w:val="00AC7012"/>
    <w:rsid w:val="00AC7694"/>
    <w:rsid w:val="00AD032F"/>
    <w:rsid w:val="00AD19BD"/>
    <w:rsid w:val="00AD2DF4"/>
    <w:rsid w:val="00AD3125"/>
    <w:rsid w:val="00AD410E"/>
    <w:rsid w:val="00AD4BB3"/>
    <w:rsid w:val="00AD4F75"/>
    <w:rsid w:val="00AD555B"/>
    <w:rsid w:val="00AD62D4"/>
    <w:rsid w:val="00AD693F"/>
    <w:rsid w:val="00AD78C6"/>
    <w:rsid w:val="00AE076B"/>
    <w:rsid w:val="00AE0896"/>
    <w:rsid w:val="00AE0B92"/>
    <w:rsid w:val="00AE0D65"/>
    <w:rsid w:val="00AE0EDD"/>
    <w:rsid w:val="00AE16A0"/>
    <w:rsid w:val="00AE18B3"/>
    <w:rsid w:val="00AE18D3"/>
    <w:rsid w:val="00AE193F"/>
    <w:rsid w:val="00AE1BFE"/>
    <w:rsid w:val="00AE2492"/>
    <w:rsid w:val="00AE25D9"/>
    <w:rsid w:val="00AE2DBB"/>
    <w:rsid w:val="00AE30DE"/>
    <w:rsid w:val="00AE3EE8"/>
    <w:rsid w:val="00AE408F"/>
    <w:rsid w:val="00AE5086"/>
    <w:rsid w:val="00AE5CBE"/>
    <w:rsid w:val="00AE60C6"/>
    <w:rsid w:val="00AE6F9E"/>
    <w:rsid w:val="00AE72A4"/>
    <w:rsid w:val="00AE7DB5"/>
    <w:rsid w:val="00AE7E59"/>
    <w:rsid w:val="00AF0DD4"/>
    <w:rsid w:val="00AF19A0"/>
    <w:rsid w:val="00AF2A89"/>
    <w:rsid w:val="00AF361A"/>
    <w:rsid w:val="00AF37CB"/>
    <w:rsid w:val="00AF4EB8"/>
    <w:rsid w:val="00AF56DB"/>
    <w:rsid w:val="00AF57A1"/>
    <w:rsid w:val="00AF59C8"/>
    <w:rsid w:val="00AF5D37"/>
    <w:rsid w:val="00AF66EB"/>
    <w:rsid w:val="00AF679C"/>
    <w:rsid w:val="00AF6CB1"/>
    <w:rsid w:val="00AF6F24"/>
    <w:rsid w:val="00AF79EA"/>
    <w:rsid w:val="00B01117"/>
    <w:rsid w:val="00B01816"/>
    <w:rsid w:val="00B01A94"/>
    <w:rsid w:val="00B01E24"/>
    <w:rsid w:val="00B038B7"/>
    <w:rsid w:val="00B044CF"/>
    <w:rsid w:val="00B04BA2"/>
    <w:rsid w:val="00B04E9B"/>
    <w:rsid w:val="00B05290"/>
    <w:rsid w:val="00B058F2"/>
    <w:rsid w:val="00B05D3D"/>
    <w:rsid w:val="00B06B40"/>
    <w:rsid w:val="00B07386"/>
    <w:rsid w:val="00B0757A"/>
    <w:rsid w:val="00B07D24"/>
    <w:rsid w:val="00B07D3B"/>
    <w:rsid w:val="00B10007"/>
    <w:rsid w:val="00B10832"/>
    <w:rsid w:val="00B113C4"/>
    <w:rsid w:val="00B1150E"/>
    <w:rsid w:val="00B128D7"/>
    <w:rsid w:val="00B12D6A"/>
    <w:rsid w:val="00B131F5"/>
    <w:rsid w:val="00B14335"/>
    <w:rsid w:val="00B146ED"/>
    <w:rsid w:val="00B14745"/>
    <w:rsid w:val="00B172B9"/>
    <w:rsid w:val="00B2023A"/>
    <w:rsid w:val="00B204C4"/>
    <w:rsid w:val="00B2060D"/>
    <w:rsid w:val="00B2068B"/>
    <w:rsid w:val="00B20AC8"/>
    <w:rsid w:val="00B20C4A"/>
    <w:rsid w:val="00B20FF5"/>
    <w:rsid w:val="00B2267D"/>
    <w:rsid w:val="00B23059"/>
    <w:rsid w:val="00B25B31"/>
    <w:rsid w:val="00B25D53"/>
    <w:rsid w:val="00B25F49"/>
    <w:rsid w:val="00B274E7"/>
    <w:rsid w:val="00B276BA"/>
    <w:rsid w:val="00B27D77"/>
    <w:rsid w:val="00B3136E"/>
    <w:rsid w:val="00B3224E"/>
    <w:rsid w:val="00B32368"/>
    <w:rsid w:val="00B3297E"/>
    <w:rsid w:val="00B33146"/>
    <w:rsid w:val="00B338BB"/>
    <w:rsid w:val="00B33A43"/>
    <w:rsid w:val="00B33E0A"/>
    <w:rsid w:val="00B340A1"/>
    <w:rsid w:val="00B34298"/>
    <w:rsid w:val="00B34BC6"/>
    <w:rsid w:val="00B352AE"/>
    <w:rsid w:val="00B35B97"/>
    <w:rsid w:val="00B35BE7"/>
    <w:rsid w:val="00B35C4C"/>
    <w:rsid w:val="00B360DF"/>
    <w:rsid w:val="00B36AB7"/>
    <w:rsid w:val="00B37550"/>
    <w:rsid w:val="00B37E7C"/>
    <w:rsid w:val="00B4079E"/>
    <w:rsid w:val="00B409AF"/>
    <w:rsid w:val="00B413BD"/>
    <w:rsid w:val="00B432A5"/>
    <w:rsid w:val="00B44C7A"/>
    <w:rsid w:val="00B46047"/>
    <w:rsid w:val="00B46A19"/>
    <w:rsid w:val="00B46BCA"/>
    <w:rsid w:val="00B509FF"/>
    <w:rsid w:val="00B5194E"/>
    <w:rsid w:val="00B5226E"/>
    <w:rsid w:val="00B53087"/>
    <w:rsid w:val="00B53267"/>
    <w:rsid w:val="00B53DBF"/>
    <w:rsid w:val="00B5471A"/>
    <w:rsid w:val="00B54954"/>
    <w:rsid w:val="00B56138"/>
    <w:rsid w:val="00B6022D"/>
    <w:rsid w:val="00B607C0"/>
    <w:rsid w:val="00B61C4B"/>
    <w:rsid w:val="00B61C7E"/>
    <w:rsid w:val="00B63934"/>
    <w:rsid w:val="00B64F9D"/>
    <w:rsid w:val="00B653EC"/>
    <w:rsid w:val="00B65568"/>
    <w:rsid w:val="00B666AB"/>
    <w:rsid w:val="00B66EC0"/>
    <w:rsid w:val="00B6773D"/>
    <w:rsid w:val="00B72124"/>
    <w:rsid w:val="00B72140"/>
    <w:rsid w:val="00B72268"/>
    <w:rsid w:val="00B745E0"/>
    <w:rsid w:val="00B755FD"/>
    <w:rsid w:val="00B758B8"/>
    <w:rsid w:val="00B7658D"/>
    <w:rsid w:val="00B7776A"/>
    <w:rsid w:val="00B778AA"/>
    <w:rsid w:val="00B800F5"/>
    <w:rsid w:val="00B806A3"/>
    <w:rsid w:val="00B8098A"/>
    <w:rsid w:val="00B80E75"/>
    <w:rsid w:val="00B81553"/>
    <w:rsid w:val="00B81794"/>
    <w:rsid w:val="00B82311"/>
    <w:rsid w:val="00B82F31"/>
    <w:rsid w:val="00B83265"/>
    <w:rsid w:val="00B84464"/>
    <w:rsid w:val="00B8456C"/>
    <w:rsid w:val="00B872BE"/>
    <w:rsid w:val="00B90F8C"/>
    <w:rsid w:val="00B92633"/>
    <w:rsid w:val="00B92B00"/>
    <w:rsid w:val="00B92BD1"/>
    <w:rsid w:val="00B92E8C"/>
    <w:rsid w:val="00B935A4"/>
    <w:rsid w:val="00B93891"/>
    <w:rsid w:val="00B93D6F"/>
    <w:rsid w:val="00B93E60"/>
    <w:rsid w:val="00B94097"/>
    <w:rsid w:val="00B949B7"/>
    <w:rsid w:val="00B95415"/>
    <w:rsid w:val="00B9566C"/>
    <w:rsid w:val="00B9579A"/>
    <w:rsid w:val="00B9656F"/>
    <w:rsid w:val="00B96B42"/>
    <w:rsid w:val="00B973AC"/>
    <w:rsid w:val="00BA045E"/>
    <w:rsid w:val="00BA0B91"/>
    <w:rsid w:val="00BA0DDC"/>
    <w:rsid w:val="00BA18D2"/>
    <w:rsid w:val="00BA216E"/>
    <w:rsid w:val="00BA3436"/>
    <w:rsid w:val="00BA34C9"/>
    <w:rsid w:val="00BA39AE"/>
    <w:rsid w:val="00BA39EA"/>
    <w:rsid w:val="00BA3F15"/>
    <w:rsid w:val="00BA3F40"/>
    <w:rsid w:val="00BA5634"/>
    <w:rsid w:val="00BA6295"/>
    <w:rsid w:val="00BA687D"/>
    <w:rsid w:val="00BA7353"/>
    <w:rsid w:val="00BA75C5"/>
    <w:rsid w:val="00BA7DD2"/>
    <w:rsid w:val="00BB03B5"/>
    <w:rsid w:val="00BB073C"/>
    <w:rsid w:val="00BB09C2"/>
    <w:rsid w:val="00BB0C7C"/>
    <w:rsid w:val="00BB0E3E"/>
    <w:rsid w:val="00BB1770"/>
    <w:rsid w:val="00BB1E35"/>
    <w:rsid w:val="00BB27D6"/>
    <w:rsid w:val="00BB2860"/>
    <w:rsid w:val="00BB3518"/>
    <w:rsid w:val="00BB46FD"/>
    <w:rsid w:val="00BB4A68"/>
    <w:rsid w:val="00BB4D50"/>
    <w:rsid w:val="00BB5B33"/>
    <w:rsid w:val="00BB5E43"/>
    <w:rsid w:val="00BB697E"/>
    <w:rsid w:val="00BB6BE8"/>
    <w:rsid w:val="00BB6E3B"/>
    <w:rsid w:val="00BB7F63"/>
    <w:rsid w:val="00BC0EB0"/>
    <w:rsid w:val="00BC1209"/>
    <w:rsid w:val="00BC2D4C"/>
    <w:rsid w:val="00BC2E2D"/>
    <w:rsid w:val="00BC4194"/>
    <w:rsid w:val="00BC4326"/>
    <w:rsid w:val="00BC471D"/>
    <w:rsid w:val="00BC4D2D"/>
    <w:rsid w:val="00BC502A"/>
    <w:rsid w:val="00BC56BA"/>
    <w:rsid w:val="00BC5B9A"/>
    <w:rsid w:val="00BC70CD"/>
    <w:rsid w:val="00BC76A1"/>
    <w:rsid w:val="00BC7C48"/>
    <w:rsid w:val="00BC7EA8"/>
    <w:rsid w:val="00BD0AED"/>
    <w:rsid w:val="00BD0C2C"/>
    <w:rsid w:val="00BD10E4"/>
    <w:rsid w:val="00BD113A"/>
    <w:rsid w:val="00BD154F"/>
    <w:rsid w:val="00BD1F84"/>
    <w:rsid w:val="00BD33E3"/>
    <w:rsid w:val="00BD3FD1"/>
    <w:rsid w:val="00BD4C05"/>
    <w:rsid w:val="00BD5377"/>
    <w:rsid w:val="00BD54ED"/>
    <w:rsid w:val="00BD5737"/>
    <w:rsid w:val="00BD5AF5"/>
    <w:rsid w:val="00BD5C2D"/>
    <w:rsid w:val="00BD744E"/>
    <w:rsid w:val="00BD7AF2"/>
    <w:rsid w:val="00BE029D"/>
    <w:rsid w:val="00BE05BB"/>
    <w:rsid w:val="00BE1200"/>
    <w:rsid w:val="00BE175F"/>
    <w:rsid w:val="00BE2082"/>
    <w:rsid w:val="00BE22E0"/>
    <w:rsid w:val="00BE3D7E"/>
    <w:rsid w:val="00BE3F08"/>
    <w:rsid w:val="00BE4217"/>
    <w:rsid w:val="00BE44BA"/>
    <w:rsid w:val="00BE463D"/>
    <w:rsid w:val="00BE7662"/>
    <w:rsid w:val="00BF00A6"/>
    <w:rsid w:val="00BF075A"/>
    <w:rsid w:val="00BF0A47"/>
    <w:rsid w:val="00BF0CC5"/>
    <w:rsid w:val="00BF117A"/>
    <w:rsid w:val="00BF1407"/>
    <w:rsid w:val="00BF2589"/>
    <w:rsid w:val="00BF3A02"/>
    <w:rsid w:val="00BF40A8"/>
    <w:rsid w:val="00BF41B2"/>
    <w:rsid w:val="00BF69EA"/>
    <w:rsid w:val="00BF6E06"/>
    <w:rsid w:val="00BF79B4"/>
    <w:rsid w:val="00C00F79"/>
    <w:rsid w:val="00C010B4"/>
    <w:rsid w:val="00C01104"/>
    <w:rsid w:val="00C021AE"/>
    <w:rsid w:val="00C0315C"/>
    <w:rsid w:val="00C04709"/>
    <w:rsid w:val="00C05330"/>
    <w:rsid w:val="00C05D01"/>
    <w:rsid w:val="00C06E91"/>
    <w:rsid w:val="00C07FC4"/>
    <w:rsid w:val="00C10264"/>
    <w:rsid w:val="00C108B0"/>
    <w:rsid w:val="00C11B0B"/>
    <w:rsid w:val="00C11D7B"/>
    <w:rsid w:val="00C12625"/>
    <w:rsid w:val="00C12CFE"/>
    <w:rsid w:val="00C14194"/>
    <w:rsid w:val="00C141EB"/>
    <w:rsid w:val="00C14719"/>
    <w:rsid w:val="00C14BAC"/>
    <w:rsid w:val="00C15058"/>
    <w:rsid w:val="00C15116"/>
    <w:rsid w:val="00C15D84"/>
    <w:rsid w:val="00C16345"/>
    <w:rsid w:val="00C175EC"/>
    <w:rsid w:val="00C205E5"/>
    <w:rsid w:val="00C206E3"/>
    <w:rsid w:val="00C2114B"/>
    <w:rsid w:val="00C2185A"/>
    <w:rsid w:val="00C221C5"/>
    <w:rsid w:val="00C226F3"/>
    <w:rsid w:val="00C248CA"/>
    <w:rsid w:val="00C24DDB"/>
    <w:rsid w:val="00C26F4A"/>
    <w:rsid w:val="00C27668"/>
    <w:rsid w:val="00C278D5"/>
    <w:rsid w:val="00C27F21"/>
    <w:rsid w:val="00C31031"/>
    <w:rsid w:val="00C332D0"/>
    <w:rsid w:val="00C333A9"/>
    <w:rsid w:val="00C3463A"/>
    <w:rsid w:val="00C346C4"/>
    <w:rsid w:val="00C367A3"/>
    <w:rsid w:val="00C36BD4"/>
    <w:rsid w:val="00C37693"/>
    <w:rsid w:val="00C37D23"/>
    <w:rsid w:val="00C40F10"/>
    <w:rsid w:val="00C413DB"/>
    <w:rsid w:val="00C41AE7"/>
    <w:rsid w:val="00C425A7"/>
    <w:rsid w:val="00C42FFC"/>
    <w:rsid w:val="00C4302C"/>
    <w:rsid w:val="00C432F5"/>
    <w:rsid w:val="00C43598"/>
    <w:rsid w:val="00C4465E"/>
    <w:rsid w:val="00C452B6"/>
    <w:rsid w:val="00C4699F"/>
    <w:rsid w:val="00C47419"/>
    <w:rsid w:val="00C517EC"/>
    <w:rsid w:val="00C520ED"/>
    <w:rsid w:val="00C52110"/>
    <w:rsid w:val="00C521A3"/>
    <w:rsid w:val="00C5297B"/>
    <w:rsid w:val="00C52CCA"/>
    <w:rsid w:val="00C53043"/>
    <w:rsid w:val="00C5316B"/>
    <w:rsid w:val="00C541D2"/>
    <w:rsid w:val="00C54A08"/>
    <w:rsid w:val="00C54B7B"/>
    <w:rsid w:val="00C551AF"/>
    <w:rsid w:val="00C56D60"/>
    <w:rsid w:val="00C571F6"/>
    <w:rsid w:val="00C5751B"/>
    <w:rsid w:val="00C6067C"/>
    <w:rsid w:val="00C615C8"/>
    <w:rsid w:val="00C61A5A"/>
    <w:rsid w:val="00C622C5"/>
    <w:rsid w:val="00C62FE0"/>
    <w:rsid w:val="00C63736"/>
    <w:rsid w:val="00C63FEE"/>
    <w:rsid w:val="00C64668"/>
    <w:rsid w:val="00C64669"/>
    <w:rsid w:val="00C64915"/>
    <w:rsid w:val="00C65088"/>
    <w:rsid w:val="00C65556"/>
    <w:rsid w:val="00C65D51"/>
    <w:rsid w:val="00C65F6E"/>
    <w:rsid w:val="00C662C9"/>
    <w:rsid w:val="00C66E65"/>
    <w:rsid w:val="00C67146"/>
    <w:rsid w:val="00C67731"/>
    <w:rsid w:val="00C67A10"/>
    <w:rsid w:val="00C67B98"/>
    <w:rsid w:val="00C70762"/>
    <w:rsid w:val="00C71B8B"/>
    <w:rsid w:val="00C71F6E"/>
    <w:rsid w:val="00C7377E"/>
    <w:rsid w:val="00C74772"/>
    <w:rsid w:val="00C747CA"/>
    <w:rsid w:val="00C757C6"/>
    <w:rsid w:val="00C758ED"/>
    <w:rsid w:val="00C76423"/>
    <w:rsid w:val="00C76A00"/>
    <w:rsid w:val="00C776F3"/>
    <w:rsid w:val="00C77C47"/>
    <w:rsid w:val="00C8013D"/>
    <w:rsid w:val="00C80F18"/>
    <w:rsid w:val="00C82D0D"/>
    <w:rsid w:val="00C83527"/>
    <w:rsid w:val="00C83838"/>
    <w:rsid w:val="00C83D98"/>
    <w:rsid w:val="00C843D8"/>
    <w:rsid w:val="00C85E86"/>
    <w:rsid w:val="00C8734E"/>
    <w:rsid w:val="00C87527"/>
    <w:rsid w:val="00C8782D"/>
    <w:rsid w:val="00C908F3"/>
    <w:rsid w:val="00C90A9A"/>
    <w:rsid w:val="00C90BBD"/>
    <w:rsid w:val="00C917DF"/>
    <w:rsid w:val="00C91DFA"/>
    <w:rsid w:val="00C92640"/>
    <w:rsid w:val="00C9278A"/>
    <w:rsid w:val="00C939A1"/>
    <w:rsid w:val="00C93B38"/>
    <w:rsid w:val="00C93E4C"/>
    <w:rsid w:val="00C94E77"/>
    <w:rsid w:val="00C951AE"/>
    <w:rsid w:val="00C953DA"/>
    <w:rsid w:val="00C959FD"/>
    <w:rsid w:val="00C96481"/>
    <w:rsid w:val="00CA09C2"/>
    <w:rsid w:val="00CA1846"/>
    <w:rsid w:val="00CA2D7D"/>
    <w:rsid w:val="00CA3F59"/>
    <w:rsid w:val="00CA406D"/>
    <w:rsid w:val="00CA505E"/>
    <w:rsid w:val="00CA519A"/>
    <w:rsid w:val="00CA5289"/>
    <w:rsid w:val="00CA5709"/>
    <w:rsid w:val="00CA5F79"/>
    <w:rsid w:val="00CA6A11"/>
    <w:rsid w:val="00CA7A14"/>
    <w:rsid w:val="00CA7D0C"/>
    <w:rsid w:val="00CB1732"/>
    <w:rsid w:val="00CB1E40"/>
    <w:rsid w:val="00CB23A1"/>
    <w:rsid w:val="00CB2AC8"/>
    <w:rsid w:val="00CB32F7"/>
    <w:rsid w:val="00CB3579"/>
    <w:rsid w:val="00CB35B3"/>
    <w:rsid w:val="00CB4166"/>
    <w:rsid w:val="00CB44D3"/>
    <w:rsid w:val="00CB4548"/>
    <w:rsid w:val="00CB4BDE"/>
    <w:rsid w:val="00CB50B5"/>
    <w:rsid w:val="00CB6CCE"/>
    <w:rsid w:val="00CC026C"/>
    <w:rsid w:val="00CC08F5"/>
    <w:rsid w:val="00CC0991"/>
    <w:rsid w:val="00CC1167"/>
    <w:rsid w:val="00CC16B2"/>
    <w:rsid w:val="00CC21EF"/>
    <w:rsid w:val="00CC2831"/>
    <w:rsid w:val="00CC28CA"/>
    <w:rsid w:val="00CC3517"/>
    <w:rsid w:val="00CC3D76"/>
    <w:rsid w:val="00CC417E"/>
    <w:rsid w:val="00CC430F"/>
    <w:rsid w:val="00CC49AC"/>
    <w:rsid w:val="00CC4CC5"/>
    <w:rsid w:val="00CC5204"/>
    <w:rsid w:val="00CC57C3"/>
    <w:rsid w:val="00CC5DE4"/>
    <w:rsid w:val="00CC63D5"/>
    <w:rsid w:val="00CC6A47"/>
    <w:rsid w:val="00CC70FA"/>
    <w:rsid w:val="00CC72C8"/>
    <w:rsid w:val="00CC73C0"/>
    <w:rsid w:val="00CD0B68"/>
    <w:rsid w:val="00CD0C1B"/>
    <w:rsid w:val="00CD0EF0"/>
    <w:rsid w:val="00CD2542"/>
    <w:rsid w:val="00CD3343"/>
    <w:rsid w:val="00CD46F4"/>
    <w:rsid w:val="00CD4D4E"/>
    <w:rsid w:val="00CD6617"/>
    <w:rsid w:val="00CD67F1"/>
    <w:rsid w:val="00CD6A72"/>
    <w:rsid w:val="00CD6E0C"/>
    <w:rsid w:val="00CD72A0"/>
    <w:rsid w:val="00CD7394"/>
    <w:rsid w:val="00CE092B"/>
    <w:rsid w:val="00CE1326"/>
    <w:rsid w:val="00CE1A73"/>
    <w:rsid w:val="00CE1BCB"/>
    <w:rsid w:val="00CE25EF"/>
    <w:rsid w:val="00CE2B85"/>
    <w:rsid w:val="00CE5639"/>
    <w:rsid w:val="00CE59DF"/>
    <w:rsid w:val="00CE5C60"/>
    <w:rsid w:val="00CE60D7"/>
    <w:rsid w:val="00CE7474"/>
    <w:rsid w:val="00CF010A"/>
    <w:rsid w:val="00CF0B18"/>
    <w:rsid w:val="00CF0D80"/>
    <w:rsid w:val="00CF18B0"/>
    <w:rsid w:val="00CF1EA4"/>
    <w:rsid w:val="00CF2845"/>
    <w:rsid w:val="00CF285C"/>
    <w:rsid w:val="00CF285D"/>
    <w:rsid w:val="00CF31CC"/>
    <w:rsid w:val="00CF344B"/>
    <w:rsid w:val="00CF413F"/>
    <w:rsid w:val="00CF53F3"/>
    <w:rsid w:val="00CF5FDE"/>
    <w:rsid w:val="00CF65B9"/>
    <w:rsid w:val="00CF7D73"/>
    <w:rsid w:val="00D00065"/>
    <w:rsid w:val="00D00251"/>
    <w:rsid w:val="00D01C0E"/>
    <w:rsid w:val="00D03248"/>
    <w:rsid w:val="00D03913"/>
    <w:rsid w:val="00D0586D"/>
    <w:rsid w:val="00D05D91"/>
    <w:rsid w:val="00D05E2F"/>
    <w:rsid w:val="00D05F7C"/>
    <w:rsid w:val="00D0786B"/>
    <w:rsid w:val="00D07FB0"/>
    <w:rsid w:val="00D100AB"/>
    <w:rsid w:val="00D10B67"/>
    <w:rsid w:val="00D11BFE"/>
    <w:rsid w:val="00D124F4"/>
    <w:rsid w:val="00D1252C"/>
    <w:rsid w:val="00D1270F"/>
    <w:rsid w:val="00D12D1C"/>
    <w:rsid w:val="00D132B1"/>
    <w:rsid w:val="00D136F6"/>
    <w:rsid w:val="00D13FC2"/>
    <w:rsid w:val="00D148A4"/>
    <w:rsid w:val="00D1499B"/>
    <w:rsid w:val="00D14C4B"/>
    <w:rsid w:val="00D14F87"/>
    <w:rsid w:val="00D15134"/>
    <w:rsid w:val="00D16017"/>
    <w:rsid w:val="00D16526"/>
    <w:rsid w:val="00D17CAE"/>
    <w:rsid w:val="00D200D5"/>
    <w:rsid w:val="00D20309"/>
    <w:rsid w:val="00D205FA"/>
    <w:rsid w:val="00D20783"/>
    <w:rsid w:val="00D20AC1"/>
    <w:rsid w:val="00D20EF7"/>
    <w:rsid w:val="00D21D17"/>
    <w:rsid w:val="00D220DB"/>
    <w:rsid w:val="00D22E7A"/>
    <w:rsid w:val="00D23395"/>
    <w:rsid w:val="00D23A3A"/>
    <w:rsid w:val="00D23E91"/>
    <w:rsid w:val="00D24E5F"/>
    <w:rsid w:val="00D256F9"/>
    <w:rsid w:val="00D260E9"/>
    <w:rsid w:val="00D26419"/>
    <w:rsid w:val="00D273DE"/>
    <w:rsid w:val="00D30E80"/>
    <w:rsid w:val="00D31226"/>
    <w:rsid w:val="00D3265C"/>
    <w:rsid w:val="00D32F25"/>
    <w:rsid w:val="00D346AF"/>
    <w:rsid w:val="00D34B7F"/>
    <w:rsid w:val="00D34BAC"/>
    <w:rsid w:val="00D35BAA"/>
    <w:rsid w:val="00D37310"/>
    <w:rsid w:val="00D40200"/>
    <w:rsid w:val="00D42322"/>
    <w:rsid w:val="00D42BFA"/>
    <w:rsid w:val="00D42D39"/>
    <w:rsid w:val="00D4349A"/>
    <w:rsid w:val="00D43670"/>
    <w:rsid w:val="00D44292"/>
    <w:rsid w:val="00D44552"/>
    <w:rsid w:val="00D445E3"/>
    <w:rsid w:val="00D453E9"/>
    <w:rsid w:val="00D45B8A"/>
    <w:rsid w:val="00D462CC"/>
    <w:rsid w:val="00D4632E"/>
    <w:rsid w:val="00D47564"/>
    <w:rsid w:val="00D475E5"/>
    <w:rsid w:val="00D47844"/>
    <w:rsid w:val="00D47D25"/>
    <w:rsid w:val="00D47E17"/>
    <w:rsid w:val="00D513BC"/>
    <w:rsid w:val="00D51D44"/>
    <w:rsid w:val="00D5271B"/>
    <w:rsid w:val="00D52BB5"/>
    <w:rsid w:val="00D530DB"/>
    <w:rsid w:val="00D5324B"/>
    <w:rsid w:val="00D53AFB"/>
    <w:rsid w:val="00D5501D"/>
    <w:rsid w:val="00D550E6"/>
    <w:rsid w:val="00D55759"/>
    <w:rsid w:val="00D5648A"/>
    <w:rsid w:val="00D56527"/>
    <w:rsid w:val="00D56625"/>
    <w:rsid w:val="00D5689B"/>
    <w:rsid w:val="00D601BB"/>
    <w:rsid w:val="00D60342"/>
    <w:rsid w:val="00D63479"/>
    <w:rsid w:val="00D642D1"/>
    <w:rsid w:val="00D65150"/>
    <w:rsid w:val="00D6534E"/>
    <w:rsid w:val="00D658AE"/>
    <w:rsid w:val="00D658D6"/>
    <w:rsid w:val="00D66558"/>
    <w:rsid w:val="00D6664A"/>
    <w:rsid w:val="00D7114B"/>
    <w:rsid w:val="00D7136B"/>
    <w:rsid w:val="00D717A6"/>
    <w:rsid w:val="00D7361F"/>
    <w:rsid w:val="00D73FE6"/>
    <w:rsid w:val="00D744C7"/>
    <w:rsid w:val="00D74AC4"/>
    <w:rsid w:val="00D750A8"/>
    <w:rsid w:val="00D750FB"/>
    <w:rsid w:val="00D75151"/>
    <w:rsid w:val="00D752DD"/>
    <w:rsid w:val="00D764E2"/>
    <w:rsid w:val="00D773A1"/>
    <w:rsid w:val="00D77839"/>
    <w:rsid w:val="00D80E7F"/>
    <w:rsid w:val="00D81484"/>
    <w:rsid w:val="00D81612"/>
    <w:rsid w:val="00D8201F"/>
    <w:rsid w:val="00D82225"/>
    <w:rsid w:val="00D82627"/>
    <w:rsid w:val="00D82805"/>
    <w:rsid w:val="00D82889"/>
    <w:rsid w:val="00D8324C"/>
    <w:rsid w:val="00D832FB"/>
    <w:rsid w:val="00D83FDD"/>
    <w:rsid w:val="00D84EF9"/>
    <w:rsid w:val="00D8584A"/>
    <w:rsid w:val="00D85CD8"/>
    <w:rsid w:val="00D86EA5"/>
    <w:rsid w:val="00D8720A"/>
    <w:rsid w:val="00D90931"/>
    <w:rsid w:val="00D90D58"/>
    <w:rsid w:val="00D91DB5"/>
    <w:rsid w:val="00D922BB"/>
    <w:rsid w:val="00D9230B"/>
    <w:rsid w:val="00D93383"/>
    <w:rsid w:val="00D93592"/>
    <w:rsid w:val="00D93A6E"/>
    <w:rsid w:val="00D9422C"/>
    <w:rsid w:val="00D9497B"/>
    <w:rsid w:val="00D95116"/>
    <w:rsid w:val="00D97642"/>
    <w:rsid w:val="00DA02AE"/>
    <w:rsid w:val="00DA05F8"/>
    <w:rsid w:val="00DA0EA4"/>
    <w:rsid w:val="00DA0EF4"/>
    <w:rsid w:val="00DA1414"/>
    <w:rsid w:val="00DA193B"/>
    <w:rsid w:val="00DA3137"/>
    <w:rsid w:val="00DA3629"/>
    <w:rsid w:val="00DA37BB"/>
    <w:rsid w:val="00DA3C5D"/>
    <w:rsid w:val="00DA3DE5"/>
    <w:rsid w:val="00DA4A98"/>
    <w:rsid w:val="00DA4F3A"/>
    <w:rsid w:val="00DA532E"/>
    <w:rsid w:val="00DA6632"/>
    <w:rsid w:val="00DA699A"/>
    <w:rsid w:val="00DA7421"/>
    <w:rsid w:val="00DA779D"/>
    <w:rsid w:val="00DA7EEB"/>
    <w:rsid w:val="00DB032F"/>
    <w:rsid w:val="00DB0334"/>
    <w:rsid w:val="00DB2F00"/>
    <w:rsid w:val="00DB313B"/>
    <w:rsid w:val="00DB3172"/>
    <w:rsid w:val="00DB38D8"/>
    <w:rsid w:val="00DB3907"/>
    <w:rsid w:val="00DB3C88"/>
    <w:rsid w:val="00DB50B1"/>
    <w:rsid w:val="00DB5B0F"/>
    <w:rsid w:val="00DB5D67"/>
    <w:rsid w:val="00DB6647"/>
    <w:rsid w:val="00DB66CE"/>
    <w:rsid w:val="00DB741D"/>
    <w:rsid w:val="00DC038A"/>
    <w:rsid w:val="00DC0C19"/>
    <w:rsid w:val="00DC1299"/>
    <w:rsid w:val="00DC1493"/>
    <w:rsid w:val="00DC1B6F"/>
    <w:rsid w:val="00DC2307"/>
    <w:rsid w:val="00DC2AB7"/>
    <w:rsid w:val="00DC346E"/>
    <w:rsid w:val="00DC4D9D"/>
    <w:rsid w:val="00DC5754"/>
    <w:rsid w:val="00DC6670"/>
    <w:rsid w:val="00DC743A"/>
    <w:rsid w:val="00DD0195"/>
    <w:rsid w:val="00DD07FD"/>
    <w:rsid w:val="00DD0EAC"/>
    <w:rsid w:val="00DD2702"/>
    <w:rsid w:val="00DD48D9"/>
    <w:rsid w:val="00DD5BB6"/>
    <w:rsid w:val="00DD63F5"/>
    <w:rsid w:val="00DD684A"/>
    <w:rsid w:val="00DD779D"/>
    <w:rsid w:val="00DD7F58"/>
    <w:rsid w:val="00DE00C4"/>
    <w:rsid w:val="00DE0348"/>
    <w:rsid w:val="00DE06AD"/>
    <w:rsid w:val="00DE0857"/>
    <w:rsid w:val="00DE13D5"/>
    <w:rsid w:val="00DE1C28"/>
    <w:rsid w:val="00DE25C9"/>
    <w:rsid w:val="00DE2A5B"/>
    <w:rsid w:val="00DE3357"/>
    <w:rsid w:val="00DE39E3"/>
    <w:rsid w:val="00DE4909"/>
    <w:rsid w:val="00DE57EB"/>
    <w:rsid w:val="00DE593B"/>
    <w:rsid w:val="00DE699A"/>
    <w:rsid w:val="00DE6D06"/>
    <w:rsid w:val="00DE71DC"/>
    <w:rsid w:val="00DE7D7E"/>
    <w:rsid w:val="00DF0975"/>
    <w:rsid w:val="00DF0EF9"/>
    <w:rsid w:val="00DF0F9E"/>
    <w:rsid w:val="00DF1281"/>
    <w:rsid w:val="00DF199B"/>
    <w:rsid w:val="00DF1E2D"/>
    <w:rsid w:val="00DF201C"/>
    <w:rsid w:val="00DF255E"/>
    <w:rsid w:val="00DF49A6"/>
    <w:rsid w:val="00DF4C20"/>
    <w:rsid w:val="00DF5633"/>
    <w:rsid w:val="00DF6058"/>
    <w:rsid w:val="00DF66F0"/>
    <w:rsid w:val="00DF7A86"/>
    <w:rsid w:val="00DF7C4C"/>
    <w:rsid w:val="00DF7EB3"/>
    <w:rsid w:val="00E01B92"/>
    <w:rsid w:val="00E01F60"/>
    <w:rsid w:val="00E02049"/>
    <w:rsid w:val="00E02071"/>
    <w:rsid w:val="00E02DFC"/>
    <w:rsid w:val="00E035A8"/>
    <w:rsid w:val="00E03CCB"/>
    <w:rsid w:val="00E03E6C"/>
    <w:rsid w:val="00E04AA5"/>
    <w:rsid w:val="00E05113"/>
    <w:rsid w:val="00E0573F"/>
    <w:rsid w:val="00E0590E"/>
    <w:rsid w:val="00E05BF4"/>
    <w:rsid w:val="00E05F25"/>
    <w:rsid w:val="00E062D3"/>
    <w:rsid w:val="00E070DE"/>
    <w:rsid w:val="00E075F2"/>
    <w:rsid w:val="00E10636"/>
    <w:rsid w:val="00E10A17"/>
    <w:rsid w:val="00E11966"/>
    <w:rsid w:val="00E12206"/>
    <w:rsid w:val="00E12C9F"/>
    <w:rsid w:val="00E13333"/>
    <w:rsid w:val="00E13CE9"/>
    <w:rsid w:val="00E13F5C"/>
    <w:rsid w:val="00E14ACF"/>
    <w:rsid w:val="00E1538E"/>
    <w:rsid w:val="00E1543D"/>
    <w:rsid w:val="00E15E63"/>
    <w:rsid w:val="00E1656F"/>
    <w:rsid w:val="00E1689F"/>
    <w:rsid w:val="00E16CAC"/>
    <w:rsid w:val="00E17789"/>
    <w:rsid w:val="00E17D20"/>
    <w:rsid w:val="00E2017B"/>
    <w:rsid w:val="00E217A3"/>
    <w:rsid w:val="00E2275C"/>
    <w:rsid w:val="00E22F7D"/>
    <w:rsid w:val="00E23F81"/>
    <w:rsid w:val="00E246DB"/>
    <w:rsid w:val="00E25241"/>
    <w:rsid w:val="00E25ADF"/>
    <w:rsid w:val="00E2626B"/>
    <w:rsid w:val="00E26CF2"/>
    <w:rsid w:val="00E2797A"/>
    <w:rsid w:val="00E30137"/>
    <w:rsid w:val="00E30460"/>
    <w:rsid w:val="00E31A74"/>
    <w:rsid w:val="00E31D9B"/>
    <w:rsid w:val="00E31E1A"/>
    <w:rsid w:val="00E3348A"/>
    <w:rsid w:val="00E33CB9"/>
    <w:rsid w:val="00E343BD"/>
    <w:rsid w:val="00E34E00"/>
    <w:rsid w:val="00E34FF5"/>
    <w:rsid w:val="00E35A26"/>
    <w:rsid w:val="00E35EE3"/>
    <w:rsid w:val="00E3669C"/>
    <w:rsid w:val="00E36815"/>
    <w:rsid w:val="00E36B2F"/>
    <w:rsid w:val="00E3760A"/>
    <w:rsid w:val="00E377D8"/>
    <w:rsid w:val="00E37B09"/>
    <w:rsid w:val="00E408DB"/>
    <w:rsid w:val="00E423DD"/>
    <w:rsid w:val="00E43707"/>
    <w:rsid w:val="00E437EB"/>
    <w:rsid w:val="00E44342"/>
    <w:rsid w:val="00E4441F"/>
    <w:rsid w:val="00E446FE"/>
    <w:rsid w:val="00E44EE4"/>
    <w:rsid w:val="00E45F9D"/>
    <w:rsid w:val="00E47D6D"/>
    <w:rsid w:val="00E500C3"/>
    <w:rsid w:val="00E5052F"/>
    <w:rsid w:val="00E506F9"/>
    <w:rsid w:val="00E50C8F"/>
    <w:rsid w:val="00E50CF3"/>
    <w:rsid w:val="00E517C8"/>
    <w:rsid w:val="00E52045"/>
    <w:rsid w:val="00E53C5E"/>
    <w:rsid w:val="00E54A9F"/>
    <w:rsid w:val="00E555EB"/>
    <w:rsid w:val="00E56171"/>
    <w:rsid w:val="00E602B8"/>
    <w:rsid w:val="00E614EE"/>
    <w:rsid w:val="00E61B1B"/>
    <w:rsid w:val="00E62EEA"/>
    <w:rsid w:val="00E636C7"/>
    <w:rsid w:val="00E63933"/>
    <w:rsid w:val="00E647E9"/>
    <w:rsid w:val="00E64A1B"/>
    <w:rsid w:val="00E6567F"/>
    <w:rsid w:val="00E7043C"/>
    <w:rsid w:val="00E72C3C"/>
    <w:rsid w:val="00E7423A"/>
    <w:rsid w:val="00E742B9"/>
    <w:rsid w:val="00E74946"/>
    <w:rsid w:val="00E74A7C"/>
    <w:rsid w:val="00E7535E"/>
    <w:rsid w:val="00E75564"/>
    <w:rsid w:val="00E75D08"/>
    <w:rsid w:val="00E75EBB"/>
    <w:rsid w:val="00E75FC5"/>
    <w:rsid w:val="00E7685E"/>
    <w:rsid w:val="00E7796B"/>
    <w:rsid w:val="00E8023E"/>
    <w:rsid w:val="00E80295"/>
    <w:rsid w:val="00E81AA6"/>
    <w:rsid w:val="00E81CCA"/>
    <w:rsid w:val="00E82948"/>
    <w:rsid w:val="00E83311"/>
    <w:rsid w:val="00E8344A"/>
    <w:rsid w:val="00E83905"/>
    <w:rsid w:val="00E83A5A"/>
    <w:rsid w:val="00E83C5F"/>
    <w:rsid w:val="00E848F3"/>
    <w:rsid w:val="00E85173"/>
    <w:rsid w:val="00E851AB"/>
    <w:rsid w:val="00E854FB"/>
    <w:rsid w:val="00E85D98"/>
    <w:rsid w:val="00E866EA"/>
    <w:rsid w:val="00E86AE1"/>
    <w:rsid w:val="00E909C5"/>
    <w:rsid w:val="00E90A7C"/>
    <w:rsid w:val="00E90CBC"/>
    <w:rsid w:val="00E912E6"/>
    <w:rsid w:val="00E91377"/>
    <w:rsid w:val="00E916B8"/>
    <w:rsid w:val="00E91F17"/>
    <w:rsid w:val="00E92AD0"/>
    <w:rsid w:val="00E92FE3"/>
    <w:rsid w:val="00E94E5C"/>
    <w:rsid w:val="00E95093"/>
    <w:rsid w:val="00E95680"/>
    <w:rsid w:val="00E967FF"/>
    <w:rsid w:val="00E974EB"/>
    <w:rsid w:val="00E978BC"/>
    <w:rsid w:val="00EA01AA"/>
    <w:rsid w:val="00EA06F1"/>
    <w:rsid w:val="00EA0EC0"/>
    <w:rsid w:val="00EA1397"/>
    <w:rsid w:val="00EA1781"/>
    <w:rsid w:val="00EA22B3"/>
    <w:rsid w:val="00EA396E"/>
    <w:rsid w:val="00EA3CC1"/>
    <w:rsid w:val="00EA469B"/>
    <w:rsid w:val="00EA4A7A"/>
    <w:rsid w:val="00EA544B"/>
    <w:rsid w:val="00EA54F1"/>
    <w:rsid w:val="00EA5EDB"/>
    <w:rsid w:val="00EA6358"/>
    <w:rsid w:val="00EA6788"/>
    <w:rsid w:val="00EA6C0B"/>
    <w:rsid w:val="00EA769D"/>
    <w:rsid w:val="00EB073A"/>
    <w:rsid w:val="00EB1755"/>
    <w:rsid w:val="00EB177D"/>
    <w:rsid w:val="00EB21F4"/>
    <w:rsid w:val="00EB2AB7"/>
    <w:rsid w:val="00EB33EC"/>
    <w:rsid w:val="00EB3778"/>
    <w:rsid w:val="00EB3C09"/>
    <w:rsid w:val="00EB420B"/>
    <w:rsid w:val="00EB43BD"/>
    <w:rsid w:val="00EB542C"/>
    <w:rsid w:val="00EB5A3F"/>
    <w:rsid w:val="00EB5C05"/>
    <w:rsid w:val="00EB65AE"/>
    <w:rsid w:val="00EB668F"/>
    <w:rsid w:val="00EB6D9C"/>
    <w:rsid w:val="00EB6EEC"/>
    <w:rsid w:val="00EB793A"/>
    <w:rsid w:val="00EC1D97"/>
    <w:rsid w:val="00EC2383"/>
    <w:rsid w:val="00EC3ED3"/>
    <w:rsid w:val="00EC40E5"/>
    <w:rsid w:val="00EC47CA"/>
    <w:rsid w:val="00EC4B14"/>
    <w:rsid w:val="00EC5024"/>
    <w:rsid w:val="00EC5A7F"/>
    <w:rsid w:val="00EC5BCB"/>
    <w:rsid w:val="00EC7302"/>
    <w:rsid w:val="00ED0C22"/>
    <w:rsid w:val="00ED132C"/>
    <w:rsid w:val="00ED3666"/>
    <w:rsid w:val="00ED3EF9"/>
    <w:rsid w:val="00ED4191"/>
    <w:rsid w:val="00ED446A"/>
    <w:rsid w:val="00ED4A3D"/>
    <w:rsid w:val="00ED4FB1"/>
    <w:rsid w:val="00ED5874"/>
    <w:rsid w:val="00ED5C02"/>
    <w:rsid w:val="00ED62FB"/>
    <w:rsid w:val="00ED67BD"/>
    <w:rsid w:val="00ED7C1C"/>
    <w:rsid w:val="00ED7DFA"/>
    <w:rsid w:val="00EE012B"/>
    <w:rsid w:val="00EE1502"/>
    <w:rsid w:val="00EE2282"/>
    <w:rsid w:val="00EE249C"/>
    <w:rsid w:val="00EE2A48"/>
    <w:rsid w:val="00EE38E7"/>
    <w:rsid w:val="00EE6981"/>
    <w:rsid w:val="00EF0E72"/>
    <w:rsid w:val="00EF22B0"/>
    <w:rsid w:val="00EF366C"/>
    <w:rsid w:val="00EF3BD5"/>
    <w:rsid w:val="00EF3DB4"/>
    <w:rsid w:val="00EF5F75"/>
    <w:rsid w:val="00EF74F9"/>
    <w:rsid w:val="00EF7BCD"/>
    <w:rsid w:val="00EF7C60"/>
    <w:rsid w:val="00F00F67"/>
    <w:rsid w:val="00F01983"/>
    <w:rsid w:val="00F023E8"/>
    <w:rsid w:val="00F03822"/>
    <w:rsid w:val="00F03B3A"/>
    <w:rsid w:val="00F044B5"/>
    <w:rsid w:val="00F04846"/>
    <w:rsid w:val="00F04A10"/>
    <w:rsid w:val="00F04BC2"/>
    <w:rsid w:val="00F05F8A"/>
    <w:rsid w:val="00F0641A"/>
    <w:rsid w:val="00F066C6"/>
    <w:rsid w:val="00F06C41"/>
    <w:rsid w:val="00F077AB"/>
    <w:rsid w:val="00F07872"/>
    <w:rsid w:val="00F079C2"/>
    <w:rsid w:val="00F07B6F"/>
    <w:rsid w:val="00F10EFC"/>
    <w:rsid w:val="00F11BC3"/>
    <w:rsid w:val="00F12599"/>
    <w:rsid w:val="00F12617"/>
    <w:rsid w:val="00F12E37"/>
    <w:rsid w:val="00F12FCC"/>
    <w:rsid w:val="00F1313D"/>
    <w:rsid w:val="00F132B7"/>
    <w:rsid w:val="00F138D8"/>
    <w:rsid w:val="00F14195"/>
    <w:rsid w:val="00F1436C"/>
    <w:rsid w:val="00F1468E"/>
    <w:rsid w:val="00F14C14"/>
    <w:rsid w:val="00F15511"/>
    <w:rsid w:val="00F155B4"/>
    <w:rsid w:val="00F1596A"/>
    <w:rsid w:val="00F16AF0"/>
    <w:rsid w:val="00F177E3"/>
    <w:rsid w:val="00F17819"/>
    <w:rsid w:val="00F17E08"/>
    <w:rsid w:val="00F20C2B"/>
    <w:rsid w:val="00F21135"/>
    <w:rsid w:val="00F21B01"/>
    <w:rsid w:val="00F2251B"/>
    <w:rsid w:val="00F22673"/>
    <w:rsid w:val="00F22A04"/>
    <w:rsid w:val="00F231F9"/>
    <w:rsid w:val="00F233D5"/>
    <w:rsid w:val="00F23424"/>
    <w:rsid w:val="00F247E6"/>
    <w:rsid w:val="00F2488A"/>
    <w:rsid w:val="00F25D7C"/>
    <w:rsid w:val="00F265D0"/>
    <w:rsid w:val="00F268F8"/>
    <w:rsid w:val="00F26F6A"/>
    <w:rsid w:val="00F27241"/>
    <w:rsid w:val="00F302B9"/>
    <w:rsid w:val="00F305E7"/>
    <w:rsid w:val="00F30605"/>
    <w:rsid w:val="00F30B07"/>
    <w:rsid w:val="00F31521"/>
    <w:rsid w:val="00F31692"/>
    <w:rsid w:val="00F31B07"/>
    <w:rsid w:val="00F31E1F"/>
    <w:rsid w:val="00F326B6"/>
    <w:rsid w:val="00F32C8F"/>
    <w:rsid w:val="00F32D32"/>
    <w:rsid w:val="00F32F69"/>
    <w:rsid w:val="00F334DC"/>
    <w:rsid w:val="00F354C9"/>
    <w:rsid w:val="00F36A11"/>
    <w:rsid w:val="00F36B33"/>
    <w:rsid w:val="00F36D83"/>
    <w:rsid w:val="00F3720B"/>
    <w:rsid w:val="00F4013A"/>
    <w:rsid w:val="00F40694"/>
    <w:rsid w:val="00F40845"/>
    <w:rsid w:val="00F40E06"/>
    <w:rsid w:val="00F41DAC"/>
    <w:rsid w:val="00F42BC0"/>
    <w:rsid w:val="00F437E7"/>
    <w:rsid w:val="00F4484B"/>
    <w:rsid w:val="00F45965"/>
    <w:rsid w:val="00F46054"/>
    <w:rsid w:val="00F462BF"/>
    <w:rsid w:val="00F468C9"/>
    <w:rsid w:val="00F46978"/>
    <w:rsid w:val="00F50F32"/>
    <w:rsid w:val="00F5174E"/>
    <w:rsid w:val="00F5187D"/>
    <w:rsid w:val="00F52F51"/>
    <w:rsid w:val="00F54DA8"/>
    <w:rsid w:val="00F550AE"/>
    <w:rsid w:val="00F56228"/>
    <w:rsid w:val="00F577C7"/>
    <w:rsid w:val="00F57822"/>
    <w:rsid w:val="00F57E64"/>
    <w:rsid w:val="00F609D9"/>
    <w:rsid w:val="00F61F3B"/>
    <w:rsid w:val="00F62B53"/>
    <w:rsid w:val="00F62CBF"/>
    <w:rsid w:val="00F65E8D"/>
    <w:rsid w:val="00F65F3C"/>
    <w:rsid w:val="00F66838"/>
    <w:rsid w:val="00F671F0"/>
    <w:rsid w:val="00F67402"/>
    <w:rsid w:val="00F67D40"/>
    <w:rsid w:val="00F70D7E"/>
    <w:rsid w:val="00F7167B"/>
    <w:rsid w:val="00F72DC9"/>
    <w:rsid w:val="00F733FD"/>
    <w:rsid w:val="00F734A5"/>
    <w:rsid w:val="00F736DC"/>
    <w:rsid w:val="00F739C8"/>
    <w:rsid w:val="00F75FF6"/>
    <w:rsid w:val="00F7689F"/>
    <w:rsid w:val="00F80919"/>
    <w:rsid w:val="00F81666"/>
    <w:rsid w:val="00F8212E"/>
    <w:rsid w:val="00F822D7"/>
    <w:rsid w:val="00F83703"/>
    <w:rsid w:val="00F8374B"/>
    <w:rsid w:val="00F83AA4"/>
    <w:rsid w:val="00F83DDB"/>
    <w:rsid w:val="00F83FA7"/>
    <w:rsid w:val="00F84965"/>
    <w:rsid w:val="00F84B92"/>
    <w:rsid w:val="00F85976"/>
    <w:rsid w:val="00F86288"/>
    <w:rsid w:val="00F8660C"/>
    <w:rsid w:val="00F86CE6"/>
    <w:rsid w:val="00F86F42"/>
    <w:rsid w:val="00F876A0"/>
    <w:rsid w:val="00F90515"/>
    <w:rsid w:val="00F92025"/>
    <w:rsid w:val="00F925F8"/>
    <w:rsid w:val="00F93149"/>
    <w:rsid w:val="00F937D3"/>
    <w:rsid w:val="00F93ABE"/>
    <w:rsid w:val="00F94113"/>
    <w:rsid w:val="00F9451B"/>
    <w:rsid w:val="00F94647"/>
    <w:rsid w:val="00F95391"/>
    <w:rsid w:val="00F95547"/>
    <w:rsid w:val="00F95B17"/>
    <w:rsid w:val="00F96B00"/>
    <w:rsid w:val="00F96D20"/>
    <w:rsid w:val="00F979B7"/>
    <w:rsid w:val="00FA0775"/>
    <w:rsid w:val="00FA07B0"/>
    <w:rsid w:val="00FA0CC9"/>
    <w:rsid w:val="00FA0EC2"/>
    <w:rsid w:val="00FA1345"/>
    <w:rsid w:val="00FA136A"/>
    <w:rsid w:val="00FA4485"/>
    <w:rsid w:val="00FA525D"/>
    <w:rsid w:val="00FA60B6"/>
    <w:rsid w:val="00FA62E0"/>
    <w:rsid w:val="00FA636E"/>
    <w:rsid w:val="00FA6CB4"/>
    <w:rsid w:val="00FA7263"/>
    <w:rsid w:val="00FA7281"/>
    <w:rsid w:val="00FA78AB"/>
    <w:rsid w:val="00FB029F"/>
    <w:rsid w:val="00FB10D8"/>
    <w:rsid w:val="00FB11CB"/>
    <w:rsid w:val="00FB1A91"/>
    <w:rsid w:val="00FB241F"/>
    <w:rsid w:val="00FB2AFE"/>
    <w:rsid w:val="00FB3A69"/>
    <w:rsid w:val="00FB43EB"/>
    <w:rsid w:val="00FB5091"/>
    <w:rsid w:val="00FB6560"/>
    <w:rsid w:val="00FB6CE4"/>
    <w:rsid w:val="00FB75B5"/>
    <w:rsid w:val="00FB7E90"/>
    <w:rsid w:val="00FB7FAE"/>
    <w:rsid w:val="00FB7FB0"/>
    <w:rsid w:val="00FC069F"/>
    <w:rsid w:val="00FC09CF"/>
    <w:rsid w:val="00FC1614"/>
    <w:rsid w:val="00FC1696"/>
    <w:rsid w:val="00FC37C4"/>
    <w:rsid w:val="00FC39B4"/>
    <w:rsid w:val="00FC502D"/>
    <w:rsid w:val="00FC5AA5"/>
    <w:rsid w:val="00FC615C"/>
    <w:rsid w:val="00FC689A"/>
    <w:rsid w:val="00FC6995"/>
    <w:rsid w:val="00FC7FB4"/>
    <w:rsid w:val="00FD0195"/>
    <w:rsid w:val="00FD0AAD"/>
    <w:rsid w:val="00FD0E9C"/>
    <w:rsid w:val="00FD1C30"/>
    <w:rsid w:val="00FD2521"/>
    <w:rsid w:val="00FD33DB"/>
    <w:rsid w:val="00FD5200"/>
    <w:rsid w:val="00FD52B3"/>
    <w:rsid w:val="00FD5C90"/>
    <w:rsid w:val="00FD6101"/>
    <w:rsid w:val="00FD6525"/>
    <w:rsid w:val="00FD6677"/>
    <w:rsid w:val="00FD77B8"/>
    <w:rsid w:val="00FE0EA0"/>
    <w:rsid w:val="00FE130E"/>
    <w:rsid w:val="00FE1C50"/>
    <w:rsid w:val="00FE2DB8"/>
    <w:rsid w:val="00FE2E74"/>
    <w:rsid w:val="00FE2FB8"/>
    <w:rsid w:val="00FE40E7"/>
    <w:rsid w:val="00FE4A95"/>
    <w:rsid w:val="00FE4E88"/>
    <w:rsid w:val="00FE510C"/>
    <w:rsid w:val="00FE5D31"/>
    <w:rsid w:val="00FE61AA"/>
    <w:rsid w:val="00FE64BF"/>
    <w:rsid w:val="00FE69C5"/>
    <w:rsid w:val="00FE7203"/>
    <w:rsid w:val="00FE79E2"/>
    <w:rsid w:val="00FF069B"/>
    <w:rsid w:val="00FF0DAF"/>
    <w:rsid w:val="00FF274E"/>
    <w:rsid w:val="00FF2BA1"/>
    <w:rsid w:val="00FF357A"/>
    <w:rsid w:val="00FF37B3"/>
    <w:rsid w:val="00FF4BEE"/>
    <w:rsid w:val="00FF4E8C"/>
    <w:rsid w:val="00FF536E"/>
    <w:rsid w:val="00FF64B1"/>
    <w:rsid w:val="00FF679E"/>
    <w:rsid w:val="00FF6BB0"/>
    <w:rsid w:val="00FF74D8"/>
    <w:rsid w:val="00FF76CE"/>
    <w:rsid w:val="00FF7CFD"/>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E626BB"/>
  <w15:chartTrackingRefBased/>
  <w15:docId w15:val="{7940D3C6-FEDE-4021-BFDE-C69BA6748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lang w:eastAsia="en-US"/>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ＭＳ 明朝"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ＭＳ 明朝"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eastAsia="en-US"/>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eastAsia="en-US"/>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C14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31423">
      <w:bodyDiv w:val="1"/>
      <w:marLeft w:val="0"/>
      <w:marRight w:val="0"/>
      <w:marTop w:val="0"/>
      <w:marBottom w:val="0"/>
      <w:divBdr>
        <w:top w:val="none" w:sz="0" w:space="0" w:color="auto"/>
        <w:left w:val="none" w:sz="0" w:space="0" w:color="auto"/>
        <w:bottom w:val="none" w:sz="0" w:space="0" w:color="auto"/>
        <w:right w:val="none" w:sz="0" w:space="0" w:color="auto"/>
      </w:divBdr>
    </w:div>
    <w:div w:id="94789662">
      <w:bodyDiv w:val="1"/>
      <w:marLeft w:val="0"/>
      <w:marRight w:val="0"/>
      <w:marTop w:val="0"/>
      <w:marBottom w:val="0"/>
      <w:divBdr>
        <w:top w:val="none" w:sz="0" w:space="0" w:color="auto"/>
        <w:left w:val="none" w:sz="0" w:space="0" w:color="auto"/>
        <w:bottom w:val="none" w:sz="0" w:space="0" w:color="auto"/>
        <w:right w:val="none" w:sz="0" w:space="0" w:color="auto"/>
      </w:divBdr>
      <w:divsChild>
        <w:div w:id="1013066919">
          <w:marLeft w:val="1166"/>
          <w:marRight w:val="0"/>
          <w:marTop w:val="86"/>
          <w:marBottom w:val="0"/>
          <w:divBdr>
            <w:top w:val="none" w:sz="0" w:space="0" w:color="auto"/>
            <w:left w:val="none" w:sz="0" w:space="0" w:color="auto"/>
            <w:bottom w:val="none" w:sz="0" w:space="0" w:color="auto"/>
            <w:right w:val="none" w:sz="0" w:space="0" w:color="auto"/>
          </w:divBdr>
        </w:div>
        <w:div w:id="1679891799">
          <w:marLeft w:val="1166"/>
          <w:marRight w:val="0"/>
          <w:marTop w:val="86"/>
          <w:marBottom w:val="0"/>
          <w:divBdr>
            <w:top w:val="none" w:sz="0" w:space="0" w:color="auto"/>
            <w:left w:val="none" w:sz="0" w:space="0" w:color="auto"/>
            <w:bottom w:val="none" w:sz="0" w:space="0" w:color="auto"/>
            <w:right w:val="none" w:sz="0" w:space="0" w:color="auto"/>
          </w:divBdr>
        </w:div>
        <w:div w:id="1943606012">
          <w:marLeft w:val="1166"/>
          <w:marRight w:val="0"/>
          <w:marTop w:val="86"/>
          <w:marBottom w:val="0"/>
          <w:divBdr>
            <w:top w:val="none" w:sz="0" w:space="0" w:color="auto"/>
            <w:left w:val="none" w:sz="0" w:space="0" w:color="auto"/>
            <w:bottom w:val="none" w:sz="0" w:space="0" w:color="auto"/>
            <w:right w:val="none" w:sz="0" w:space="0" w:color="auto"/>
          </w:divBdr>
        </w:div>
      </w:divsChild>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14756474">
      <w:bodyDiv w:val="1"/>
      <w:marLeft w:val="0"/>
      <w:marRight w:val="0"/>
      <w:marTop w:val="0"/>
      <w:marBottom w:val="0"/>
      <w:divBdr>
        <w:top w:val="none" w:sz="0" w:space="0" w:color="auto"/>
        <w:left w:val="none" w:sz="0" w:space="0" w:color="auto"/>
        <w:bottom w:val="none" w:sz="0" w:space="0" w:color="auto"/>
        <w:right w:val="none" w:sz="0" w:space="0" w:color="auto"/>
      </w:divBdr>
      <w:divsChild>
        <w:div w:id="577789048">
          <w:marLeft w:val="547"/>
          <w:marRight w:val="0"/>
          <w:marTop w:val="96"/>
          <w:marBottom w:val="0"/>
          <w:divBdr>
            <w:top w:val="none" w:sz="0" w:space="0" w:color="auto"/>
            <w:left w:val="none" w:sz="0" w:space="0" w:color="auto"/>
            <w:bottom w:val="none" w:sz="0" w:space="0" w:color="auto"/>
            <w:right w:val="none" w:sz="0" w:space="0" w:color="auto"/>
          </w:divBdr>
        </w:div>
        <w:div w:id="1198353726">
          <w:marLeft w:val="1166"/>
          <w:marRight w:val="0"/>
          <w:marTop w:val="86"/>
          <w:marBottom w:val="0"/>
          <w:divBdr>
            <w:top w:val="none" w:sz="0" w:space="0" w:color="auto"/>
            <w:left w:val="none" w:sz="0" w:space="0" w:color="auto"/>
            <w:bottom w:val="none" w:sz="0" w:space="0" w:color="auto"/>
            <w:right w:val="none" w:sz="0" w:space="0" w:color="auto"/>
          </w:divBdr>
        </w:div>
        <w:div w:id="1415932000">
          <w:marLeft w:val="547"/>
          <w:marRight w:val="0"/>
          <w:marTop w:val="96"/>
          <w:marBottom w:val="0"/>
          <w:divBdr>
            <w:top w:val="none" w:sz="0" w:space="0" w:color="auto"/>
            <w:left w:val="none" w:sz="0" w:space="0" w:color="auto"/>
            <w:bottom w:val="none" w:sz="0" w:space="0" w:color="auto"/>
            <w:right w:val="none" w:sz="0" w:space="0" w:color="auto"/>
          </w:divBdr>
        </w:div>
        <w:div w:id="1591281267">
          <w:marLeft w:val="1166"/>
          <w:marRight w:val="0"/>
          <w:marTop w:val="86"/>
          <w:marBottom w:val="0"/>
          <w:divBdr>
            <w:top w:val="none" w:sz="0" w:space="0" w:color="auto"/>
            <w:left w:val="none" w:sz="0" w:space="0" w:color="auto"/>
            <w:bottom w:val="none" w:sz="0" w:space="0" w:color="auto"/>
            <w:right w:val="none" w:sz="0" w:space="0" w:color="auto"/>
          </w:divBdr>
        </w:div>
        <w:div w:id="2004746739">
          <w:marLeft w:val="547"/>
          <w:marRight w:val="0"/>
          <w:marTop w:val="96"/>
          <w:marBottom w:val="0"/>
          <w:divBdr>
            <w:top w:val="none" w:sz="0" w:space="0" w:color="auto"/>
            <w:left w:val="none" w:sz="0" w:space="0" w:color="auto"/>
            <w:bottom w:val="none" w:sz="0" w:space="0" w:color="auto"/>
            <w:right w:val="none" w:sz="0" w:space="0" w:color="auto"/>
          </w:divBdr>
        </w:div>
      </w:divsChild>
    </w:div>
    <w:div w:id="139006963">
      <w:bodyDiv w:val="1"/>
      <w:marLeft w:val="0"/>
      <w:marRight w:val="0"/>
      <w:marTop w:val="0"/>
      <w:marBottom w:val="0"/>
      <w:divBdr>
        <w:top w:val="none" w:sz="0" w:space="0" w:color="auto"/>
        <w:left w:val="none" w:sz="0" w:space="0" w:color="auto"/>
        <w:bottom w:val="none" w:sz="0" w:space="0" w:color="auto"/>
        <w:right w:val="none" w:sz="0" w:space="0" w:color="auto"/>
      </w:divBdr>
      <w:divsChild>
        <w:div w:id="662439095">
          <w:marLeft w:val="360"/>
          <w:marRight w:val="0"/>
          <w:marTop w:val="200"/>
          <w:marBottom w:val="0"/>
          <w:divBdr>
            <w:top w:val="none" w:sz="0" w:space="0" w:color="auto"/>
            <w:left w:val="none" w:sz="0" w:space="0" w:color="auto"/>
            <w:bottom w:val="none" w:sz="0" w:space="0" w:color="auto"/>
            <w:right w:val="none" w:sz="0" w:space="0" w:color="auto"/>
          </w:divBdr>
        </w:div>
        <w:div w:id="759059062">
          <w:marLeft w:val="1080"/>
          <w:marRight w:val="0"/>
          <w:marTop w:val="100"/>
          <w:marBottom w:val="0"/>
          <w:divBdr>
            <w:top w:val="none" w:sz="0" w:space="0" w:color="auto"/>
            <w:left w:val="none" w:sz="0" w:space="0" w:color="auto"/>
            <w:bottom w:val="none" w:sz="0" w:space="0" w:color="auto"/>
            <w:right w:val="none" w:sz="0" w:space="0" w:color="auto"/>
          </w:divBdr>
        </w:div>
        <w:div w:id="1352494471">
          <w:marLeft w:val="1080"/>
          <w:marRight w:val="0"/>
          <w:marTop w:val="100"/>
          <w:marBottom w:val="0"/>
          <w:divBdr>
            <w:top w:val="none" w:sz="0" w:space="0" w:color="auto"/>
            <w:left w:val="none" w:sz="0" w:space="0" w:color="auto"/>
            <w:bottom w:val="none" w:sz="0" w:space="0" w:color="auto"/>
            <w:right w:val="none" w:sz="0" w:space="0" w:color="auto"/>
          </w:divBdr>
        </w:div>
      </w:divsChild>
    </w:div>
    <w:div w:id="212348111">
      <w:bodyDiv w:val="1"/>
      <w:marLeft w:val="0"/>
      <w:marRight w:val="0"/>
      <w:marTop w:val="0"/>
      <w:marBottom w:val="0"/>
      <w:divBdr>
        <w:top w:val="none" w:sz="0" w:space="0" w:color="auto"/>
        <w:left w:val="none" w:sz="0" w:space="0" w:color="auto"/>
        <w:bottom w:val="none" w:sz="0" w:space="0" w:color="auto"/>
        <w:right w:val="none" w:sz="0" w:space="0" w:color="auto"/>
      </w:divBdr>
    </w:div>
    <w:div w:id="215777269">
      <w:bodyDiv w:val="1"/>
      <w:marLeft w:val="0"/>
      <w:marRight w:val="0"/>
      <w:marTop w:val="0"/>
      <w:marBottom w:val="0"/>
      <w:divBdr>
        <w:top w:val="none" w:sz="0" w:space="0" w:color="auto"/>
        <w:left w:val="none" w:sz="0" w:space="0" w:color="auto"/>
        <w:bottom w:val="none" w:sz="0" w:space="0" w:color="auto"/>
        <w:right w:val="none" w:sz="0" w:space="0" w:color="auto"/>
      </w:divBdr>
    </w:div>
    <w:div w:id="310797550">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28023999">
      <w:bodyDiv w:val="1"/>
      <w:marLeft w:val="0"/>
      <w:marRight w:val="0"/>
      <w:marTop w:val="0"/>
      <w:marBottom w:val="0"/>
      <w:divBdr>
        <w:top w:val="none" w:sz="0" w:space="0" w:color="auto"/>
        <w:left w:val="none" w:sz="0" w:space="0" w:color="auto"/>
        <w:bottom w:val="none" w:sz="0" w:space="0" w:color="auto"/>
        <w:right w:val="none" w:sz="0" w:space="0" w:color="auto"/>
      </w:divBdr>
    </w:div>
    <w:div w:id="343168584">
      <w:bodyDiv w:val="1"/>
      <w:marLeft w:val="0"/>
      <w:marRight w:val="0"/>
      <w:marTop w:val="0"/>
      <w:marBottom w:val="0"/>
      <w:divBdr>
        <w:top w:val="none" w:sz="0" w:space="0" w:color="auto"/>
        <w:left w:val="none" w:sz="0" w:space="0" w:color="auto"/>
        <w:bottom w:val="none" w:sz="0" w:space="0" w:color="auto"/>
        <w:right w:val="none" w:sz="0" w:space="0" w:color="auto"/>
      </w:divBdr>
      <w:divsChild>
        <w:div w:id="999652361">
          <w:marLeft w:val="274"/>
          <w:marRight w:val="0"/>
          <w:marTop w:val="240"/>
          <w:marBottom w:val="0"/>
          <w:divBdr>
            <w:top w:val="none" w:sz="0" w:space="0" w:color="auto"/>
            <w:left w:val="none" w:sz="0" w:space="0" w:color="auto"/>
            <w:bottom w:val="none" w:sz="0" w:space="0" w:color="auto"/>
            <w:right w:val="none" w:sz="0" w:space="0" w:color="auto"/>
          </w:divBdr>
        </w:div>
      </w:divsChild>
    </w:div>
    <w:div w:id="375548573">
      <w:bodyDiv w:val="1"/>
      <w:marLeft w:val="0"/>
      <w:marRight w:val="0"/>
      <w:marTop w:val="0"/>
      <w:marBottom w:val="0"/>
      <w:divBdr>
        <w:top w:val="none" w:sz="0" w:space="0" w:color="auto"/>
        <w:left w:val="none" w:sz="0" w:space="0" w:color="auto"/>
        <w:bottom w:val="none" w:sz="0" w:space="0" w:color="auto"/>
        <w:right w:val="none" w:sz="0" w:space="0" w:color="auto"/>
      </w:divBdr>
    </w:div>
    <w:div w:id="422847575">
      <w:bodyDiv w:val="1"/>
      <w:marLeft w:val="0"/>
      <w:marRight w:val="0"/>
      <w:marTop w:val="0"/>
      <w:marBottom w:val="0"/>
      <w:divBdr>
        <w:top w:val="none" w:sz="0" w:space="0" w:color="auto"/>
        <w:left w:val="none" w:sz="0" w:space="0" w:color="auto"/>
        <w:bottom w:val="none" w:sz="0" w:space="0" w:color="auto"/>
        <w:right w:val="none" w:sz="0" w:space="0" w:color="auto"/>
      </w:divBdr>
      <w:divsChild>
        <w:div w:id="292442452">
          <w:marLeft w:val="1627"/>
          <w:marRight w:val="0"/>
          <w:marTop w:val="96"/>
          <w:marBottom w:val="0"/>
          <w:divBdr>
            <w:top w:val="none" w:sz="0" w:space="0" w:color="auto"/>
            <w:left w:val="none" w:sz="0" w:space="0" w:color="auto"/>
            <w:bottom w:val="none" w:sz="0" w:space="0" w:color="auto"/>
            <w:right w:val="none" w:sz="0" w:space="0" w:color="auto"/>
          </w:divBdr>
        </w:div>
        <w:div w:id="560402928">
          <w:marLeft w:val="1166"/>
          <w:marRight w:val="0"/>
          <w:marTop w:val="115"/>
          <w:marBottom w:val="0"/>
          <w:divBdr>
            <w:top w:val="none" w:sz="0" w:space="0" w:color="auto"/>
            <w:left w:val="none" w:sz="0" w:space="0" w:color="auto"/>
            <w:bottom w:val="none" w:sz="0" w:space="0" w:color="auto"/>
            <w:right w:val="none" w:sz="0" w:space="0" w:color="auto"/>
          </w:divBdr>
        </w:div>
        <w:div w:id="803696357">
          <w:marLeft w:val="1627"/>
          <w:marRight w:val="0"/>
          <w:marTop w:val="96"/>
          <w:marBottom w:val="0"/>
          <w:divBdr>
            <w:top w:val="none" w:sz="0" w:space="0" w:color="auto"/>
            <w:left w:val="none" w:sz="0" w:space="0" w:color="auto"/>
            <w:bottom w:val="none" w:sz="0" w:space="0" w:color="auto"/>
            <w:right w:val="none" w:sz="0" w:space="0" w:color="auto"/>
          </w:divBdr>
        </w:div>
        <w:div w:id="1019428509">
          <w:marLeft w:val="1627"/>
          <w:marRight w:val="0"/>
          <w:marTop w:val="96"/>
          <w:marBottom w:val="0"/>
          <w:divBdr>
            <w:top w:val="none" w:sz="0" w:space="0" w:color="auto"/>
            <w:left w:val="none" w:sz="0" w:space="0" w:color="auto"/>
            <w:bottom w:val="none" w:sz="0" w:space="0" w:color="auto"/>
            <w:right w:val="none" w:sz="0" w:space="0" w:color="auto"/>
          </w:divBdr>
        </w:div>
        <w:div w:id="1685087109">
          <w:marLeft w:val="1627"/>
          <w:marRight w:val="0"/>
          <w:marTop w:val="96"/>
          <w:marBottom w:val="0"/>
          <w:divBdr>
            <w:top w:val="none" w:sz="0" w:space="0" w:color="auto"/>
            <w:left w:val="none" w:sz="0" w:space="0" w:color="auto"/>
            <w:bottom w:val="none" w:sz="0" w:space="0" w:color="auto"/>
            <w:right w:val="none" w:sz="0" w:space="0" w:color="auto"/>
          </w:divBdr>
        </w:div>
        <w:div w:id="1690335278">
          <w:marLeft w:val="1166"/>
          <w:marRight w:val="0"/>
          <w:marTop w:val="115"/>
          <w:marBottom w:val="0"/>
          <w:divBdr>
            <w:top w:val="none" w:sz="0" w:space="0" w:color="auto"/>
            <w:left w:val="none" w:sz="0" w:space="0" w:color="auto"/>
            <w:bottom w:val="none" w:sz="0" w:space="0" w:color="auto"/>
            <w:right w:val="none" w:sz="0" w:space="0" w:color="auto"/>
          </w:divBdr>
        </w:div>
      </w:divsChild>
    </w:div>
    <w:div w:id="424350162">
      <w:bodyDiv w:val="1"/>
      <w:marLeft w:val="0"/>
      <w:marRight w:val="0"/>
      <w:marTop w:val="0"/>
      <w:marBottom w:val="0"/>
      <w:divBdr>
        <w:top w:val="none" w:sz="0" w:space="0" w:color="auto"/>
        <w:left w:val="none" w:sz="0" w:space="0" w:color="auto"/>
        <w:bottom w:val="none" w:sz="0" w:space="0" w:color="auto"/>
        <w:right w:val="none" w:sz="0" w:space="0" w:color="auto"/>
      </w:divBdr>
      <w:divsChild>
        <w:div w:id="1709137112">
          <w:marLeft w:val="1080"/>
          <w:marRight w:val="0"/>
          <w:marTop w:val="100"/>
          <w:marBottom w:val="0"/>
          <w:divBdr>
            <w:top w:val="none" w:sz="0" w:space="0" w:color="auto"/>
            <w:left w:val="none" w:sz="0" w:space="0" w:color="auto"/>
            <w:bottom w:val="none" w:sz="0" w:space="0" w:color="auto"/>
            <w:right w:val="none" w:sz="0" w:space="0" w:color="auto"/>
          </w:divBdr>
        </w:div>
        <w:div w:id="1871643229">
          <w:marLeft w:val="360"/>
          <w:marRight w:val="0"/>
          <w:marTop w:val="200"/>
          <w:marBottom w:val="0"/>
          <w:divBdr>
            <w:top w:val="none" w:sz="0" w:space="0" w:color="auto"/>
            <w:left w:val="none" w:sz="0" w:space="0" w:color="auto"/>
            <w:bottom w:val="none" w:sz="0" w:space="0" w:color="auto"/>
            <w:right w:val="none" w:sz="0" w:space="0" w:color="auto"/>
          </w:divBdr>
        </w:div>
        <w:div w:id="2060281850">
          <w:marLeft w:val="1080"/>
          <w:marRight w:val="0"/>
          <w:marTop w:val="100"/>
          <w:marBottom w:val="0"/>
          <w:divBdr>
            <w:top w:val="none" w:sz="0" w:space="0" w:color="auto"/>
            <w:left w:val="none" w:sz="0" w:space="0" w:color="auto"/>
            <w:bottom w:val="none" w:sz="0" w:space="0" w:color="auto"/>
            <w:right w:val="none" w:sz="0" w:space="0" w:color="auto"/>
          </w:divBdr>
        </w:div>
      </w:divsChild>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52484717">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29104177">
      <w:bodyDiv w:val="1"/>
      <w:marLeft w:val="0"/>
      <w:marRight w:val="0"/>
      <w:marTop w:val="0"/>
      <w:marBottom w:val="0"/>
      <w:divBdr>
        <w:top w:val="none" w:sz="0" w:space="0" w:color="auto"/>
        <w:left w:val="none" w:sz="0" w:space="0" w:color="auto"/>
        <w:bottom w:val="none" w:sz="0" w:space="0" w:color="auto"/>
        <w:right w:val="none" w:sz="0" w:space="0" w:color="auto"/>
      </w:divBdr>
    </w:div>
    <w:div w:id="540283215">
      <w:bodyDiv w:val="1"/>
      <w:marLeft w:val="0"/>
      <w:marRight w:val="0"/>
      <w:marTop w:val="0"/>
      <w:marBottom w:val="0"/>
      <w:divBdr>
        <w:top w:val="none" w:sz="0" w:space="0" w:color="auto"/>
        <w:left w:val="none" w:sz="0" w:space="0" w:color="auto"/>
        <w:bottom w:val="none" w:sz="0" w:space="0" w:color="auto"/>
        <w:right w:val="none" w:sz="0" w:space="0" w:color="auto"/>
      </w:divBdr>
    </w:div>
    <w:div w:id="545414478">
      <w:bodyDiv w:val="1"/>
      <w:marLeft w:val="0"/>
      <w:marRight w:val="0"/>
      <w:marTop w:val="0"/>
      <w:marBottom w:val="0"/>
      <w:divBdr>
        <w:top w:val="none" w:sz="0" w:space="0" w:color="auto"/>
        <w:left w:val="none" w:sz="0" w:space="0" w:color="auto"/>
        <w:bottom w:val="none" w:sz="0" w:space="0" w:color="auto"/>
        <w:right w:val="none" w:sz="0" w:space="0" w:color="auto"/>
      </w:divBdr>
    </w:div>
    <w:div w:id="555747192">
      <w:bodyDiv w:val="1"/>
      <w:marLeft w:val="0"/>
      <w:marRight w:val="0"/>
      <w:marTop w:val="0"/>
      <w:marBottom w:val="0"/>
      <w:divBdr>
        <w:top w:val="none" w:sz="0" w:space="0" w:color="auto"/>
        <w:left w:val="none" w:sz="0" w:space="0" w:color="auto"/>
        <w:bottom w:val="none" w:sz="0" w:space="0" w:color="auto"/>
        <w:right w:val="none" w:sz="0" w:space="0" w:color="auto"/>
      </w:divBdr>
    </w:div>
    <w:div w:id="601956426">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31581342">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32374421">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3501999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41249330">
      <w:bodyDiv w:val="1"/>
      <w:marLeft w:val="0"/>
      <w:marRight w:val="0"/>
      <w:marTop w:val="0"/>
      <w:marBottom w:val="0"/>
      <w:divBdr>
        <w:top w:val="none" w:sz="0" w:space="0" w:color="auto"/>
        <w:left w:val="none" w:sz="0" w:space="0" w:color="auto"/>
        <w:bottom w:val="none" w:sz="0" w:space="0" w:color="auto"/>
        <w:right w:val="none" w:sz="0" w:space="0" w:color="auto"/>
      </w:divBdr>
    </w:div>
    <w:div w:id="1044528469">
      <w:bodyDiv w:val="1"/>
      <w:marLeft w:val="0"/>
      <w:marRight w:val="0"/>
      <w:marTop w:val="0"/>
      <w:marBottom w:val="0"/>
      <w:divBdr>
        <w:top w:val="none" w:sz="0" w:space="0" w:color="auto"/>
        <w:left w:val="none" w:sz="0" w:space="0" w:color="auto"/>
        <w:bottom w:val="none" w:sz="0" w:space="0" w:color="auto"/>
        <w:right w:val="none" w:sz="0" w:space="0" w:color="auto"/>
      </w:divBdr>
    </w:div>
    <w:div w:id="1083261990">
      <w:bodyDiv w:val="1"/>
      <w:marLeft w:val="0"/>
      <w:marRight w:val="0"/>
      <w:marTop w:val="0"/>
      <w:marBottom w:val="0"/>
      <w:divBdr>
        <w:top w:val="none" w:sz="0" w:space="0" w:color="auto"/>
        <w:left w:val="none" w:sz="0" w:space="0" w:color="auto"/>
        <w:bottom w:val="none" w:sz="0" w:space="0" w:color="auto"/>
        <w:right w:val="none" w:sz="0" w:space="0" w:color="auto"/>
      </w:divBdr>
    </w:div>
    <w:div w:id="1105537507">
      <w:bodyDiv w:val="1"/>
      <w:marLeft w:val="0"/>
      <w:marRight w:val="0"/>
      <w:marTop w:val="0"/>
      <w:marBottom w:val="0"/>
      <w:divBdr>
        <w:top w:val="none" w:sz="0" w:space="0" w:color="auto"/>
        <w:left w:val="none" w:sz="0" w:space="0" w:color="auto"/>
        <w:bottom w:val="none" w:sz="0" w:space="0" w:color="auto"/>
        <w:right w:val="none" w:sz="0" w:space="0" w:color="auto"/>
      </w:divBdr>
    </w:div>
    <w:div w:id="1154220204">
      <w:bodyDiv w:val="1"/>
      <w:marLeft w:val="0"/>
      <w:marRight w:val="0"/>
      <w:marTop w:val="0"/>
      <w:marBottom w:val="0"/>
      <w:divBdr>
        <w:top w:val="none" w:sz="0" w:space="0" w:color="auto"/>
        <w:left w:val="none" w:sz="0" w:space="0" w:color="auto"/>
        <w:bottom w:val="none" w:sz="0" w:space="0" w:color="auto"/>
        <w:right w:val="none" w:sz="0" w:space="0" w:color="auto"/>
      </w:divBdr>
      <w:divsChild>
        <w:div w:id="971208771">
          <w:marLeft w:val="878"/>
          <w:marRight w:val="0"/>
          <w:marTop w:val="96"/>
          <w:marBottom w:val="0"/>
          <w:divBdr>
            <w:top w:val="none" w:sz="0" w:space="0" w:color="auto"/>
            <w:left w:val="none" w:sz="0" w:space="0" w:color="auto"/>
            <w:bottom w:val="none" w:sz="0" w:space="0" w:color="auto"/>
            <w:right w:val="none" w:sz="0" w:space="0" w:color="auto"/>
          </w:divBdr>
        </w:div>
      </w:divsChild>
    </w:div>
    <w:div w:id="1160077677">
      <w:bodyDiv w:val="1"/>
      <w:marLeft w:val="0"/>
      <w:marRight w:val="0"/>
      <w:marTop w:val="0"/>
      <w:marBottom w:val="0"/>
      <w:divBdr>
        <w:top w:val="none" w:sz="0" w:space="0" w:color="auto"/>
        <w:left w:val="none" w:sz="0" w:space="0" w:color="auto"/>
        <w:bottom w:val="none" w:sz="0" w:space="0" w:color="auto"/>
        <w:right w:val="none" w:sz="0" w:space="0" w:color="auto"/>
      </w:divBdr>
      <w:divsChild>
        <w:div w:id="572593371">
          <w:marLeft w:val="1166"/>
          <w:marRight w:val="0"/>
          <w:marTop w:val="115"/>
          <w:marBottom w:val="0"/>
          <w:divBdr>
            <w:top w:val="none" w:sz="0" w:space="0" w:color="auto"/>
            <w:left w:val="none" w:sz="0" w:space="0" w:color="auto"/>
            <w:bottom w:val="none" w:sz="0" w:space="0" w:color="auto"/>
            <w:right w:val="none" w:sz="0" w:space="0" w:color="auto"/>
          </w:divBdr>
        </w:div>
        <w:div w:id="661277611">
          <w:marLeft w:val="1166"/>
          <w:marRight w:val="0"/>
          <w:marTop w:val="115"/>
          <w:marBottom w:val="0"/>
          <w:divBdr>
            <w:top w:val="none" w:sz="0" w:space="0" w:color="auto"/>
            <w:left w:val="none" w:sz="0" w:space="0" w:color="auto"/>
            <w:bottom w:val="none" w:sz="0" w:space="0" w:color="auto"/>
            <w:right w:val="none" w:sz="0" w:space="0" w:color="auto"/>
          </w:divBdr>
        </w:div>
        <w:div w:id="666514714">
          <w:marLeft w:val="1627"/>
          <w:marRight w:val="0"/>
          <w:marTop w:val="96"/>
          <w:marBottom w:val="0"/>
          <w:divBdr>
            <w:top w:val="none" w:sz="0" w:space="0" w:color="auto"/>
            <w:left w:val="none" w:sz="0" w:space="0" w:color="auto"/>
            <w:bottom w:val="none" w:sz="0" w:space="0" w:color="auto"/>
            <w:right w:val="none" w:sz="0" w:space="0" w:color="auto"/>
          </w:divBdr>
        </w:div>
        <w:div w:id="845560966">
          <w:marLeft w:val="1627"/>
          <w:marRight w:val="0"/>
          <w:marTop w:val="96"/>
          <w:marBottom w:val="0"/>
          <w:divBdr>
            <w:top w:val="none" w:sz="0" w:space="0" w:color="auto"/>
            <w:left w:val="none" w:sz="0" w:space="0" w:color="auto"/>
            <w:bottom w:val="none" w:sz="0" w:space="0" w:color="auto"/>
            <w:right w:val="none" w:sz="0" w:space="0" w:color="auto"/>
          </w:divBdr>
        </w:div>
        <w:div w:id="1003826205">
          <w:marLeft w:val="1627"/>
          <w:marRight w:val="0"/>
          <w:marTop w:val="96"/>
          <w:marBottom w:val="0"/>
          <w:divBdr>
            <w:top w:val="none" w:sz="0" w:space="0" w:color="auto"/>
            <w:left w:val="none" w:sz="0" w:space="0" w:color="auto"/>
            <w:bottom w:val="none" w:sz="0" w:space="0" w:color="auto"/>
            <w:right w:val="none" w:sz="0" w:space="0" w:color="auto"/>
          </w:divBdr>
        </w:div>
        <w:div w:id="1095251384">
          <w:marLeft w:val="1627"/>
          <w:marRight w:val="0"/>
          <w:marTop w:val="96"/>
          <w:marBottom w:val="0"/>
          <w:divBdr>
            <w:top w:val="none" w:sz="0" w:space="0" w:color="auto"/>
            <w:left w:val="none" w:sz="0" w:space="0" w:color="auto"/>
            <w:bottom w:val="none" w:sz="0" w:space="0" w:color="auto"/>
            <w:right w:val="none" w:sz="0" w:space="0" w:color="auto"/>
          </w:divBdr>
        </w:div>
        <w:div w:id="1264149352">
          <w:marLeft w:val="1627"/>
          <w:marRight w:val="0"/>
          <w:marTop w:val="96"/>
          <w:marBottom w:val="0"/>
          <w:divBdr>
            <w:top w:val="none" w:sz="0" w:space="0" w:color="auto"/>
            <w:left w:val="none" w:sz="0" w:space="0" w:color="auto"/>
            <w:bottom w:val="none" w:sz="0" w:space="0" w:color="auto"/>
            <w:right w:val="none" w:sz="0" w:space="0" w:color="auto"/>
          </w:divBdr>
        </w:div>
        <w:div w:id="1455058993">
          <w:marLeft w:val="1627"/>
          <w:marRight w:val="0"/>
          <w:marTop w:val="96"/>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848937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20287788">
      <w:bodyDiv w:val="1"/>
      <w:marLeft w:val="0"/>
      <w:marRight w:val="0"/>
      <w:marTop w:val="0"/>
      <w:marBottom w:val="0"/>
      <w:divBdr>
        <w:top w:val="none" w:sz="0" w:space="0" w:color="auto"/>
        <w:left w:val="none" w:sz="0" w:space="0" w:color="auto"/>
        <w:bottom w:val="none" w:sz="0" w:space="0" w:color="auto"/>
        <w:right w:val="none" w:sz="0" w:space="0" w:color="auto"/>
      </w:divBdr>
    </w:div>
    <w:div w:id="1253970690">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3846397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70123053">
      <w:bodyDiv w:val="1"/>
      <w:marLeft w:val="0"/>
      <w:marRight w:val="0"/>
      <w:marTop w:val="0"/>
      <w:marBottom w:val="0"/>
      <w:divBdr>
        <w:top w:val="none" w:sz="0" w:space="0" w:color="auto"/>
        <w:left w:val="none" w:sz="0" w:space="0" w:color="auto"/>
        <w:bottom w:val="none" w:sz="0" w:space="0" w:color="auto"/>
        <w:right w:val="none" w:sz="0" w:space="0" w:color="auto"/>
      </w:divBdr>
    </w:div>
    <w:div w:id="1491754470">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80410725">
      <w:bodyDiv w:val="1"/>
      <w:marLeft w:val="0"/>
      <w:marRight w:val="0"/>
      <w:marTop w:val="0"/>
      <w:marBottom w:val="0"/>
      <w:divBdr>
        <w:top w:val="none" w:sz="0" w:space="0" w:color="auto"/>
        <w:left w:val="none" w:sz="0" w:space="0" w:color="auto"/>
        <w:bottom w:val="none" w:sz="0" w:space="0" w:color="auto"/>
        <w:right w:val="none" w:sz="0" w:space="0" w:color="auto"/>
      </w:divBdr>
      <w:divsChild>
        <w:div w:id="337076743">
          <w:marLeft w:val="1166"/>
          <w:marRight w:val="0"/>
          <w:marTop w:val="86"/>
          <w:marBottom w:val="0"/>
          <w:divBdr>
            <w:top w:val="none" w:sz="0" w:space="0" w:color="auto"/>
            <w:left w:val="none" w:sz="0" w:space="0" w:color="auto"/>
            <w:bottom w:val="none" w:sz="0" w:space="0" w:color="auto"/>
            <w:right w:val="none" w:sz="0" w:space="0" w:color="auto"/>
          </w:divBdr>
        </w:div>
        <w:div w:id="337124387">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42691476">
      <w:bodyDiv w:val="1"/>
      <w:marLeft w:val="0"/>
      <w:marRight w:val="0"/>
      <w:marTop w:val="0"/>
      <w:marBottom w:val="0"/>
      <w:divBdr>
        <w:top w:val="none" w:sz="0" w:space="0" w:color="auto"/>
        <w:left w:val="none" w:sz="0" w:space="0" w:color="auto"/>
        <w:bottom w:val="none" w:sz="0" w:space="0" w:color="auto"/>
        <w:right w:val="none" w:sz="0" w:space="0" w:color="auto"/>
      </w:divBdr>
    </w:div>
    <w:div w:id="1692485672">
      <w:bodyDiv w:val="1"/>
      <w:marLeft w:val="0"/>
      <w:marRight w:val="0"/>
      <w:marTop w:val="0"/>
      <w:marBottom w:val="0"/>
      <w:divBdr>
        <w:top w:val="none" w:sz="0" w:space="0" w:color="auto"/>
        <w:left w:val="none" w:sz="0" w:space="0" w:color="auto"/>
        <w:bottom w:val="none" w:sz="0" w:space="0" w:color="auto"/>
        <w:right w:val="none" w:sz="0" w:space="0" w:color="auto"/>
      </w:divBdr>
      <w:divsChild>
        <w:div w:id="76022625">
          <w:marLeft w:val="1080"/>
          <w:marRight w:val="0"/>
          <w:marTop w:val="100"/>
          <w:marBottom w:val="0"/>
          <w:divBdr>
            <w:top w:val="none" w:sz="0" w:space="0" w:color="auto"/>
            <w:left w:val="none" w:sz="0" w:space="0" w:color="auto"/>
            <w:bottom w:val="none" w:sz="0" w:space="0" w:color="auto"/>
            <w:right w:val="none" w:sz="0" w:space="0" w:color="auto"/>
          </w:divBdr>
        </w:div>
        <w:div w:id="116457696">
          <w:marLeft w:val="360"/>
          <w:marRight w:val="0"/>
          <w:marTop w:val="200"/>
          <w:marBottom w:val="0"/>
          <w:divBdr>
            <w:top w:val="none" w:sz="0" w:space="0" w:color="auto"/>
            <w:left w:val="none" w:sz="0" w:space="0" w:color="auto"/>
            <w:bottom w:val="none" w:sz="0" w:space="0" w:color="auto"/>
            <w:right w:val="none" w:sz="0" w:space="0" w:color="auto"/>
          </w:divBdr>
        </w:div>
        <w:div w:id="236860465">
          <w:marLeft w:val="360"/>
          <w:marRight w:val="0"/>
          <w:marTop w:val="200"/>
          <w:marBottom w:val="0"/>
          <w:divBdr>
            <w:top w:val="none" w:sz="0" w:space="0" w:color="auto"/>
            <w:left w:val="none" w:sz="0" w:space="0" w:color="auto"/>
            <w:bottom w:val="none" w:sz="0" w:space="0" w:color="auto"/>
            <w:right w:val="none" w:sz="0" w:space="0" w:color="auto"/>
          </w:divBdr>
        </w:div>
        <w:div w:id="336856948">
          <w:marLeft w:val="360"/>
          <w:marRight w:val="0"/>
          <w:marTop w:val="200"/>
          <w:marBottom w:val="0"/>
          <w:divBdr>
            <w:top w:val="none" w:sz="0" w:space="0" w:color="auto"/>
            <w:left w:val="none" w:sz="0" w:space="0" w:color="auto"/>
            <w:bottom w:val="none" w:sz="0" w:space="0" w:color="auto"/>
            <w:right w:val="none" w:sz="0" w:space="0" w:color="auto"/>
          </w:divBdr>
        </w:div>
      </w:divsChild>
    </w:div>
    <w:div w:id="1697735912">
      <w:bodyDiv w:val="1"/>
      <w:marLeft w:val="0"/>
      <w:marRight w:val="0"/>
      <w:marTop w:val="0"/>
      <w:marBottom w:val="0"/>
      <w:divBdr>
        <w:top w:val="none" w:sz="0" w:space="0" w:color="auto"/>
        <w:left w:val="none" w:sz="0" w:space="0" w:color="auto"/>
        <w:bottom w:val="none" w:sz="0" w:space="0" w:color="auto"/>
        <w:right w:val="none" w:sz="0" w:space="0" w:color="auto"/>
      </w:divBdr>
      <w:divsChild>
        <w:div w:id="1154640259">
          <w:marLeft w:val="1166"/>
          <w:marRight w:val="0"/>
          <w:marTop w:val="86"/>
          <w:marBottom w:val="0"/>
          <w:divBdr>
            <w:top w:val="none" w:sz="0" w:space="0" w:color="auto"/>
            <w:left w:val="none" w:sz="0" w:space="0" w:color="auto"/>
            <w:bottom w:val="none" w:sz="0" w:space="0" w:color="auto"/>
            <w:right w:val="none" w:sz="0" w:space="0" w:color="auto"/>
          </w:divBdr>
        </w:div>
        <w:div w:id="1344282571">
          <w:marLeft w:val="1166"/>
          <w:marRight w:val="0"/>
          <w:marTop w:val="86"/>
          <w:marBottom w:val="0"/>
          <w:divBdr>
            <w:top w:val="none" w:sz="0" w:space="0" w:color="auto"/>
            <w:left w:val="none" w:sz="0" w:space="0" w:color="auto"/>
            <w:bottom w:val="none" w:sz="0" w:space="0" w:color="auto"/>
            <w:right w:val="none" w:sz="0" w:space="0" w:color="auto"/>
          </w:divBdr>
        </w:div>
        <w:div w:id="1639408560">
          <w:marLeft w:val="547"/>
          <w:marRight w:val="0"/>
          <w:marTop w:val="96"/>
          <w:marBottom w:val="0"/>
          <w:divBdr>
            <w:top w:val="none" w:sz="0" w:space="0" w:color="auto"/>
            <w:left w:val="none" w:sz="0" w:space="0" w:color="auto"/>
            <w:bottom w:val="none" w:sz="0" w:space="0" w:color="auto"/>
            <w:right w:val="none" w:sz="0" w:space="0" w:color="auto"/>
          </w:divBdr>
        </w:div>
      </w:divsChild>
    </w:div>
    <w:div w:id="1728340921">
      <w:bodyDiv w:val="1"/>
      <w:marLeft w:val="0"/>
      <w:marRight w:val="0"/>
      <w:marTop w:val="0"/>
      <w:marBottom w:val="0"/>
      <w:divBdr>
        <w:top w:val="none" w:sz="0" w:space="0" w:color="auto"/>
        <w:left w:val="none" w:sz="0" w:space="0" w:color="auto"/>
        <w:bottom w:val="none" w:sz="0" w:space="0" w:color="auto"/>
        <w:right w:val="none" w:sz="0" w:space="0" w:color="auto"/>
      </w:divBdr>
    </w:div>
    <w:div w:id="1742286725">
      <w:bodyDiv w:val="1"/>
      <w:marLeft w:val="0"/>
      <w:marRight w:val="0"/>
      <w:marTop w:val="0"/>
      <w:marBottom w:val="0"/>
      <w:divBdr>
        <w:top w:val="none" w:sz="0" w:space="0" w:color="auto"/>
        <w:left w:val="none" w:sz="0" w:space="0" w:color="auto"/>
        <w:bottom w:val="none" w:sz="0" w:space="0" w:color="auto"/>
        <w:right w:val="none" w:sz="0" w:space="0" w:color="auto"/>
      </w:divBdr>
      <w:divsChild>
        <w:div w:id="332338267">
          <w:marLeft w:val="1627"/>
          <w:marRight w:val="0"/>
          <w:marTop w:val="77"/>
          <w:marBottom w:val="0"/>
          <w:divBdr>
            <w:top w:val="none" w:sz="0" w:space="0" w:color="auto"/>
            <w:left w:val="none" w:sz="0" w:space="0" w:color="auto"/>
            <w:bottom w:val="none" w:sz="0" w:space="0" w:color="auto"/>
            <w:right w:val="none" w:sz="0" w:space="0" w:color="auto"/>
          </w:divBdr>
        </w:div>
        <w:div w:id="805975399">
          <w:marLeft w:val="1166"/>
          <w:marRight w:val="0"/>
          <w:marTop w:val="86"/>
          <w:marBottom w:val="0"/>
          <w:divBdr>
            <w:top w:val="none" w:sz="0" w:space="0" w:color="auto"/>
            <w:left w:val="none" w:sz="0" w:space="0" w:color="auto"/>
            <w:bottom w:val="none" w:sz="0" w:space="0" w:color="auto"/>
            <w:right w:val="none" w:sz="0" w:space="0" w:color="auto"/>
          </w:divBdr>
        </w:div>
        <w:div w:id="1123696999">
          <w:marLeft w:val="1166"/>
          <w:marRight w:val="0"/>
          <w:marTop w:val="86"/>
          <w:marBottom w:val="0"/>
          <w:divBdr>
            <w:top w:val="none" w:sz="0" w:space="0" w:color="auto"/>
            <w:left w:val="none" w:sz="0" w:space="0" w:color="auto"/>
            <w:bottom w:val="none" w:sz="0" w:space="0" w:color="auto"/>
            <w:right w:val="none" w:sz="0" w:space="0" w:color="auto"/>
          </w:divBdr>
        </w:div>
        <w:div w:id="2046060083">
          <w:marLeft w:val="1166"/>
          <w:marRight w:val="0"/>
          <w:marTop w:val="86"/>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11629765">
      <w:bodyDiv w:val="1"/>
      <w:marLeft w:val="0"/>
      <w:marRight w:val="0"/>
      <w:marTop w:val="0"/>
      <w:marBottom w:val="0"/>
      <w:divBdr>
        <w:top w:val="none" w:sz="0" w:space="0" w:color="auto"/>
        <w:left w:val="none" w:sz="0" w:space="0" w:color="auto"/>
        <w:bottom w:val="none" w:sz="0" w:space="0" w:color="auto"/>
        <w:right w:val="none" w:sz="0" w:space="0" w:color="auto"/>
      </w:divBdr>
    </w:div>
    <w:div w:id="1882814691">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37442888">
      <w:bodyDiv w:val="1"/>
      <w:marLeft w:val="0"/>
      <w:marRight w:val="0"/>
      <w:marTop w:val="0"/>
      <w:marBottom w:val="0"/>
      <w:divBdr>
        <w:top w:val="none" w:sz="0" w:space="0" w:color="auto"/>
        <w:left w:val="none" w:sz="0" w:space="0" w:color="auto"/>
        <w:bottom w:val="none" w:sz="0" w:space="0" w:color="auto"/>
        <w:right w:val="none" w:sz="0" w:space="0" w:color="auto"/>
      </w:divBdr>
      <w:divsChild>
        <w:div w:id="635990906">
          <w:marLeft w:val="1166"/>
          <w:marRight w:val="0"/>
          <w:marTop w:val="86"/>
          <w:marBottom w:val="0"/>
          <w:divBdr>
            <w:top w:val="none" w:sz="0" w:space="0" w:color="auto"/>
            <w:left w:val="none" w:sz="0" w:space="0" w:color="auto"/>
            <w:bottom w:val="none" w:sz="0" w:space="0" w:color="auto"/>
            <w:right w:val="none" w:sz="0" w:space="0" w:color="auto"/>
          </w:divBdr>
        </w:div>
        <w:div w:id="742458371">
          <w:marLeft w:val="1166"/>
          <w:marRight w:val="0"/>
          <w:marTop w:val="86"/>
          <w:marBottom w:val="0"/>
          <w:divBdr>
            <w:top w:val="none" w:sz="0" w:space="0" w:color="auto"/>
            <w:left w:val="none" w:sz="0" w:space="0" w:color="auto"/>
            <w:bottom w:val="none" w:sz="0" w:space="0" w:color="auto"/>
            <w:right w:val="none" w:sz="0" w:space="0" w:color="auto"/>
          </w:divBdr>
        </w:div>
        <w:div w:id="1148518858">
          <w:marLeft w:val="1166"/>
          <w:marRight w:val="0"/>
          <w:marTop w:val="86"/>
          <w:marBottom w:val="0"/>
          <w:divBdr>
            <w:top w:val="none" w:sz="0" w:space="0" w:color="auto"/>
            <w:left w:val="none" w:sz="0" w:space="0" w:color="auto"/>
            <w:bottom w:val="none" w:sz="0" w:space="0" w:color="auto"/>
            <w:right w:val="none" w:sz="0" w:space="0" w:color="auto"/>
          </w:divBdr>
        </w:div>
        <w:div w:id="1211579310">
          <w:marLeft w:val="547"/>
          <w:marRight w:val="0"/>
          <w:marTop w:val="96"/>
          <w:marBottom w:val="0"/>
          <w:divBdr>
            <w:top w:val="none" w:sz="0" w:space="0" w:color="auto"/>
            <w:left w:val="none" w:sz="0" w:space="0" w:color="auto"/>
            <w:bottom w:val="none" w:sz="0" w:space="0" w:color="auto"/>
            <w:right w:val="none" w:sz="0" w:space="0" w:color="auto"/>
          </w:divBdr>
        </w:div>
        <w:div w:id="1633243688">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5279362">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1266897">
      <w:bodyDiv w:val="1"/>
      <w:marLeft w:val="0"/>
      <w:marRight w:val="0"/>
      <w:marTop w:val="0"/>
      <w:marBottom w:val="0"/>
      <w:divBdr>
        <w:top w:val="none" w:sz="0" w:space="0" w:color="auto"/>
        <w:left w:val="none" w:sz="0" w:space="0" w:color="auto"/>
        <w:bottom w:val="none" w:sz="0" w:space="0" w:color="auto"/>
        <w:right w:val="none" w:sz="0" w:space="0" w:color="auto"/>
      </w:divBdr>
    </w:div>
    <w:div w:id="2135980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CFC1AB-D623-4CC0-835B-FD9C71633127}">
  <ds:schemaRefs>
    <ds:schemaRef ds:uri="http://schemas.microsoft.com/sharepoint/v3/contenttype/forms"/>
  </ds:schemaRefs>
</ds:datastoreItem>
</file>

<file path=customXml/itemProps2.xml><?xml version="1.0" encoding="utf-8"?>
<ds:datastoreItem xmlns:ds="http://schemas.openxmlformats.org/officeDocument/2006/customXml" ds:itemID="{98C90B87-C407-4FB2-A74D-ECA0D833F3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3B69F5-D8E4-407D-88CC-9CBFCCA99FC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02F27B9-7F39-4D51-B2D2-9C45E3F995C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1</TotalTime>
  <Pages>4</Pages>
  <Words>1719</Words>
  <Characters>9384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11081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Valentin Gheorghiu</cp:lastModifiedBy>
  <cp:revision>3</cp:revision>
  <cp:lastPrinted>2013-01-18T15:27:00Z</cp:lastPrinted>
  <dcterms:created xsi:type="dcterms:W3CDTF">2023-05-15T15:03:00Z</dcterms:created>
  <dcterms:modified xsi:type="dcterms:W3CDTF">2023-05-15T15:04:00Z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00000000D4221C6ABBE1EC43AD8D465D2A5FD7A0070003F10243EF85A845A4BDE706BA468AD40000184023F60000EE7614724487D542826B8566AD05A9E00003CFE3964F0000</vt:lpwstr>
  </property>
  <property fmtid="{D5CDD505-2E9C-101B-9397-08002B2CF9AE}" pid="8" name="_EmailStoreID0">
    <vt:lpwstr>0000000038A1BB1005E5101AA1BB08002B2A56C20000454D534D44422E444C4C00000000000000001B55FA20AA6611CD9BC800AA002FC45A0C000000766768656F726768407174692E7175616C636F6D6D2E636F6D002F6F3D5175616C636F6D6D2F6F753D45786368616E67652041646D696E6973747261746976652047726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F7570202846594449424F484632335350444C54292F636E3D526563697069656E74732F636E3D766768656F72676800E94632F446000000020000001000000076006700680065006F0072006700680040007100740069002E007100750061006C0063006F006D006D002E0063006F006D0000000000</vt:lpwstr>
  </property>
  <property fmtid="{D5CDD505-2E9C-101B-9397-08002B2CF9AE}" pid="10" name="_EmailStoreID2">
    <vt:lpwstr>006D002E0063006F006D0000000000</vt:lpwstr>
  </property>
  <property fmtid="{D5CDD505-2E9C-101B-9397-08002B2CF9AE}" pid="11" name="_AdHocReviewCycleID">
    <vt:i4>807866054</vt:i4>
  </property>
  <property fmtid="{D5CDD505-2E9C-101B-9397-08002B2CF9AE}" pid="12" name="_EmailSubject">
    <vt:lpwstr>refined beams and wider beams</vt:lpwstr>
  </property>
  <property fmtid="{D5CDD505-2E9C-101B-9397-08002B2CF9AE}" pid="13" name="_AuthorEmail">
    <vt:lpwstr>awlokj@qti.qualcomm.com</vt:lpwstr>
  </property>
  <property fmtid="{D5CDD505-2E9C-101B-9397-08002B2CF9AE}" pid="14" name="_AuthorEmailDisplayName">
    <vt:lpwstr>Awlok Josan</vt:lpwstr>
  </property>
  <property fmtid="{D5CDD505-2E9C-101B-9397-08002B2CF9AE}" pid="15" name="_PreviousAdHocReviewCycleID">
    <vt:i4>504071080</vt:i4>
  </property>
  <property fmtid="{D5CDD505-2E9C-101B-9397-08002B2CF9AE}" pid="16" name="_ReviewingToolsShownOnce">
    <vt:lpwstr/>
  </property>
  <property fmtid="{D5CDD505-2E9C-101B-9397-08002B2CF9AE}" pid="17" name="ContentTypeId">
    <vt:lpwstr>0x010100EB28163D68FE8E4D9361964FDD814FC4</vt:lpwstr>
  </property>
</Properties>
</file>