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93C" w:rsidRPr="004A029C" w:rsidRDefault="007A793C" w:rsidP="007A793C">
      <w:pPr>
        <w:pStyle w:val="Header"/>
        <w:keepLines/>
        <w:tabs>
          <w:tab w:val="right" w:pos="10440"/>
          <w:tab w:val="right" w:pos="13323"/>
        </w:tabs>
        <w:spacing w:before="60" w:after="60"/>
        <w:rPr>
          <w:rFonts w:eastAsia="宋体" w:cs="Arial"/>
          <w:b w:val="0"/>
          <w:sz w:val="24"/>
          <w:szCs w:val="24"/>
          <w:lang w:eastAsia="zh-CN"/>
        </w:rPr>
      </w:pPr>
      <w:r w:rsidRPr="004A029C">
        <w:rPr>
          <w:rFonts w:cs="Arial"/>
          <w:sz w:val="24"/>
          <w:szCs w:val="24"/>
        </w:rPr>
        <w:t>GPP TSG-RAN WG4 Meeting #</w:t>
      </w:r>
      <w:r w:rsidRPr="004A029C">
        <w:rPr>
          <w:rFonts w:cs="Arial"/>
        </w:rPr>
        <w:t xml:space="preserve"> </w:t>
      </w:r>
      <w:r w:rsidR="005058F4" w:rsidRPr="00062030">
        <w:rPr>
          <w:rFonts w:cs="Arial"/>
          <w:sz w:val="24"/>
          <w:szCs w:val="24"/>
        </w:rPr>
        <w:t>10</w:t>
      </w:r>
      <w:r w:rsidR="00E8351C">
        <w:rPr>
          <w:rFonts w:cs="Arial"/>
          <w:sz w:val="24"/>
          <w:szCs w:val="24"/>
        </w:rPr>
        <w:t>7</w:t>
      </w:r>
      <w:r w:rsidRPr="004A029C">
        <w:rPr>
          <w:rFonts w:cs="Arial"/>
          <w:sz w:val="24"/>
          <w:szCs w:val="24"/>
        </w:rPr>
        <w:tab/>
      </w:r>
      <w:r w:rsidR="00852245" w:rsidRPr="00852245">
        <w:rPr>
          <w:rFonts w:cs="Arial"/>
          <w:sz w:val="24"/>
          <w:szCs w:val="24"/>
        </w:rPr>
        <w:t>R4-2308313</w:t>
      </w:r>
    </w:p>
    <w:p w:rsidR="00E8351C" w:rsidRPr="00E13633" w:rsidRDefault="00E8351C" w:rsidP="00E8351C">
      <w:pPr>
        <w:pStyle w:val="Header"/>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Incheon</w:t>
      </w:r>
      <w:r w:rsidRPr="005925BA">
        <w:rPr>
          <w:rFonts w:eastAsia="宋体" w:cs="Arial"/>
          <w:sz w:val="24"/>
          <w:szCs w:val="24"/>
          <w:lang w:eastAsia="zh-CN"/>
        </w:rPr>
        <w:t>, KR</w:t>
      </w:r>
      <w:r>
        <w:rPr>
          <w:rFonts w:eastAsia="宋体" w:cs="Arial"/>
          <w:sz w:val="24"/>
          <w:szCs w:val="24"/>
          <w:lang w:eastAsia="zh-CN"/>
        </w:rPr>
        <w:t>,</w:t>
      </w:r>
      <w:r w:rsidRPr="00E13633">
        <w:rPr>
          <w:rFonts w:eastAsia="宋体" w:cs="Arial"/>
          <w:sz w:val="24"/>
          <w:szCs w:val="24"/>
          <w:lang w:eastAsia="zh-CN"/>
        </w:rPr>
        <w:t xml:space="preserve"> </w:t>
      </w:r>
      <w:r>
        <w:rPr>
          <w:rFonts w:eastAsia="宋体" w:cs="Arial"/>
          <w:sz w:val="24"/>
          <w:szCs w:val="24"/>
          <w:lang w:eastAsia="zh-CN"/>
        </w:rPr>
        <w:t>May 22</w:t>
      </w:r>
      <w:r w:rsidRPr="00E13633">
        <w:rPr>
          <w:rFonts w:eastAsia="宋体" w:cs="Arial"/>
          <w:sz w:val="24"/>
          <w:szCs w:val="24"/>
          <w:lang w:eastAsia="zh-CN"/>
        </w:rPr>
        <w:t xml:space="preserve"> – </w:t>
      </w:r>
      <w:r>
        <w:rPr>
          <w:rFonts w:eastAsia="宋体" w:cs="Arial"/>
          <w:sz w:val="24"/>
          <w:szCs w:val="24"/>
          <w:lang w:eastAsia="zh-CN"/>
        </w:rPr>
        <w:t>May 26, 2023</w:t>
      </w:r>
    </w:p>
    <w:p w:rsidR="00DF0231" w:rsidRPr="002D2977" w:rsidRDefault="00DF0231" w:rsidP="00DF0231">
      <w:pPr>
        <w:pStyle w:val="Footer"/>
        <w:rPr>
          <w:noProof w:val="0"/>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DF48A2">
        <w:rPr>
          <w:rFonts w:ascii="Arial" w:hAnsi="Arial"/>
          <w:sz w:val="24"/>
          <w:lang w:val="en-US"/>
        </w:rPr>
        <w:t>9.7.6</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C13653" w:rsidRPr="00C13653">
        <w:rPr>
          <w:rFonts w:ascii="Arial" w:hAnsi="Arial"/>
          <w:sz w:val="24"/>
          <w:lang w:val="en-US"/>
        </w:rPr>
        <w:t>Discussion on performance requirements for IoT NTN</w:t>
      </w:r>
      <w:bookmarkStart w:id="0" w:name="_GoBack"/>
      <w:bookmarkEnd w:id="0"/>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5058F4" w:rsidRDefault="00411C89" w:rsidP="00622EBC">
      <w:pPr>
        <w:rPr>
          <w:rFonts w:eastAsiaTheme="minorEastAsia"/>
          <w:lang w:val="en-US" w:eastAsia="zh-CN"/>
        </w:rPr>
      </w:pPr>
      <w:r>
        <w:rPr>
          <w:rFonts w:eastAsiaTheme="minorEastAsia"/>
          <w:lang w:val="en-US" w:eastAsia="zh-CN"/>
        </w:rPr>
        <w:t xml:space="preserve">The Rel-18 RAN4 WID was approved in [1] to define requirements for Rel-17 IoT NTN [2]. In Rel-17 IoT NTN, RAN1/2/3 specifications were defined to enable NB-IoT and </w:t>
      </w:r>
      <w:proofErr w:type="spellStart"/>
      <w:r>
        <w:rPr>
          <w:rFonts w:eastAsiaTheme="minorEastAsia"/>
          <w:lang w:val="en-US" w:eastAsia="zh-CN"/>
        </w:rPr>
        <w:t>eMTC</w:t>
      </w:r>
      <w:proofErr w:type="spellEnd"/>
      <w:r>
        <w:rPr>
          <w:rFonts w:eastAsiaTheme="minorEastAsia"/>
          <w:lang w:val="en-US" w:eastAsia="zh-CN"/>
        </w:rPr>
        <w:t xml:space="preserve"> operating over NTN. </w:t>
      </w:r>
      <w:r w:rsidR="00430AE6">
        <w:rPr>
          <w:rFonts w:eastAsiaTheme="minorEastAsia"/>
          <w:lang w:val="en-US" w:eastAsia="zh-CN"/>
        </w:rPr>
        <w:t>In last RAN4 meeting,</w:t>
      </w:r>
      <w:r w:rsidR="009A4685">
        <w:rPr>
          <w:rFonts w:eastAsiaTheme="minorEastAsia"/>
          <w:lang w:val="en-US" w:eastAsia="zh-CN"/>
        </w:rPr>
        <w:t xml:space="preserve"> </w:t>
      </w:r>
      <w:r w:rsidR="00E8351C">
        <w:rPr>
          <w:rFonts w:eastAsiaTheme="minorEastAsia"/>
          <w:lang w:val="en-US" w:eastAsia="zh-CN"/>
        </w:rPr>
        <w:t>most issues about performance part were settled [3] with CR for test cases endorsed</w:t>
      </w:r>
      <w:r w:rsidR="005058F4">
        <w:rPr>
          <w:rFonts w:eastAsiaTheme="minorEastAsia"/>
          <w:lang w:val="en-US" w:eastAsia="zh-CN"/>
        </w:rPr>
        <w:t>. In this paper, we further provide our views on remaining issues.</w:t>
      </w:r>
    </w:p>
    <w:p w:rsidR="00FC7913" w:rsidRDefault="00DF0231" w:rsidP="00FC7913">
      <w:pPr>
        <w:pStyle w:val="Heading1"/>
        <w:numPr>
          <w:ilvl w:val="0"/>
          <w:numId w:val="1"/>
        </w:numPr>
        <w:rPr>
          <w:lang w:val="en-US"/>
        </w:rPr>
      </w:pPr>
      <w:r w:rsidRPr="002D2977">
        <w:rPr>
          <w:lang w:val="en-US"/>
        </w:rPr>
        <w:t>Discussion</w:t>
      </w:r>
    </w:p>
    <w:p w:rsidR="00E8351C" w:rsidRDefault="00E8351C" w:rsidP="004E4C75">
      <w:pPr>
        <w:jc w:val="both"/>
        <w:rPr>
          <w:rFonts w:eastAsiaTheme="minorEastAsia"/>
          <w:lang w:val="en-US" w:eastAsia="zh-CN"/>
        </w:rPr>
      </w:pPr>
      <w:r w:rsidRPr="00E8351C">
        <w:rPr>
          <w:rFonts w:eastAsiaTheme="minorEastAsia"/>
          <w:lang w:val="en-US" w:eastAsia="zh-CN"/>
        </w:rPr>
        <w:t xml:space="preserve">One of the remaining issues is whether to have different PHR table for NB-IoT for different type of satellites. </w:t>
      </w:r>
      <w:r>
        <w:rPr>
          <w:rFonts w:eastAsiaTheme="minorEastAsia"/>
          <w:lang w:val="en-US" w:eastAsia="zh-CN"/>
        </w:rPr>
        <w:t>The status is summarized as follows:</w:t>
      </w:r>
    </w:p>
    <w:tbl>
      <w:tblPr>
        <w:tblStyle w:val="TableGrid"/>
        <w:tblW w:w="0" w:type="auto"/>
        <w:tblLook w:val="04A0" w:firstRow="1" w:lastRow="0" w:firstColumn="1" w:lastColumn="0" w:noHBand="0" w:noVBand="1"/>
      </w:tblPr>
      <w:tblGrid>
        <w:gridCol w:w="9562"/>
      </w:tblGrid>
      <w:tr w:rsidR="00E8351C" w:rsidTr="00E8351C">
        <w:tc>
          <w:tcPr>
            <w:tcW w:w="9562" w:type="dxa"/>
          </w:tcPr>
          <w:p w:rsidR="00E8351C" w:rsidRPr="00A32960" w:rsidRDefault="00E8351C" w:rsidP="00E8351C">
            <w:pPr>
              <w:keepNext/>
              <w:keepLines/>
              <w:spacing w:before="120"/>
              <w:outlineLvl w:val="3"/>
              <w:rPr>
                <w:rFonts w:ascii="Arial" w:hAnsi="Arial" w:cs="Arial"/>
                <w:sz w:val="24"/>
                <w:szCs w:val="18"/>
                <w:lang w:val="sv-SE" w:eastAsia="zh-CN"/>
              </w:rPr>
            </w:pPr>
            <w:r w:rsidRPr="00A32960">
              <w:rPr>
                <w:rFonts w:ascii="Arial" w:hAnsi="Arial" w:cs="Arial"/>
                <w:sz w:val="24"/>
                <w:szCs w:val="18"/>
                <w:lang w:val="sv-SE" w:eastAsia="zh-CN"/>
              </w:rPr>
              <w:t>Issue 2: PHR reporting for NB-IoT</w:t>
            </w:r>
          </w:p>
          <w:p w:rsidR="00E8351C" w:rsidRPr="00BD277A" w:rsidRDefault="00E8351C" w:rsidP="00E8351C">
            <w:pPr>
              <w:numPr>
                <w:ilvl w:val="0"/>
                <w:numId w:val="7"/>
              </w:numPr>
              <w:overflowPunct w:val="0"/>
              <w:autoSpaceDE w:val="0"/>
              <w:autoSpaceDN w:val="0"/>
              <w:adjustRightInd w:val="0"/>
              <w:textAlignment w:val="baseline"/>
              <w:rPr>
                <w:color w:val="2F5496" w:themeColor="accent5" w:themeShade="BF"/>
              </w:rPr>
            </w:pPr>
            <w:r w:rsidRPr="00BD277A">
              <w:rPr>
                <w:color w:val="2F5496" w:themeColor="accent5" w:themeShade="BF"/>
              </w:rPr>
              <w:t>No need to discuss PHR reporting tables for M1, as it has been agreed to reuse the legacy tables.</w:t>
            </w:r>
          </w:p>
          <w:p w:rsidR="00E8351C" w:rsidRPr="00BD277A" w:rsidRDefault="00E8351C" w:rsidP="00E8351C">
            <w:pPr>
              <w:numPr>
                <w:ilvl w:val="0"/>
                <w:numId w:val="7"/>
              </w:numPr>
              <w:overflowPunct w:val="0"/>
              <w:autoSpaceDE w:val="0"/>
              <w:autoSpaceDN w:val="0"/>
              <w:adjustRightInd w:val="0"/>
              <w:textAlignment w:val="baseline"/>
              <w:rPr>
                <w:color w:val="2F5496" w:themeColor="accent5" w:themeShade="BF"/>
              </w:rPr>
            </w:pPr>
            <w:r w:rsidRPr="00BD277A">
              <w:rPr>
                <w:color w:val="2F5496" w:themeColor="accent5" w:themeShade="BF"/>
              </w:rPr>
              <w:t xml:space="preserve">For NB-IoT LEO, legacy PHR reporting values can be reused for IoT NTN.  </w:t>
            </w:r>
          </w:p>
          <w:p w:rsidR="00E8351C" w:rsidRDefault="00E8351C" w:rsidP="00E8351C">
            <w:pPr>
              <w:numPr>
                <w:ilvl w:val="0"/>
                <w:numId w:val="7"/>
              </w:numPr>
              <w:overflowPunct w:val="0"/>
              <w:autoSpaceDE w:val="0"/>
              <w:autoSpaceDN w:val="0"/>
              <w:adjustRightInd w:val="0"/>
              <w:textAlignment w:val="baseline"/>
              <w:rPr>
                <w:color w:val="2F5496" w:themeColor="accent5" w:themeShade="BF"/>
              </w:rPr>
            </w:pPr>
            <w:r w:rsidRPr="00BD277A">
              <w:rPr>
                <w:color w:val="2F5496" w:themeColor="accent5" w:themeShade="BF"/>
              </w:rPr>
              <w:t xml:space="preserve">For NB-IoT GEO, continue discussion. </w:t>
            </w:r>
          </w:p>
          <w:p w:rsidR="00E8351C" w:rsidRPr="00A32960" w:rsidRDefault="00E8351C" w:rsidP="00E8351C">
            <w:pPr>
              <w:numPr>
                <w:ilvl w:val="1"/>
                <w:numId w:val="7"/>
              </w:numPr>
              <w:overflowPunct w:val="0"/>
              <w:autoSpaceDE w:val="0"/>
              <w:autoSpaceDN w:val="0"/>
              <w:adjustRightInd w:val="0"/>
              <w:spacing w:after="120"/>
              <w:textAlignment w:val="baseline"/>
              <w:rPr>
                <w:rFonts w:eastAsiaTheme="minorEastAsia"/>
                <w:iCs/>
                <w:lang w:val="en-US" w:eastAsia="zh-CN"/>
              </w:rPr>
            </w:pPr>
            <w:r w:rsidRPr="00A32960">
              <w:rPr>
                <w:rFonts w:eastAsiaTheme="minorEastAsia"/>
                <w:iCs/>
                <w:lang w:val="en-US" w:eastAsia="zh-CN"/>
              </w:rPr>
              <w:t>Option 1: reuse legacy PHR reporting values for IoT NTN</w:t>
            </w:r>
          </w:p>
          <w:p w:rsidR="00E8351C" w:rsidRPr="000E4259" w:rsidRDefault="00E8351C" w:rsidP="00E8351C">
            <w:pPr>
              <w:numPr>
                <w:ilvl w:val="1"/>
                <w:numId w:val="7"/>
              </w:numPr>
              <w:overflowPunct w:val="0"/>
              <w:autoSpaceDE w:val="0"/>
              <w:autoSpaceDN w:val="0"/>
              <w:adjustRightInd w:val="0"/>
              <w:spacing w:after="120"/>
              <w:textAlignment w:val="baseline"/>
              <w:rPr>
                <w:rFonts w:eastAsiaTheme="minorEastAsia"/>
                <w:iCs/>
                <w:lang w:val="en-US" w:eastAsia="zh-CN"/>
              </w:rPr>
            </w:pPr>
            <w:r w:rsidRPr="00A32960">
              <w:rPr>
                <w:rFonts w:eastAsiaTheme="minorEastAsia"/>
                <w:iCs/>
                <w:lang w:val="en-US" w:eastAsia="zh-CN"/>
              </w:rPr>
              <w:t xml:space="preserve">Option 2: modify the values in exiting tables to include more </w:t>
            </w:r>
            <w:r w:rsidRPr="000E4259">
              <w:rPr>
                <w:rFonts w:eastAsiaTheme="minorEastAsia"/>
                <w:iCs/>
                <w:lang w:val="en-US" w:eastAsia="zh-CN"/>
              </w:rPr>
              <w:t>negative PHR reporting values</w:t>
            </w:r>
          </w:p>
          <w:p w:rsidR="00E8351C" w:rsidRPr="000E4259" w:rsidRDefault="00E8351C" w:rsidP="00E8351C">
            <w:pPr>
              <w:keepNext/>
              <w:keepLines/>
              <w:numPr>
                <w:ilvl w:val="0"/>
                <w:numId w:val="7"/>
              </w:numPr>
              <w:overflowPunct w:val="0"/>
              <w:autoSpaceDE w:val="0"/>
              <w:autoSpaceDN w:val="0"/>
              <w:adjustRightInd w:val="0"/>
              <w:spacing w:before="60" w:after="160" w:line="259" w:lineRule="auto"/>
              <w:ind w:left="1616"/>
              <w:textAlignment w:val="baseline"/>
              <w:rPr>
                <w:rFonts w:eastAsiaTheme="minorHAnsi"/>
                <w:bCs/>
                <w:sz w:val="18"/>
                <w:szCs w:val="18"/>
                <w:lang w:val="x-none" w:eastAsia="x-none"/>
              </w:rPr>
            </w:pPr>
            <w:r w:rsidRPr="000E4259">
              <w:rPr>
                <w:rFonts w:eastAsiaTheme="minorHAnsi"/>
                <w:bCs/>
                <w:sz w:val="18"/>
                <w:szCs w:val="18"/>
                <w:lang w:val="x-none" w:eastAsia="x-none"/>
              </w:rPr>
              <w:t>Power headroom report mapping for UE category NB1 UEs not supporting enhanced PHR when the enhanced coverage level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0E4259" w:rsidRDefault="00E8351C" w:rsidP="00E8351C">
                  <w:pPr>
                    <w:keepNext/>
                    <w:keepLines/>
                    <w:spacing w:after="0"/>
                    <w:jc w:val="center"/>
                    <w:rPr>
                      <w:b/>
                      <w:sz w:val="18"/>
                      <w:szCs w:val="18"/>
                      <w:lang w:val="x-none"/>
                    </w:rPr>
                  </w:pPr>
                  <w:r w:rsidRPr="000E4259">
                    <w:rPr>
                      <w:b/>
                      <w:sz w:val="18"/>
                      <w:szCs w:val="18"/>
                      <w:lang w:val="x-none"/>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b/>
                      <w:sz w:val="18"/>
                      <w:szCs w:val="18"/>
                      <w:lang w:val="x-none"/>
                    </w:rPr>
                  </w:pPr>
                  <w:r w:rsidRPr="000E4259">
                    <w:rPr>
                      <w:b/>
                      <w:sz w:val="18"/>
                      <w:szCs w:val="18"/>
                      <w:lang w:val="x-none"/>
                    </w:rPr>
                    <w:t>Measured quantity value (dB)</w:t>
                  </w:r>
                </w:p>
              </w:tc>
            </w:tr>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Pr>
                      <w:rFonts w:ascii="PMingLiU" w:eastAsia="PMingLiU" w:hAnsi="PMingLiU" w:hint="eastAsia"/>
                      <w:sz w:val="18"/>
                      <w:szCs w:val="18"/>
                      <w:lang w:val="x-none" w:eastAsia="zh-TW"/>
                    </w:rPr>
                    <w:t>[</w:t>
                  </w:r>
                  <w:r w:rsidRPr="00A32960">
                    <w:rPr>
                      <w:sz w:val="18"/>
                      <w:szCs w:val="18"/>
                      <w:lang w:val="x-none" w:eastAsia="ja-JP"/>
                    </w:rPr>
                    <w:t>-10</w:t>
                  </w:r>
                  <w:r>
                    <w:rPr>
                      <w:rFonts w:ascii="PMingLiU" w:eastAsia="PMingLiU" w:hAnsi="PMingLiU" w:hint="eastAsia"/>
                      <w:sz w:val="18"/>
                      <w:szCs w:val="18"/>
                      <w:lang w:val="x-none" w:eastAsia="zh-TW"/>
                    </w:rPr>
                    <w:t>]</w:t>
                  </w:r>
                </w:p>
              </w:tc>
            </w:tr>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Pr>
                      <w:rFonts w:ascii="PMingLiU" w:eastAsia="PMingLiU" w:hAnsi="PMingLiU" w:hint="eastAsia"/>
                      <w:sz w:val="18"/>
                      <w:szCs w:val="18"/>
                      <w:lang w:val="x-none" w:eastAsia="zh-TW"/>
                    </w:rPr>
                    <w:t>[</w:t>
                  </w:r>
                  <w:r w:rsidRPr="00A32960">
                    <w:rPr>
                      <w:sz w:val="18"/>
                      <w:szCs w:val="18"/>
                      <w:lang w:val="x-none" w:eastAsia="ja-JP"/>
                    </w:rPr>
                    <w:t>-10</w:t>
                  </w:r>
                  <w:r>
                    <w:rPr>
                      <w:rFonts w:ascii="PMingLiU" w:eastAsia="PMingLiU" w:hAnsi="PMingLiU"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Pr>
                      <w:rFonts w:ascii="PMingLiU" w:eastAsia="PMingLiU" w:hAnsi="PMingLiU" w:hint="eastAsia"/>
                      <w:sz w:val="18"/>
                      <w:szCs w:val="18"/>
                      <w:lang w:val="x-none" w:eastAsia="zh-TW"/>
                    </w:rPr>
                    <w:t>[</w:t>
                  </w:r>
                  <w:r w:rsidRPr="00A32960">
                    <w:rPr>
                      <w:sz w:val="18"/>
                      <w:szCs w:val="18"/>
                      <w:lang w:val="x-none" w:eastAsia="ja-JP"/>
                    </w:rPr>
                    <w:t>-2</w:t>
                  </w:r>
                  <w:r>
                    <w:rPr>
                      <w:rFonts w:ascii="PMingLiU" w:eastAsia="PMingLiU" w:hAnsi="PMingLiU" w:hint="eastAsia"/>
                      <w:sz w:val="18"/>
                      <w:szCs w:val="18"/>
                      <w:lang w:val="x-none" w:eastAsia="zh-TW"/>
                    </w:rPr>
                    <w:t>]</w:t>
                  </w:r>
                </w:p>
              </w:tc>
            </w:tr>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Pr>
                      <w:rFonts w:ascii="PMingLiU" w:eastAsia="PMingLiU" w:hAnsi="PMingLiU" w:hint="eastAsia"/>
                      <w:sz w:val="18"/>
                      <w:szCs w:val="18"/>
                      <w:lang w:val="x-none" w:eastAsia="zh-TW"/>
                    </w:rPr>
                    <w:t>[</w:t>
                  </w:r>
                  <w:r w:rsidRPr="00A32960">
                    <w:rPr>
                      <w:sz w:val="18"/>
                      <w:szCs w:val="18"/>
                      <w:lang w:val="x-none" w:eastAsia="ja-JP"/>
                    </w:rPr>
                    <w:t>-2</w:t>
                  </w:r>
                  <w:r>
                    <w:rPr>
                      <w:rFonts w:ascii="PMingLiU" w:eastAsia="PMingLiU" w:hAnsi="PMingLiU"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6 </w:t>
                  </w:r>
                </w:p>
              </w:tc>
            </w:tr>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PH ≥ 6</w:t>
                  </w:r>
                </w:p>
              </w:tc>
            </w:tr>
          </w:tbl>
          <w:p w:rsidR="00E8351C" w:rsidRPr="00A32960" w:rsidRDefault="00E8351C" w:rsidP="00E8351C">
            <w:pPr>
              <w:keepNext/>
              <w:keepLines/>
              <w:numPr>
                <w:ilvl w:val="0"/>
                <w:numId w:val="7"/>
              </w:numPr>
              <w:overflowPunct w:val="0"/>
              <w:autoSpaceDE w:val="0"/>
              <w:autoSpaceDN w:val="0"/>
              <w:adjustRightInd w:val="0"/>
              <w:spacing w:before="60" w:after="160" w:line="259" w:lineRule="auto"/>
              <w:ind w:left="1616"/>
              <w:textAlignment w:val="baseline"/>
              <w:rPr>
                <w:rFonts w:eastAsiaTheme="minorHAnsi"/>
                <w:bCs/>
                <w:sz w:val="18"/>
                <w:szCs w:val="18"/>
                <w:lang w:val="x-none" w:eastAsia="x-none"/>
              </w:rPr>
            </w:pPr>
            <w:r w:rsidRPr="00A32960">
              <w:rPr>
                <w:rFonts w:eastAsiaTheme="minorHAnsi"/>
                <w:bCs/>
                <w:sz w:val="18"/>
                <w:szCs w:val="18"/>
                <w:lang w:val="x-none" w:eastAsia="x-none"/>
              </w:rPr>
              <w:t>Power headroom report mapping for UE category NB1 UEs not supporting enhanced PHR when the enhanced coverage level other than 0 is selected during random access procedure and UE is served by GEO satellite</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1"/>
              <w:gridCol w:w="2889"/>
            </w:tblGrid>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b/>
                      <w:sz w:val="18"/>
                      <w:szCs w:val="18"/>
                      <w:lang w:val="x-none" w:eastAsia="ja-JP"/>
                    </w:rPr>
                  </w:pPr>
                  <w:r w:rsidRPr="00A32960">
                    <w:rPr>
                      <w:b/>
                      <w:sz w:val="18"/>
                      <w:szCs w:val="18"/>
                      <w:lang w:val="x-none"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b/>
                      <w:sz w:val="18"/>
                      <w:szCs w:val="18"/>
                      <w:lang w:val="x-none" w:eastAsia="ja-JP"/>
                    </w:rPr>
                  </w:pPr>
                  <w:r w:rsidRPr="00A32960">
                    <w:rPr>
                      <w:b/>
                      <w:sz w:val="18"/>
                      <w:szCs w:val="18"/>
                      <w:lang w:val="x-none" w:eastAsia="ja-JP"/>
                    </w:rPr>
                    <w:t>Measured quantity value (dB)</w:t>
                  </w:r>
                </w:p>
              </w:tc>
            </w:tr>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en-US" w:eastAsia="ja-JP"/>
                    </w:rPr>
                    <w:t>-54</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w:t>
                  </w:r>
                  <w:r>
                    <w:rPr>
                      <w:rFonts w:ascii="PMingLiU" w:eastAsia="PMingLiU" w:hAnsi="PMingLiU" w:hint="eastAsia"/>
                      <w:sz w:val="18"/>
                      <w:szCs w:val="18"/>
                      <w:lang w:val="x-none" w:eastAsia="zh-TW"/>
                    </w:rPr>
                    <w:t>[</w:t>
                  </w:r>
                  <w:r w:rsidRPr="00A32960">
                    <w:rPr>
                      <w:sz w:val="18"/>
                      <w:szCs w:val="18"/>
                      <w:lang w:val="x-none" w:eastAsia="ja-JP"/>
                    </w:rPr>
                    <w:t>-30</w:t>
                  </w:r>
                  <w:r>
                    <w:rPr>
                      <w:rFonts w:ascii="PMingLiU" w:eastAsia="PMingLiU" w:hAnsi="PMingLiU" w:hint="eastAsia"/>
                      <w:sz w:val="18"/>
                      <w:szCs w:val="18"/>
                      <w:lang w:val="x-none" w:eastAsia="zh-TW"/>
                    </w:rPr>
                    <w:t>]</w:t>
                  </w:r>
                </w:p>
              </w:tc>
            </w:tr>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Pr>
                      <w:rFonts w:ascii="PMingLiU" w:eastAsia="PMingLiU" w:hAnsi="PMingLiU" w:hint="eastAsia"/>
                      <w:sz w:val="18"/>
                      <w:szCs w:val="18"/>
                      <w:lang w:val="x-none" w:eastAsia="zh-TW"/>
                    </w:rPr>
                    <w:t>[</w:t>
                  </w:r>
                  <w:r w:rsidRPr="00A32960">
                    <w:rPr>
                      <w:sz w:val="18"/>
                      <w:szCs w:val="18"/>
                      <w:lang w:val="x-none" w:eastAsia="ja-JP"/>
                    </w:rPr>
                    <w:t>-30</w:t>
                  </w:r>
                  <w:r>
                    <w:rPr>
                      <w:rFonts w:ascii="PMingLiU" w:eastAsia="PMingLiU" w:hAnsi="PMingLiU"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Pr>
                      <w:rFonts w:ascii="PMingLiU" w:eastAsia="PMingLiU" w:hAnsi="PMingLiU" w:hint="eastAsia"/>
                      <w:sz w:val="18"/>
                      <w:szCs w:val="18"/>
                      <w:lang w:val="x-none" w:eastAsia="zh-TW"/>
                    </w:rPr>
                    <w:t xml:space="preserve"> [</w:t>
                  </w:r>
                  <w:r w:rsidRPr="00A32960">
                    <w:rPr>
                      <w:sz w:val="18"/>
                      <w:szCs w:val="18"/>
                      <w:lang w:val="x-none" w:eastAsia="ja-JP"/>
                    </w:rPr>
                    <w:t>-20</w:t>
                  </w:r>
                  <w:r>
                    <w:rPr>
                      <w:rFonts w:ascii="PMingLiU" w:eastAsia="PMingLiU" w:hAnsi="PMingLiU" w:hint="eastAsia"/>
                      <w:sz w:val="18"/>
                      <w:szCs w:val="18"/>
                      <w:lang w:val="x-none" w:eastAsia="zh-TW"/>
                    </w:rPr>
                    <w:t>]</w:t>
                  </w:r>
                </w:p>
              </w:tc>
            </w:tr>
            <w:tr w:rsidR="00E8351C" w:rsidRPr="00A32960" w:rsidTr="00921E33">
              <w:trPr>
                <w:trHeight w:val="60"/>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Pr>
                      <w:rFonts w:ascii="PMingLiU" w:eastAsia="PMingLiU" w:hAnsi="PMingLiU" w:hint="eastAsia"/>
                      <w:sz w:val="18"/>
                      <w:szCs w:val="18"/>
                      <w:lang w:val="x-none" w:eastAsia="zh-TW"/>
                    </w:rPr>
                    <w:t>[</w:t>
                  </w:r>
                  <w:r w:rsidRPr="00A32960">
                    <w:rPr>
                      <w:sz w:val="18"/>
                      <w:szCs w:val="18"/>
                      <w:lang w:val="x-none" w:eastAsia="ja-JP"/>
                    </w:rPr>
                    <w:t>-20</w:t>
                  </w:r>
                  <w:r>
                    <w:rPr>
                      <w:rFonts w:ascii="PMingLiU" w:eastAsia="PMingLiU" w:hAnsi="PMingLiU" w:hint="eastAsia"/>
                      <w:sz w:val="18"/>
                      <w:szCs w:val="18"/>
                      <w:lang w:val="x-none" w:eastAsia="zh-TW"/>
                    </w:rPr>
                    <w:t>]</w:t>
                  </w:r>
                  <w:r w:rsidRPr="00A32960">
                    <w:rPr>
                      <w:sz w:val="18"/>
                      <w:szCs w:val="18"/>
                      <w:lang w:val="x-none" w:eastAsia="ja-JP"/>
                    </w:rPr>
                    <w:t xml:space="preserve"> </w:t>
                  </w:r>
                  <w:r w:rsidRPr="00A32960">
                    <w:rPr>
                      <w:sz w:val="18"/>
                      <w:szCs w:val="18"/>
                      <w:lang w:val="x-none" w:eastAsia="ja-JP"/>
                    </w:rPr>
                    <w:sym w:font="Symbol" w:char="F0A3"/>
                  </w:r>
                  <w:r w:rsidRPr="00A32960">
                    <w:rPr>
                      <w:sz w:val="18"/>
                      <w:szCs w:val="18"/>
                      <w:lang w:val="x-none" w:eastAsia="ja-JP"/>
                    </w:rPr>
                    <w:t xml:space="preserve"> PH </w:t>
                  </w:r>
                  <w:r w:rsidRPr="00A32960">
                    <w:rPr>
                      <w:sz w:val="18"/>
                      <w:szCs w:val="18"/>
                      <w:lang w:val="x-none" w:eastAsia="ja-JP"/>
                    </w:rPr>
                    <w:sym w:font="Symbol" w:char="F03C"/>
                  </w:r>
                  <w:r w:rsidRPr="00A32960">
                    <w:rPr>
                      <w:sz w:val="18"/>
                      <w:szCs w:val="18"/>
                      <w:lang w:val="x-none" w:eastAsia="ja-JP"/>
                    </w:rPr>
                    <w:t xml:space="preserve"> 6 </w:t>
                  </w:r>
                </w:p>
              </w:tc>
            </w:tr>
            <w:tr w:rsidR="00E8351C" w:rsidRPr="00A32960" w:rsidTr="00921E33">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rsidR="00E8351C" w:rsidRPr="00A32960" w:rsidRDefault="00E8351C" w:rsidP="00E8351C">
                  <w:pPr>
                    <w:keepNext/>
                    <w:keepLines/>
                    <w:spacing w:after="0"/>
                    <w:jc w:val="center"/>
                    <w:rPr>
                      <w:sz w:val="18"/>
                      <w:szCs w:val="18"/>
                      <w:lang w:val="x-none" w:eastAsia="ja-JP"/>
                    </w:rPr>
                  </w:pPr>
                  <w:r w:rsidRPr="00A32960">
                    <w:rPr>
                      <w:sz w:val="18"/>
                      <w:szCs w:val="18"/>
                      <w:lang w:val="x-none" w:eastAsia="ja-JP"/>
                    </w:rPr>
                    <w:t>PH ≥ 6</w:t>
                  </w:r>
                </w:p>
              </w:tc>
            </w:tr>
          </w:tbl>
          <w:p w:rsidR="00E8351C" w:rsidRDefault="00E8351C" w:rsidP="004E4C75">
            <w:pPr>
              <w:jc w:val="both"/>
              <w:rPr>
                <w:rFonts w:eastAsiaTheme="minorEastAsia"/>
                <w:lang w:val="en-US" w:eastAsia="zh-CN"/>
              </w:rPr>
            </w:pPr>
          </w:p>
        </w:tc>
      </w:tr>
    </w:tbl>
    <w:p w:rsidR="00E8351C" w:rsidRDefault="00E8351C" w:rsidP="004E4C75">
      <w:pPr>
        <w:jc w:val="both"/>
        <w:rPr>
          <w:rFonts w:eastAsiaTheme="minorEastAsia"/>
          <w:lang w:val="en-US" w:eastAsia="zh-CN"/>
        </w:rPr>
      </w:pPr>
    </w:p>
    <w:p w:rsidR="00E8351C" w:rsidRDefault="00E8351C" w:rsidP="004E4C75">
      <w:pPr>
        <w:jc w:val="both"/>
        <w:rPr>
          <w:rFonts w:eastAsiaTheme="minorEastAsia"/>
          <w:lang w:val="en-US" w:eastAsia="zh-CN"/>
        </w:rPr>
      </w:pPr>
      <w:r>
        <w:rPr>
          <w:rFonts w:eastAsiaTheme="minorEastAsia"/>
          <w:lang w:val="en-US" w:eastAsia="zh-CN"/>
        </w:rPr>
        <w:t xml:space="preserve">The controversial issue is whether to have a new PHR table with finer </w:t>
      </w:r>
      <w:r w:rsidR="003C5308">
        <w:rPr>
          <w:rFonts w:eastAsiaTheme="minorEastAsia"/>
          <w:lang w:val="en-US" w:eastAsia="zh-CN"/>
        </w:rPr>
        <w:t xml:space="preserve">granularity for negative values. More specifically, when the type of satellite is GEO and CE level 1 or 2 are selected, it is proposed to use a new PHR table than the legacy ones. We can understand the motivation that the pathloss can be larger in GEO. However, from our understanding, the benefits for have finer level for negative values are questionable. </w:t>
      </w:r>
      <w:r w:rsidR="00972E20">
        <w:rPr>
          <w:rFonts w:eastAsiaTheme="minorEastAsia"/>
          <w:lang w:val="en-US" w:eastAsia="zh-CN"/>
        </w:rPr>
        <w:t xml:space="preserve">Back to the discussion in Rel-13 when the value of the </w:t>
      </w:r>
      <w:r w:rsidR="00972E20">
        <w:rPr>
          <w:rFonts w:eastAsiaTheme="minorEastAsia"/>
          <w:lang w:val="en-US" w:eastAsia="zh-CN"/>
        </w:rPr>
        <w:lastRenderedPageBreak/>
        <w:t>PHR table was determined, - 23 dB was assumed as the minimum value when NW will schedule single tone NPUSCH with 128 repetition level. For smaller PHR value, there is no different from NW side since it already reaches the largest repetition level. After that, the lower bound is extended to – 54 dB since it was identified that the PHR could be lower considering 164 MCL. At that time, it was discussed whether to have a lower band (e.g. 54 dB) or – infinite in the table. It means lower value won’t bring much benefits for NW scheduling.</w:t>
      </w:r>
    </w:p>
    <w:p w:rsidR="00972E20" w:rsidRPr="004D53A0" w:rsidRDefault="00972E20" w:rsidP="004E4C75">
      <w:pPr>
        <w:jc w:val="both"/>
        <w:rPr>
          <w:rFonts w:eastAsiaTheme="minorEastAsia"/>
          <w:b/>
          <w:lang w:val="en-US" w:eastAsia="zh-CN"/>
        </w:rPr>
      </w:pPr>
      <w:r w:rsidRPr="004D53A0">
        <w:rPr>
          <w:rFonts w:eastAsiaTheme="minorEastAsia"/>
          <w:b/>
          <w:lang w:val="en-US" w:eastAsia="zh-CN"/>
        </w:rPr>
        <w:t xml:space="preserve">Observation 1: NW will mostly schedule maximum repetition level when PHR is lower than -23 </w:t>
      </w:r>
      <w:proofErr w:type="spellStart"/>
      <w:r w:rsidRPr="004D53A0">
        <w:rPr>
          <w:rFonts w:eastAsiaTheme="minorEastAsia"/>
          <w:b/>
          <w:lang w:val="en-US" w:eastAsia="zh-CN"/>
        </w:rPr>
        <w:t>dB.</w:t>
      </w:r>
      <w:proofErr w:type="spellEnd"/>
    </w:p>
    <w:p w:rsidR="00972E20" w:rsidRDefault="00972E20" w:rsidP="00972E20">
      <w:pPr>
        <w:jc w:val="both"/>
        <w:rPr>
          <w:rFonts w:eastAsiaTheme="minorEastAsia"/>
          <w:lang w:val="en-US" w:eastAsia="zh-CN"/>
        </w:rPr>
      </w:pPr>
      <w:r>
        <w:rPr>
          <w:rFonts w:eastAsiaTheme="minorEastAsia"/>
          <w:lang w:val="en-US" w:eastAsia="zh-CN"/>
        </w:rPr>
        <w:t>We recognized that the pathloss of NTN especially GEO could be lower, however, there is no enhancement in coverage from both UE side and NW side. In other words, even UE can report different value for (-54, -30) and (-30, -20), it cannot help NW scheduling since NW can only configure largest repetition level as TN.</w:t>
      </w:r>
    </w:p>
    <w:p w:rsidR="004D53A0" w:rsidRPr="004D53A0" w:rsidRDefault="00972E20" w:rsidP="004D53A0">
      <w:pPr>
        <w:jc w:val="both"/>
        <w:rPr>
          <w:rFonts w:eastAsiaTheme="minorEastAsia"/>
          <w:b/>
          <w:lang w:val="en-US" w:eastAsia="zh-CN"/>
        </w:rPr>
      </w:pPr>
      <w:r w:rsidRPr="004D53A0">
        <w:rPr>
          <w:rFonts w:eastAsiaTheme="minorEastAsia"/>
          <w:b/>
          <w:lang w:val="en-US" w:eastAsia="zh-CN"/>
        </w:rPr>
        <w:t xml:space="preserve">Observation 2: Though </w:t>
      </w:r>
      <w:r w:rsidR="004D53A0" w:rsidRPr="004D53A0">
        <w:rPr>
          <w:rFonts w:eastAsiaTheme="minorEastAsia"/>
          <w:b/>
          <w:lang w:val="en-US" w:eastAsia="zh-CN"/>
        </w:rPr>
        <w:t>UE can report different PHR for negative values, it cannot help NW scheduling since NW can only configure largest repetition level as TN.</w:t>
      </w:r>
    </w:p>
    <w:p w:rsidR="004D53A0" w:rsidRDefault="004D53A0" w:rsidP="004D53A0">
      <w:pPr>
        <w:jc w:val="both"/>
        <w:rPr>
          <w:rFonts w:eastAsiaTheme="minorEastAsia"/>
          <w:lang w:val="en-US" w:eastAsia="zh-CN"/>
        </w:rPr>
      </w:pPr>
      <w:r>
        <w:rPr>
          <w:rFonts w:eastAsiaTheme="minorEastAsia"/>
          <w:lang w:val="en-US" w:eastAsia="zh-CN"/>
        </w:rPr>
        <w:t xml:space="preserve">Based on the analysis above, it is suggested </w:t>
      </w:r>
      <w:r w:rsidRPr="004D53A0">
        <w:rPr>
          <w:rFonts w:eastAsiaTheme="minorEastAsia"/>
          <w:lang w:val="en-US" w:eastAsia="zh-CN"/>
        </w:rPr>
        <w:t xml:space="preserve">reuse legacy PHR reporting values for </w:t>
      </w:r>
      <w:r>
        <w:rPr>
          <w:rFonts w:eastAsiaTheme="minorEastAsia"/>
          <w:lang w:val="en-US" w:eastAsia="zh-CN"/>
        </w:rPr>
        <w:t>NB-IoT GEO.</w:t>
      </w:r>
    </w:p>
    <w:p w:rsidR="004D53A0" w:rsidRPr="004D53A0" w:rsidRDefault="004D53A0" w:rsidP="004D53A0">
      <w:pPr>
        <w:jc w:val="both"/>
        <w:rPr>
          <w:rFonts w:eastAsiaTheme="minorEastAsia"/>
          <w:b/>
          <w:lang w:val="en-US" w:eastAsia="zh-CN"/>
        </w:rPr>
      </w:pPr>
      <w:r w:rsidRPr="004D53A0">
        <w:rPr>
          <w:rFonts w:eastAsiaTheme="minorEastAsia"/>
          <w:b/>
          <w:lang w:val="en-US" w:eastAsia="zh-CN"/>
        </w:rPr>
        <w:t>Proposal 1: Reuse legacy PHR reporting values for NB-IoT GEO.</w:t>
      </w:r>
    </w:p>
    <w:p w:rsidR="00972E20" w:rsidRDefault="00562EFF" w:rsidP="00972E20">
      <w:pPr>
        <w:jc w:val="both"/>
        <w:rPr>
          <w:rFonts w:eastAsiaTheme="minorEastAsia"/>
          <w:lang w:val="en-US" w:eastAsia="zh-CN"/>
        </w:rPr>
      </w:pPr>
      <w:r>
        <w:rPr>
          <w:rFonts w:eastAsiaTheme="minorEastAsia"/>
          <w:lang w:val="en-US" w:eastAsia="zh-CN"/>
        </w:rPr>
        <w:t>In last meeting, it was agreed to define test cases for intra-frequency measurement for GEO, which can apply without ephemeris information. For RRC re-establishment requirements, we noticed that only EC are considered which shown as follow. Based on our understanding, the motivation is to limited the number of TC for cross covering (intra-f for EC and inter-for NC). However, for IoT NTN, if only Intra-frequency measurement are considered, it is more reasonable to consider both NC and EC.</w:t>
      </w:r>
    </w:p>
    <w:tbl>
      <w:tblPr>
        <w:tblStyle w:val="TableGrid"/>
        <w:tblW w:w="0" w:type="auto"/>
        <w:tblLook w:val="04A0" w:firstRow="1" w:lastRow="0" w:firstColumn="1" w:lastColumn="0" w:noHBand="0" w:noVBand="1"/>
      </w:tblPr>
      <w:tblGrid>
        <w:gridCol w:w="9562"/>
      </w:tblGrid>
      <w:tr w:rsidR="00562EFF" w:rsidTr="00562EFF">
        <w:tc>
          <w:tcPr>
            <w:tcW w:w="9562" w:type="dxa"/>
          </w:tcPr>
          <w:p w:rsidR="00562EFF" w:rsidRPr="000E4259" w:rsidRDefault="00562EFF" w:rsidP="00562EFF">
            <w:pPr>
              <w:keepNext/>
              <w:keepLines/>
              <w:spacing w:before="120"/>
              <w:outlineLvl w:val="3"/>
              <w:rPr>
                <w:rFonts w:ascii="Arial" w:hAnsi="Arial" w:cs="Arial"/>
                <w:sz w:val="24"/>
                <w:szCs w:val="18"/>
                <w:lang w:val="sv-SE" w:eastAsia="zh-CN"/>
              </w:rPr>
            </w:pPr>
            <w:r w:rsidRPr="000E4259">
              <w:rPr>
                <w:rFonts w:ascii="Arial" w:hAnsi="Arial" w:cs="Arial"/>
                <w:sz w:val="24"/>
                <w:szCs w:val="18"/>
                <w:lang w:val="sv-SE" w:eastAsia="zh-CN"/>
              </w:rPr>
              <w:t>Issue 7: Tests involving neighbor cell measurement</w:t>
            </w:r>
          </w:p>
          <w:p w:rsidR="00562EFF" w:rsidRPr="000E4259" w:rsidRDefault="00562EFF" w:rsidP="00562EFF">
            <w:pPr>
              <w:numPr>
                <w:ilvl w:val="0"/>
                <w:numId w:val="7"/>
              </w:numPr>
              <w:overflowPunct w:val="0"/>
              <w:autoSpaceDE w:val="0"/>
              <w:autoSpaceDN w:val="0"/>
              <w:adjustRightInd w:val="0"/>
              <w:textAlignment w:val="baseline"/>
            </w:pPr>
            <w:r w:rsidRPr="000E4259">
              <w:t xml:space="preserve">Introduce the following test cases of intra-frequency measurements for GEO, for NB-IoT and M1, respectively: </w:t>
            </w:r>
          </w:p>
          <w:tbl>
            <w:tblPr>
              <w:tblStyle w:val="TableGrid"/>
              <w:tblW w:w="0" w:type="auto"/>
              <w:tblInd w:w="739" w:type="dxa"/>
              <w:tblLook w:val="04A0" w:firstRow="1" w:lastRow="0" w:firstColumn="1" w:lastColumn="0" w:noHBand="0" w:noVBand="1"/>
            </w:tblPr>
            <w:tblGrid>
              <w:gridCol w:w="1208"/>
              <w:gridCol w:w="1106"/>
              <w:gridCol w:w="4073"/>
              <w:gridCol w:w="696"/>
            </w:tblGrid>
            <w:tr w:rsidR="00562EFF" w:rsidRPr="000E4259" w:rsidTr="00E17049">
              <w:trPr>
                <w:trHeight w:val="248"/>
              </w:trPr>
              <w:tc>
                <w:tcPr>
                  <w:tcW w:w="1208" w:type="dxa"/>
                  <w:vMerge w:val="restart"/>
                </w:tcPr>
                <w:p w:rsidR="00562EFF" w:rsidRPr="000E4259" w:rsidRDefault="00562EFF" w:rsidP="00562EFF">
                  <w:pPr>
                    <w:rPr>
                      <w:rFonts w:eastAsiaTheme="minorEastAsia"/>
                      <w:sz w:val="16"/>
                      <w:szCs w:val="16"/>
                      <w:lang w:val="en-US" w:eastAsia="zh-CN"/>
                    </w:rPr>
                  </w:pPr>
                  <w:r w:rsidRPr="000E4259">
                    <w:rPr>
                      <w:rFonts w:eastAsiaTheme="minorEastAsia"/>
                      <w:sz w:val="16"/>
                      <w:szCs w:val="16"/>
                      <w:lang w:val="en-US" w:eastAsia="zh-CN"/>
                    </w:rPr>
                    <w:t>RRC_IDLE state</w:t>
                  </w:r>
                </w:p>
              </w:tc>
              <w:tc>
                <w:tcPr>
                  <w:tcW w:w="1106" w:type="dxa"/>
                  <w:vMerge w:val="restart"/>
                </w:tcPr>
                <w:p w:rsidR="00562EFF" w:rsidRPr="000E4259" w:rsidRDefault="00562EFF" w:rsidP="00562EFF">
                  <w:pPr>
                    <w:rPr>
                      <w:rFonts w:eastAsiaTheme="minorEastAsia"/>
                      <w:sz w:val="16"/>
                      <w:szCs w:val="16"/>
                      <w:lang w:val="en-US" w:eastAsia="zh-CN"/>
                    </w:rPr>
                  </w:pPr>
                  <w:r w:rsidRPr="000E4259">
                    <w:rPr>
                      <w:sz w:val="16"/>
                      <w:szCs w:val="16"/>
                    </w:rPr>
                    <w:t>Cell Re-Selection</w:t>
                  </w:r>
                </w:p>
              </w:tc>
              <w:tc>
                <w:tcPr>
                  <w:tcW w:w="4073" w:type="dxa"/>
                </w:tcPr>
                <w:p w:rsidR="00562EFF" w:rsidRPr="000E4259" w:rsidRDefault="00562EFF" w:rsidP="00562EFF">
                  <w:pPr>
                    <w:rPr>
                      <w:sz w:val="16"/>
                      <w:szCs w:val="16"/>
                    </w:rPr>
                  </w:pPr>
                  <w:r w:rsidRPr="000E4259">
                    <w:rPr>
                      <w:sz w:val="16"/>
                      <w:szCs w:val="16"/>
                    </w:rPr>
                    <w:t>HD – FDD Intra frequency case for UE Category NB1 in normal coverage</w:t>
                  </w:r>
                </w:p>
              </w:tc>
              <w:tc>
                <w:tcPr>
                  <w:tcW w:w="696" w:type="dxa"/>
                </w:tcPr>
                <w:p w:rsidR="00562EFF" w:rsidRPr="000E4259" w:rsidRDefault="00562EFF" w:rsidP="00562EFF">
                  <w:pPr>
                    <w:rPr>
                      <w:rFonts w:eastAsia="PMingLiU"/>
                      <w:sz w:val="16"/>
                      <w:szCs w:val="16"/>
                      <w:lang w:eastAsia="zh-TW"/>
                    </w:rPr>
                  </w:pPr>
                  <w:r w:rsidRPr="000E4259">
                    <w:rPr>
                      <w:rFonts w:eastAsia="PMingLiU"/>
                      <w:sz w:val="16"/>
                      <w:szCs w:val="16"/>
                      <w:lang w:eastAsia="zh-TW"/>
                    </w:rPr>
                    <w:t>NB 1-1</w:t>
                  </w:r>
                </w:p>
              </w:tc>
            </w:tr>
            <w:tr w:rsidR="00562EFF" w:rsidRPr="000E4259" w:rsidTr="00E17049">
              <w:trPr>
                <w:trHeight w:val="457"/>
              </w:trPr>
              <w:tc>
                <w:tcPr>
                  <w:tcW w:w="1208" w:type="dxa"/>
                  <w:vMerge/>
                </w:tcPr>
                <w:p w:rsidR="00562EFF" w:rsidRPr="000E4259" w:rsidRDefault="00562EFF" w:rsidP="00562EFF">
                  <w:pPr>
                    <w:rPr>
                      <w:rFonts w:eastAsiaTheme="minorEastAsia"/>
                      <w:sz w:val="16"/>
                      <w:szCs w:val="16"/>
                      <w:lang w:val="en-US" w:eastAsia="zh-CN"/>
                    </w:rPr>
                  </w:pPr>
                </w:p>
              </w:tc>
              <w:tc>
                <w:tcPr>
                  <w:tcW w:w="1106" w:type="dxa"/>
                  <w:vMerge/>
                </w:tcPr>
                <w:p w:rsidR="00562EFF" w:rsidRPr="000E4259" w:rsidRDefault="00562EFF" w:rsidP="00562EFF">
                  <w:pPr>
                    <w:rPr>
                      <w:sz w:val="16"/>
                      <w:szCs w:val="16"/>
                    </w:rPr>
                  </w:pPr>
                </w:p>
              </w:tc>
              <w:tc>
                <w:tcPr>
                  <w:tcW w:w="4073" w:type="dxa"/>
                </w:tcPr>
                <w:p w:rsidR="00562EFF" w:rsidRPr="000E4259" w:rsidRDefault="00562EFF" w:rsidP="00562EFF">
                  <w:pPr>
                    <w:rPr>
                      <w:sz w:val="16"/>
                      <w:szCs w:val="16"/>
                    </w:rPr>
                  </w:pPr>
                  <w:r w:rsidRPr="000E4259">
                    <w:rPr>
                      <w:sz w:val="16"/>
                      <w:szCs w:val="16"/>
                    </w:rPr>
                    <w:t xml:space="preserve">HD – FDD Intra frequency case for UE Category NB1 </w:t>
                  </w:r>
                  <w:r w:rsidRPr="000E4259">
                    <w:rPr>
                      <w:sz w:val="16"/>
                      <w:szCs w:val="16"/>
                      <w:u w:val="single"/>
                    </w:rPr>
                    <w:t>Standalone mode</w:t>
                  </w:r>
                  <w:r w:rsidRPr="000E4259">
                    <w:rPr>
                      <w:sz w:val="16"/>
                      <w:szCs w:val="16"/>
                    </w:rPr>
                    <w:t xml:space="preserve"> in normal coverage with serving cell RRM measurement relaxation</w:t>
                  </w:r>
                </w:p>
              </w:tc>
              <w:tc>
                <w:tcPr>
                  <w:tcW w:w="696" w:type="dxa"/>
                </w:tcPr>
                <w:p w:rsidR="00562EFF" w:rsidRPr="000E4259" w:rsidRDefault="00562EFF" w:rsidP="00562EFF">
                  <w:pPr>
                    <w:rPr>
                      <w:sz w:val="16"/>
                      <w:szCs w:val="16"/>
                    </w:rPr>
                  </w:pPr>
                  <w:r w:rsidRPr="000E4259">
                    <w:rPr>
                      <w:rFonts w:eastAsia="PMingLiU"/>
                      <w:sz w:val="16"/>
                      <w:szCs w:val="16"/>
                      <w:lang w:eastAsia="zh-TW"/>
                    </w:rPr>
                    <w:t>NB 1-3</w:t>
                  </w:r>
                </w:p>
              </w:tc>
            </w:tr>
            <w:tr w:rsidR="00562EFF" w:rsidRPr="000E4259" w:rsidTr="00E17049">
              <w:trPr>
                <w:trHeight w:val="457"/>
              </w:trPr>
              <w:tc>
                <w:tcPr>
                  <w:tcW w:w="1208" w:type="dxa"/>
                  <w:vMerge/>
                </w:tcPr>
                <w:p w:rsidR="00562EFF" w:rsidRPr="000E4259" w:rsidRDefault="00562EFF" w:rsidP="00562EFF">
                  <w:pPr>
                    <w:rPr>
                      <w:rFonts w:eastAsiaTheme="minorEastAsia"/>
                      <w:sz w:val="16"/>
                      <w:szCs w:val="16"/>
                      <w:lang w:val="en-US" w:eastAsia="zh-CN"/>
                    </w:rPr>
                  </w:pPr>
                </w:p>
              </w:tc>
              <w:tc>
                <w:tcPr>
                  <w:tcW w:w="1106" w:type="dxa"/>
                  <w:vMerge/>
                </w:tcPr>
                <w:p w:rsidR="00562EFF" w:rsidRPr="000E4259" w:rsidRDefault="00562EFF" w:rsidP="00562EFF">
                  <w:pPr>
                    <w:rPr>
                      <w:sz w:val="16"/>
                      <w:szCs w:val="16"/>
                    </w:rPr>
                  </w:pPr>
                </w:p>
              </w:tc>
              <w:tc>
                <w:tcPr>
                  <w:tcW w:w="4073" w:type="dxa"/>
                </w:tcPr>
                <w:p w:rsidR="00562EFF" w:rsidRPr="000E4259" w:rsidRDefault="00562EFF" w:rsidP="00562EFF">
                  <w:pPr>
                    <w:rPr>
                      <w:sz w:val="16"/>
                      <w:szCs w:val="16"/>
                    </w:rPr>
                  </w:pPr>
                  <w:r w:rsidRPr="000E4259">
                    <w:rPr>
                      <w:sz w:val="16"/>
                      <w:szCs w:val="16"/>
                    </w:rPr>
                    <w:t xml:space="preserve">HD – FDD Intra frequency case for UE Category NB1 </w:t>
                  </w:r>
                  <w:r w:rsidRPr="000E4259">
                    <w:rPr>
                      <w:sz w:val="16"/>
                      <w:szCs w:val="16"/>
                      <w:u w:val="single"/>
                    </w:rPr>
                    <w:t>Standalone</w:t>
                  </w:r>
                  <w:r w:rsidRPr="000E4259">
                    <w:rPr>
                      <w:sz w:val="16"/>
                      <w:szCs w:val="16"/>
                    </w:rPr>
                    <w:t xml:space="preserve"> mode in normal coverage with UE specific DRX</w:t>
                  </w:r>
                </w:p>
              </w:tc>
              <w:tc>
                <w:tcPr>
                  <w:tcW w:w="696" w:type="dxa"/>
                </w:tcPr>
                <w:p w:rsidR="00562EFF" w:rsidRPr="000E4259" w:rsidRDefault="00562EFF" w:rsidP="00562EFF">
                  <w:pPr>
                    <w:rPr>
                      <w:sz w:val="16"/>
                      <w:szCs w:val="16"/>
                    </w:rPr>
                  </w:pPr>
                  <w:r w:rsidRPr="000E4259">
                    <w:rPr>
                      <w:rFonts w:eastAsia="PMingLiU"/>
                      <w:sz w:val="16"/>
                      <w:szCs w:val="16"/>
                      <w:lang w:eastAsia="zh-TW"/>
                    </w:rPr>
                    <w:t>NB 1-4</w:t>
                  </w:r>
                </w:p>
              </w:tc>
            </w:tr>
            <w:tr w:rsidR="00562EFF" w:rsidRPr="000E4259" w:rsidTr="00E17049">
              <w:trPr>
                <w:trHeight w:val="54"/>
              </w:trPr>
              <w:tc>
                <w:tcPr>
                  <w:tcW w:w="1208" w:type="dxa"/>
                </w:tcPr>
                <w:p w:rsidR="00562EFF" w:rsidRPr="000E4259" w:rsidRDefault="00562EFF" w:rsidP="00562EFF">
                  <w:pPr>
                    <w:rPr>
                      <w:rFonts w:eastAsiaTheme="minorEastAsia"/>
                      <w:sz w:val="16"/>
                      <w:szCs w:val="16"/>
                      <w:lang w:val="en-US" w:eastAsia="zh-CN"/>
                    </w:rPr>
                  </w:pPr>
                  <w:r w:rsidRPr="000E4259">
                    <w:rPr>
                      <w:sz w:val="16"/>
                      <w:szCs w:val="16"/>
                    </w:rPr>
                    <w:t>RRC Connection Control</w:t>
                  </w:r>
                </w:p>
              </w:tc>
              <w:tc>
                <w:tcPr>
                  <w:tcW w:w="1106" w:type="dxa"/>
                </w:tcPr>
                <w:p w:rsidR="00562EFF" w:rsidRPr="000E4259" w:rsidRDefault="00562EFF" w:rsidP="00562EFF">
                  <w:pPr>
                    <w:rPr>
                      <w:rFonts w:eastAsiaTheme="minorEastAsia"/>
                      <w:sz w:val="16"/>
                      <w:szCs w:val="16"/>
                      <w:lang w:val="en-US" w:eastAsia="zh-CN"/>
                    </w:rPr>
                  </w:pPr>
                  <w:r w:rsidRPr="000E4259">
                    <w:rPr>
                      <w:snapToGrid w:val="0"/>
                      <w:sz w:val="16"/>
                      <w:szCs w:val="16"/>
                    </w:rPr>
                    <w:t>RRC Re-establishment</w:t>
                  </w:r>
                </w:p>
              </w:tc>
              <w:tc>
                <w:tcPr>
                  <w:tcW w:w="4073" w:type="dxa"/>
                </w:tcPr>
                <w:p w:rsidR="00562EFF" w:rsidRPr="000E4259" w:rsidRDefault="00562EFF" w:rsidP="00562EFF">
                  <w:pPr>
                    <w:rPr>
                      <w:strike/>
                      <w:snapToGrid w:val="0"/>
                      <w:sz w:val="16"/>
                      <w:szCs w:val="16"/>
                      <w:lang w:eastAsia="zh-CN"/>
                    </w:rPr>
                  </w:pPr>
                  <w:r w:rsidRPr="000E4259">
                    <w:rPr>
                      <w:snapToGrid w:val="0"/>
                      <w:sz w:val="16"/>
                      <w:szCs w:val="16"/>
                    </w:rPr>
                    <w:t>HD-FDD Intra-frequency RRC Re-establishment for UE</w:t>
                  </w:r>
                  <w:r w:rsidRPr="000E4259">
                    <w:rPr>
                      <w:snapToGrid w:val="0"/>
                      <w:sz w:val="16"/>
                      <w:szCs w:val="16"/>
                      <w:lang w:eastAsia="zh-CN"/>
                    </w:rPr>
                    <w:t xml:space="preserve"> category NB1 in </w:t>
                  </w:r>
                  <w:r w:rsidRPr="000E4259">
                    <w:rPr>
                      <w:snapToGrid w:val="0"/>
                      <w:sz w:val="16"/>
                      <w:szCs w:val="16"/>
                      <w:u w:val="single"/>
                      <w:lang w:eastAsia="zh-CN"/>
                    </w:rPr>
                    <w:t>Standalone</w:t>
                  </w:r>
                  <w:r w:rsidRPr="000E4259">
                    <w:rPr>
                      <w:snapToGrid w:val="0"/>
                      <w:sz w:val="16"/>
                      <w:szCs w:val="16"/>
                      <w:lang w:eastAsia="zh-CN"/>
                    </w:rPr>
                    <w:t xml:space="preserve"> mode under enhanced coverage</w:t>
                  </w:r>
                </w:p>
              </w:tc>
              <w:tc>
                <w:tcPr>
                  <w:tcW w:w="696" w:type="dxa"/>
                </w:tcPr>
                <w:p w:rsidR="00562EFF" w:rsidRPr="000E4259" w:rsidRDefault="00562EFF" w:rsidP="00562EFF">
                  <w:pPr>
                    <w:rPr>
                      <w:strike/>
                      <w:snapToGrid w:val="0"/>
                      <w:sz w:val="16"/>
                      <w:szCs w:val="16"/>
                    </w:rPr>
                  </w:pPr>
                  <w:r w:rsidRPr="000E4259">
                    <w:rPr>
                      <w:rFonts w:eastAsia="PMingLiU"/>
                      <w:sz w:val="16"/>
                      <w:szCs w:val="16"/>
                      <w:lang w:eastAsia="zh-TW"/>
                    </w:rPr>
                    <w:t>NB 2-1</w:t>
                  </w:r>
                </w:p>
              </w:tc>
            </w:tr>
          </w:tbl>
          <w:p w:rsidR="00562EFF" w:rsidRDefault="00562EFF" w:rsidP="00972E20">
            <w:pPr>
              <w:jc w:val="both"/>
              <w:rPr>
                <w:rFonts w:eastAsiaTheme="minorEastAsia"/>
                <w:lang w:val="en-US" w:eastAsia="zh-CN"/>
              </w:rPr>
            </w:pPr>
          </w:p>
        </w:tc>
      </w:tr>
    </w:tbl>
    <w:p w:rsidR="00562EFF" w:rsidRDefault="00562EFF" w:rsidP="00972E20">
      <w:pPr>
        <w:jc w:val="both"/>
        <w:rPr>
          <w:rFonts w:eastAsiaTheme="minorEastAsia"/>
          <w:lang w:val="en-US" w:eastAsia="zh-CN"/>
        </w:rPr>
      </w:pPr>
    </w:p>
    <w:p w:rsidR="00562EFF" w:rsidRPr="00562EFF" w:rsidRDefault="00562EFF" w:rsidP="00972E20">
      <w:pPr>
        <w:jc w:val="both"/>
        <w:rPr>
          <w:rFonts w:eastAsiaTheme="minorEastAsia"/>
          <w:b/>
          <w:lang w:val="en-US" w:eastAsia="zh-CN"/>
        </w:rPr>
      </w:pPr>
      <w:r w:rsidRPr="00562EFF">
        <w:rPr>
          <w:rFonts w:eastAsiaTheme="minorEastAsia"/>
          <w:b/>
          <w:lang w:val="en-US" w:eastAsia="zh-CN"/>
        </w:rPr>
        <w:t>Proposal 2: Define intra-frequency RRC Re-establishment TC for both NC and EC.</w:t>
      </w:r>
    </w:p>
    <w:p w:rsidR="00386BEA" w:rsidRPr="00386BEA" w:rsidRDefault="00DF0231" w:rsidP="00A86270">
      <w:pPr>
        <w:pStyle w:val="Heading1"/>
        <w:numPr>
          <w:ilvl w:val="0"/>
          <w:numId w:val="1"/>
        </w:numPr>
        <w:rPr>
          <w:lang w:val="en-US"/>
        </w:rPr>
      </w:pPr>
      <w:r w:rsidRPr="002D2977">
        <w:rPr>
          <w:lang w:val="en-US"/>
        </w:rPr>
        <w:t>Conclusions</w:t>
      </w:r>
    </w:p>
    <w:p w:rsidR="00A865C3" w:rsidRDefault="00A865C3" w:rsidP="00A865C3">
      <w:r w:rsidRPr="004D53A0">
        <w:rPr>
          <w:rFonts w:eastAsiaTheme="minorEastAsia"/>
          <w:b/>
          <w:lang w:val="en-US" w:eastAsia="zh-CN"/>
        </w:rPr>
        <w:t xml:space="preserve">Observation 1: NW will mostly schedule maximum repetition level when PHR is lower than -23 </w:t>
      </w:r>
      <w:proofErr w:type="spellStart"/>
      <w:r w:rsidRPr="004D53A0">
        <w:rPr>
          <w:rFonts w:eastAsiaTheme="minorEastAsia"/>
          <w:b/>
          <w:lang w:val="en-US" w:eastAsia="zh-CN"/>
        </w:rPr>
        <w:t>dB.</w:t>
      </w:r>
      <w:proofErr w:type="spellEnd"/>
    </w:p>
    <w:p w:rsidR="00A865C3" w:rsidRPr="004D53A0" w:rsidRDefault="00A865C3" w:rsidP="00A865C3">
      <w:pPr>
        <w:jc w:val="both"/>
        <w:rPr>
          <w:rFonts w:eastAsiaTheme="minorEastAsia"/>
          <w:b/>
          <w:lang w:val="en-US" w:eastAsia="zh-CN"/>
        </w:rPr>
      </w:pPr>
      <w:r w:rsidRPr="004D53A0">
        <w:rPr>
          <w:rFonts w:eastAsiaTheme="minorEastAsia"/>
          <w:b/>
          <w:lang w:val="en-US" w:eastAsia="zh-CN"/>
        </w:rPr>
        <w:t>Observation 2: Though UE can report different PHR for negative values, it cannot help NW scheduling since NW can only configure largest repetition level as TN.</w:t>
      </w:r>
    </w:p>
    <w:p w:rsidR="00A865C3" w:rsidRPr="004D53A0" w:rsidRDefault="00A865C3" w:rsidP="00A865C3">
      <w:pPr>
        <w:jc w:val="both"/>
        <w:rPr>
          <w:rFonts w:eastAsiaTheme="minorEastAsia"/>
          <w:b/>
          <w:lang w:val="en-US" w:eastAsia="zh-CN"/>
        </w:rPr>
      </w:pPr>
      <w:r w:rsidRPr="004D53A0">
        <w:rPr>
          <w:rFonts w:eastAsiaTheme="minorEastAsia"/>
          <w:b/>
          <w:lang w:val="en-US" w:eastAsia="zh-CN"/>
        </w:rPr>
        <w:t>Proposal 1: Reuse legacy PHR reporting values for NB-IoT GEO.</w:t>
      </w:r>
    </w:p>
    <w:p w:rsidR="00572936" w:rsidRPr="00A865C3" w:rsidRDefault="00FA2430" w:rsidP="00386BEA">
      <w:pPr>
        <w:jc w:val="both"/>
        <w:rPr>
          <w:rFonts w:eastAsiaTheme="minorEastAsia"/>
          <w:b/>
          <w:lang w:val="en-US" w:eastAsia="zh-CN"/>
        </w:rPr>
      </w:pPr>
      <w:r w:rsidRPr="00562EFF">
        <w:rPr>
          <w:rFonts w:eastAsiaTheme="minorEastAsia"/>
          <w:b/>
          <w:lang w:val="en-US" w:eastAsia="zh-CN"/>
        </w:rPr>
        <w:t>Proposal 2: Define intra-frequency RRC Re-establishment TC for both NC and EC.</w:t>
      </w:r>
    </w:p>
    <w:p w:rsidR="00DF0231" w:rsidRPr="002D2977" w:rsidRDefault="00DF0231" w:rsidP="00DF0231">
      <w:pPr>
        <w:pStyle w:val="Heading1"/>
        <w:tabs>
          <w:tab w:val="clear" w:pos="432"/>
        </w:tabs>
        <w:ind w:left="0" w:firstLine="0"/>
        <w:rPr>
          <w:lang w:val="en-US"/>
        </w:rPr>
      </w:pPr>
      <w:r w:rsidRPr="002D2977">
        <w:rPr>
          <w:lang w:val="en-US"/>
        </w:rPr>
        <w:t>References</w:t>
      </w:r>
    </w:p>
    <w:p w:rsidR="00B221C2" w:rsidRDefault="00B221C2" w:rsidP="00637A49">
      <w:r>
        <w:rPr>
          <w:rFonts w:eastAsiaTheme="minorEastAsia"/>
          <w:lang w:eastAsia="zh-CN"/>
        </w:rPr>
        <w:t xml:space="preserve">[1] </w:t>
      </w:r>
      <w:r w:rsidR="00411C89" w:rsidRPr="00411C89">
        <w:rPr>
          <w:rFonts w:eastAsiaTheme="minorEastAsia"/>
          <w:lang w:eastAsia="zh-CN"/>
        </w:rPr>
        <w:t>RP-221556</w:t>
      </w:r>
      <w:r w:rsidR="00411C89">
        <w:rPr>
          <w:rFonts w:eastAsiaTheme="minorEastAsia"/>
          <w:lang w:eastAsia="zh-CN"/>
        </w:rPr>
        <w:t xml:space="preserve"> </w:t>
      </w:r>
      <w:r w:rsidRPr="00B221C2">
        <w:rPr>
          <w:rFonts w:eastAsiaTheme="minorEastAsia"/>
          <w:lang w:eastAsia="zh-CN"/>
        </w:rPr>
        <w:t xml:space="preserve">New WID: </w:t>
      </w:r>
      <w:r w:rsidR="00411C89">
        <w:t>WID on NB-IoT/</w:t>
      </w:r>
      <w:proofErr w:type="spellStart"/>
      <w:r w:rsidR="00411C89">
        <w:t>eMTC</w:t>
      </w:r>
      <w:proofErr w:type="spellEnd"/>
      <w:r w:rsidR="00411C89">
        <w:t xml:space="preserve"> core &amp; performance requirements for Non-Terrestrial Networks</w:t>
      </w:r>
    </w:p>
    <w:p w:rsidR="00411C89" w:rsidRDefault="00411C89" w:rsidP="00637A49">
      <w:pPr>
        <w:rPr>
          <w:rFonts w:eastAsiaTheme="minorEastAsia"/>
          <w:lang w:eastAsia="zh-CN"/>
        </w:rPr>
      </w:pPr>
      <w:r>
        <w:t>[2] RP-211601 NB-IoT/</w:t>
      </w:r>
      <w:proofErr w:type="spellStart"/>
      <w:r>
        <w:t>eMTC</w:t>
      </w:r>
      <w:proofErr w:type="spellEnd"/>
      <w:r>
        <w:t xml:space="preserve"> support for Non-Terrestrial Networks</w:t>
      </w:r>
    </w:p>
    <w:p w:rsidR="007F425A" w:rsidRPr="00751D0C" w:rsidRDefault="00D679B7" w:rsidP="00751D0C">
      <w:pPr>
        <w:rPr>
          <w:rFonts w:eastAsiaTheme="minorEastAsia"/>
          <w:lang w:val="en-US" w:eastAsia="zh-CN"/>
        </w:rPr>
      </w:pPr>
      <w:r>
        <w:rPr>
          <w:rFonts w:eastAsiaTheme="minorEastAsia"/>
          <w:lang w:val="en-US" w:eastAsia="zh-CN"/>
        </w:rPr>
        <w:lastRenderedPageBreak/>
        <w:t xml:space="preserve">[3] </w:t>
      </w:r>
      <w:r w:rsidR="00E8351C" w:rsidRPr="00B02B63">
        <w:rPr>
          <w:rFonts w:eastAsiaTheme="minorEastAsia"/>
          <w:lang w:val="en-US" w:eastAsia="zh-CN"/>
        </w:rPr>
        <w:t>R4-2306370</w:t>
      </w:r>
      <w:r w:rsidR="00E8351C">
        <w:rPr>
          <w:rFonts w:eastAsiaTheme="minorEastAsia"/>
          <w:lang w:val="en-US" w:eastAsia="zh-CN"/>
        </w:rPr>
        <w:t xml:space="preserve"> </w:t>
      </w:r>
      <w:r w:rsidR="00E8351C" w:rsidRPr="00B02B63">
        <w:rPr>
          <w:rFonts w:eastAsiaTheme="minorEastAsia"/>
          <w:lang w:val="en-US" w:eastAsia="zh-CN"/>
        </w:rPr>
        <w:t>WF on NB-IoT/</w:t>
      </w:r>
      <w:proofErr w:type="spellStart"/>
      <w:r w:rsidR="00E8351C" w:rsidRPr="00B02B63">
        <w:rPr>
          <w:rFonts w:eastAsiaTheme="minorEastAsia"/>
          <w:lang w:val="en-US" w:eastAsia="zh-CN"/>
        </w:rPr>
        <w:t>eMTC</w:t>
      </w:r>
      <w:proofErr w:type="spellEnd"/>
      <w:r w:rsidR="00E8351C" w:rsidRPr="00B02B63">
        <w:rPr>
          <w:rFonts w:eastAsiaTheme="minorEastAsia"/>
          <w:lang w:val="en-US" w:eastAsia="zh-CN"/>
        </w:rPr>
        <w:t xml:space="preserve"> RRM requirements for NTN</w:t>
      </w:r>
      <w:r w:rsidR="00E8351C">
        <w:rPr>
          <w:rFonts w:eastAsiaTheme="minorEastAsia"/>
          <w:lang w:val="en-US" w:eastAsia="zh-CN"/>
        </w:rPr>
        <w:t xml:space="preserve">, </w:t>
      </w:r>
      <w:r w:rsidR="00E8351C" w:rsidRPr="00D679B7">
        <w:rPr>
          <w:rFonts w:eastAsiaTheme="minorEastAsia"/>
          <w:lang w:val="en-US" w:eastAsia="zh-CN"/>
        </w:rPr>
        <w:t xml:space="preserve">MediaTek </w:t>
      </w:r>
      <w:proofErr w:type="spellStart"/>
      <w:r w:rsidR="00E8351C" w:rsidRPr="00D679B7">
        <w:rPr>
          <w:rFonts w:eastAsiaTheme="minorEastAsia"/>
          <w:lang w:val="en-US" w:eastAsia="zh-CN"/>
        </w:rPr>
        <w:t>inc</w:t>
      </w:r>
      <w:proofErr w:type="spellEnd"/>
    </w:p>
    <w:sectPr w:rsidR="007F425A"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A4678" w:rsidRDefault="003A4678">
      <w:pPr>
        <w:spacing w:after="0"/>
      </w:pPr>
      <w:r>
        <w:separator/>
      </w:r>
    </w:p>
  </w:endnote>
  <w:endnote w:type="continuationSeparator" w:id="0">
    <w:p w:rsidR="003A4678" w:rsidRDefault="003A46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roman"/>
    <w:pitch w:val="variable"/>
    <w:sig w:usb0="B00002AF" w:usb1="69D77CFB" w:usb2="00000030" w:usb3="00000000" w:csb0="0008009F" w:csb1="00000000"/>
  </w:font>
  <w:font w:name="PMingLiU">
    <w:altName w:val="Microsoft JhengHei"/>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547DE0" w:rsidRDefault="00547DE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7DE0" w:rsidRDefault="00547DE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DA7DA0">
      <w:rPr>
        <w:rStyle w:val="PageNumber"/>
      </w:rPr>
      <w:t>3</w:t>
    </w:r>
    <w:r>
      <w:rPr>
        <w:rStyle w:val="PageNumber"/>
      </w:rPr>
      <w:fldChar w:fldCharType="end"/>
    </w:r>
  </w:p>
  <w:p w:rsidR="00547DE0" w:rsidRDefault="00547DE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A4678" w:rsidRDefault="003A4678">
      <w:pPr>
        <w:spacing w:after="0"/>
      </w:pPr>
      <w:r>
        <w:separator/>
      </w:r>
    </w:p>
  </w:footnote>
  <w:footnote w:type="continuationSeparator" w:id="0">
    <w:p w:rsidR="003A4678" w:rsidRDefault="003A46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1pt;height:1in" o:bullet="t">
        <v:imagedata r:id="rId1" o:title=""/>
      </v:shape>
    </w:pict>
  </w:numPicBullet>
  <w:abstractNum w:abstractNumId="0"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6" w15:restartNumberingAfterBreak="0">
    <w:nsid w:val="17000396"/>
    <w:multiLevelType w:val="hybridMultilevel"/>
    <w:tmpl w:val="7D3491FA"/>
    <w:lvl w:ilvl="0" w:tplc="5D747EFA">
      <w:start w:val="1"/>
      <w:numFmt w:val="bullet"/>
      <w:lvlText w:val=""/>
      <w:lvlJc w:val="left"/>
      <w:pPr>
        <w:ind w:left="480" w:hanging="480"/>
      </w:pPr>
      <w:rPr>
        <w:rFonts w:ascii="Wingdings" w:hAnsi="Wingdings" w:hint="default"/>
        <w:color w:val="auto"/>
      </w:rPr>
    </w:lvl>
    <w:lvl w:ilvl="1" w:tplc="A1E428B6">
      <w:start w:val="1"/>
      <w:numFmt w:val="bullet"/>
      <w:lvlText w:val=""/>
      <w:lvlJc w:val="left"/>
      <w:pPr>
        <w:ind w:left="960" w:hanging="480"/>
      </w:pPr>
      <w:rPr>
        <w:rFonts w:ascii="Wingdings" w:hAnsi="Wingdings" w:hint="default"/>
        <w:color w:val="auto"/>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9"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3"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4"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1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16"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7"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8" w15:restartNumberingAfterBreak="0">
    <w:nsid w:val="6EC00927"/>
    <w:multiLevelType w:val="hybridMultilevel"/>
    <w:tmpl w:val="57A4A2B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1"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11"/>
  </w:num>
  <w:num w:numId="2">
    <w:abstractNumId w:val="19"/>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14"/>
  </w:num>
  <w:num w:numId="6">
    <w:abstractNumId w:val="4"/>
  </w:num>
  <w:num w:numId="7">
    <w:abstractNumId w:val="13"/>
  </w:num>
  <w:num w:numId="8">
    <w:abstractNumId w:val="3"/>
  </w:num>
  <w:num w:numId="9">
    <w:abstractNumId w:val="17"/>
  </w:num>
  <w:num w:numId="10">
    <w:abstractNumId w:val="0"/>
  </w:num>
  <w:num w:numId="11">
    <w:abstractNumId w:val="13"/>
  </w:num>
  <w:num w:numId="12">
    <w:abstractNumId w:val="9"/>
  </w:num>
  <w:num w:numId="13">
    <w:abstractNumId w:val="10"/>
  </w:num>
  <w:num w:numId="14">
    <w:abstractNumId w:val="15"/>
  </w:num>
  <w:num w:numId="15">
    <w:abstractNumId w:val="1"/>
  </w:num>
  <w:num w:numId="16">
    <w:abstractNumId w:val="15"/>
  </w:num>
  <w:num w:numId="17">
    <w:abstractNumId w:val="7"/>
  </w:num>
  <w:num w:numId="18">
    <w:abstractNumId w:val="20"/>
  </w:num>
  <w:num w:numId="19">
    <w:abstractNumId w:val="15"/>
  </w:num>
  <w:num w:numId="20">
    <w:abstractNumId w:val="21"/>
  </w:num>
  <w:num w:numId="21">
    <w:abstractNumId w:val="16"/>
  </w:num>
  <w:num w:numId="22">
    <w:abstractNumId w:val="13"/>
  </w:num>
  <w:num w:numId="23">
    <w:abstractNumId w:val="12"/>
  </w:num>
  <w:num w:numId="24">
    <w:abstractNumId w:val="20"/>
  </w:num>
  <w:num w:numId="25">
    <w:abstractNumId w:val="5"/>
  </w:num>
  <w:num w:numId="26">
    <w:abstractNumId w:val="6"/>
  </w:num>
  <w:num w:numId="27">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07853"/>
    <w:rsid w:val="000109DF"/>
    <w:rsid w:val="000131D4"/>
    <w:rsid w:val="00025036"/>
    <w:rsid w:val="00026467"/>
    <w:rsid w:val="00026991"/>
    <w:rsid w:val="000348FE"/>
    <w:rsid w:val="00035B7C"/>
    <w:rsid w:val="00035D42"/>
    <w:rsid w:val="00040779"/>
    <w:rsid w:val="000416EC"/>
    <w:rsid w:val="0004356B"/>
    <w:rsid w:val="0004558E"/>
    <w:rsid w:val="00046547"/>
    <w:rsid w:val="00055B5D"/>
    <w:rsid w:val="00063B55"/>
    <w:rsid w:val="00063E08"/>
    <w:rsid w:val="00066B7A"/>
    <w:rsid w:val="00066D98"/>
    <w:rsid w:val="000676A1"/>
    <w:rsid w:val="00067A48"/>
    <w:rsid w:val="00067B89"/>
    <w:rsid w:val="000731A5"/>
    <w:rsid w:val="00073B3E"/>
    <w:rsid w:val="00076C0A"/>
    <w:rsid w:val="000800CD"/>
    <w:rsid w:val="00086874"/>
    <w:rsid w:val="00087858"/>
    <w:rsid w:val="000903D2"/>
    <w:rsid w:val="00092907"/>
    <w:rsid w:val="00092FA2"/>
    <w:rsid w:val="00096503"/>
    <w:rsid w:val="00097E39"/>
    <w:rsid w:val="000A12FD"/>
    <w:rsid w:val="000A1878"/>
    <w:rsid w:val="000A2ED7"/>
    <w:rsid w:val="000A4BCB"/>
    <w:rsid w:val="000A5097"/>
    <w:rsid w:val="000A6D81"/>
    <w:rsid w:val="000A7A19"/>
    <w:rsid w:val="000B15EC"/>
    <w:rsid w:val="000B3A03"/>
    <w:rsid w:val="000C2147"/>
    <w:rsid w:val="000C2641"/>
    <w:rsid w:val="000C3708"/>
    <w:rsid w:val="000D2930"/>
    <w:rsid w:val="000D59F6"/>
    <w:rsid w:val="000D6B9B"/>
    <w:rsid w:val="000E0A8A"/>
    <w:rsid w:val="000E0BB5"/>
    <w:rsid w:val="000E2C03"/>
    <w:rsid w:val="000F04C6"/>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43DA"/>
    <w:rsid w:val="001365E9"/>
    <w:rsid w:val="001406A8"/>
    <w:rsid w:val="0014128A"/>
    <w:rsid w:val="00141870"/>
    <w:rsid w:val="001435CB"/>
    <w:rsid w:val="00151949"/>
    <w:rsid w:val="00152334"/>
    <w:rsid w:val="001531EC"/>
    <w:rsid w:val="00153CFF"/>
    <w:rsid w:val="0015699D"/>
    <w:rsid w:val="00161981"/>
    <w:rsid w:val="00163724"/>
    <w:rsid w:val="00165992"/>
    <w:rsid w:val="00166650"/>
    <w:rsid w:val="00171619"/>
    <w:rsid w:val="001734E7"/>
    <w:rsid w:val="00175B04"/>
    <w:rsid w:val="0017747E"/>
    <w:rsid w:val="0018314E"/>
    <w:rsid w:val="00184719"/>
    <w:rsid w:val="0019343D"/>
    <w:rsid w:val="00197964"/>
    <w:rsid w:val="001A0A8D"/>
    <w:rsid w:val="001A1A49"/>
    <w:rsid w:val="001A1E7C"/>
    <w:rsid w:val="001A33AA"/>
    <w:rsid w:val="001C1BE5"/>
    <w:rsid w:val="001C4240"/>
    <w:rsid w:val="001C5D98"/>
    <w:rsid w:val="001C5E22"/>
    <w:rsid w:val="001D154C"/>
    <w:rsid w:val="001D3006"/>
    <w:rsid w:val="001E17E6"/>
    <w:rsid w:val="001E24D0"/>
    <w:rsid w:val="001E7174"/>
    <w:rsid w:val="001F03D0"/>
    <w:rsid w:val="0020000C"/>
    <w:rsid w:val="0020033A"/>
    <w:rsid w:val="00207FF4"/>
    <w:rsid w:val="002152D4"/>
    <w:rsid w:val="002160E3"/>
    <w:rsid w:val="00216AAB"/>
    <w:rsid w:val="00217770"/>
    <w:rsid w:val="002204E2"/>
    <w:rsid w:val="00221C9D"/>
    <w:rsid w:val="002221AC"/>
    <w:rsid w:val="00222A85"/>
    <w:rsid w:val="00222AF7"/>
    <w:rsid w:val="00224857"/>
    <w:rsid w:val="002266C2"/>
    <w:rsid w:val="00232120"/>
    <w:rsid w:val="002328DD"/>
    <w:rsid w:val="00234AA1"/>
    <w:rsid w:val="00241980"/>
    <w:rsid w:val="00243552"/>
    <w:rsid w:val="00243BFC"/>
    <w:rsid w:val="002454B4"/>
    <w:rsid w:val="00245810"/>
    <w:rsid w:val="00254F38"/>
    <w:rsid w:val="002620F9"/>
    <w:rsid w:val="00267D3F"/>
    <w:rsid w:val="00272F1F"/>
    <w:rsid w:val="0027365E"/>
    <w:rsid w:val="002736F0"/>
    <w:rsid w:val="00277B56"/>
    <w:rsid w:val="00282D3C"/>
    <w:rsid w:val="00294B79"/>
    <w:rsid w:val="002978A7"/>
    <w:rsid w:val="002A0BB1"/>
    <w:rsid w:val="002A235C"/>
    <w:rsid w:val="002A2EF8"/>
    <w:rsid w:val="002A5E54"/>
    <w:rsid w:val="002A640E"/>
    <w:rsid w:val="002A677B"/>
    <w:rsid w:val="002B45C3"/>
    <w:rsid w:val="002B6FD5"/>
    <w:rsid w:val="002D2FA8"/>
    <w:rsid w:val="002D422C"/>
    <w:rsid w:val="002E109C"/>
    <w:rsid w:val="002E2E5C"/>
    <w:rsid w:val="002E3A74"/>
    <w:rsid w:val="002E668C"/>
    <w:rsid w:val="002E7BC2"/>
    <w:rsid w:val="002F00F2"/>
    <w:rsid w:val="002F579F"/>
    <w:rsid w:val="002F7A50"/>
    <w:rsid w:val="00300DB8"/>
    <w:rsid w:val="003013BC"/>
    <w:rsid w:val="003069D8"/>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4678"/>
    <w:rsid w:val="003A5CBC"/>
    <w:rsid w:val="003A5E2B"/>
    <w:rsid w:val="003B169F"/>
    <w:rsid w:val="003B3884"/>
    <w:rsid w:val="003B4A77"/>
    <w:rsid w:val="003B56C5"/>
    <w:rsid w:val="003B7E6D"/>
    <w:rsid w:val="003C092B"/>
    <w:rsid w:val="003C4008"/>
    <w:rsid w:val="003C5308"/>
    <w:rsid w:val="003C6DC4"/>
    <w:rsid w:val="003D6632"/>
    <w:rsid w:val="003D6F09"/>
    <w:rsid w:val="003D77C1"/>
    <w:rsid w:val="003E097F"/>
    <w:rsid w:val="003E2D5F"/>
    <w:rsid w:val="003E5D7D"/>
    <w:rsid w:val="003E6285"/>
    <w:rsid w:val="003E7C96"/>
    <w:rsid w:val="003F0F9F"/>
    <w:rsid w:val="003F3688"/>
    <w:rsid w:val="003F4698"/>
    <w:rsid w:val="003F762D"/>
    <w:rsid w:val="00401473"/>
    <w:rsid w:val="00407B73"/>
    <w:rsid w:val="00411C89"/>
    <w:rsid w:val="00415933"/>
    <w:rsid w:val="00422C2D"/>
    <w:rsid w:val="00423683"/>
    <w:rsid w:val="00423FB0"/>
    <w:rsid w:val="004273E7"/>
    <w:rsid w:val="00430AE6"/>
    <w:rsid w:val="00430F24"/>
    <w:rsid w:val="00433560"/>
    <w:rsid w:val="00435D65"/>
    <w:rsid w:val="00435EBD"/>
    <w:rsid w:val="0043678E"/>
    <w:rsid w:val="00451B80"/>
    <w:rsid w:val="00453799"/>
    <w:rsid w:val="00454E6A"/>
    <w:rsid w:val="00455FD0"/>
    <w:rsid w:val="004569BB"/>
    <w:rsid w:val="00462CAE"/>
    <w:rsid w:val="00465B9B"/>
    <w:rsid w:val="00466AE8"/>
    <w:rsid w:val="00466D02"/>
    <w:rsid w:val="004677F7"/>
    <w:rsid w:val="00477263"/>
    <w:rsid w:val="00485549"/>
    <w:rsid w:val="0049501A"/>
    <w:rsid w:val="004A0F19"/>
    <w:rsid w:val="004A1641"/>
    <w:rsid w:val="004A29B2"/>
    <w:rsid w:val="004A678E"/>
    <w:rsid w:val="004A7CF2"/>
    <w:rsid w:val="004A7F44"/>
    <w:rsid w:val="004B1ECE"/>
    <w:rsid w:val="004B25D8"/>
    <w:rsid w:val="004B4633"/>
    <w:rsid w:val="004C11F4"/>
    <w:rsid w:val="004C4868"/>
    <w:rsid w:val="004D23BA"/>
    <w:rsid w:val="004D3C97"/>
    <w:rsid w:val="004D53A0"/>
    <w:rsid w:val="004D5EAE"/>
    <w:rsid w:val="004E3732"/>
    <w:rsid w:val="004E4C75"/>
    <w:rsid w:val="004E5D51"/>
    <w:rsid w:val="004F0167"/>
    <w:rsid w:val="004F1FE4"/>
    <w:rsid w:val="004F344B"/>
    <w:rsid w:val="00501A1D"/>
    <w:rsid w:val="00502991"/>
    <w:rsid w:val="005058F4"/>
    <w:rsid w:val="00505B5F"/>
    <w:rsid w:val="00513ECE"/>
    <w:rsid w:val="00514A5F"/>
    <w:rsid w:val="0052002B"/>
    <w:rsid w:val="005235DB"/>
    <w:rsid w:val="0052468C"/>
    <w:rsid w:val="005249D7"/>
    <w:rsid w:val="00526B85"/>
    <w:rsid w:val="00527A9E"/>
    <w:rsid w:val="00527DD4"/>
    <w:rsid w:val="00530DAB"/>
    <w:rsid w:val="00530EB0"/>
    <w:rsid w:val="00533C4E"/>
    <w:rsid w:val="005347EA"/>
    <w:rsid w:val="005375AA"/>
    <w:rsid w:val="005409B9"/>
    <w:rsid w:val="0054422A"/>
    <w:rsid w:val="00545EC2"/>
    <w:rsid w:val="0054734A"/>
    <w:rsid w:val="00547DE0"/>
    <w:rsid w:val="00552174"/>
    <w:rsid w:val="00552659"/>
    <w:rsid w:val="005546D8"/>
    <w:rsid w:val="0055524E"/>
    <w:rsid w:val="005567E5"/>
    <w:rsid w:val="00557527"/>
    <w:rsid w:val="00561171"/>
    <w:rsid w:val="00562EFF"/>
    <w:rsid w:val="00572936"/>
    <w:rsid w:val="00575156"/>
    <w:rsid w:val="005755A4"/>
    <w:rsid w:val="005763DF"/>
    <w:rsid w:val="00582652"/>
    <w:rsid w:val="005906DB"/>
    <w:rsid w:val="005936F1"/>
    <w:rsid w:val="005972FA"/>
    <w:rsid w:val="005A2A55"/>
    <w:rsid w:val="005A2C70"/>
    <w:rsid w:val="005A456B"/>
    <w:rsid w:val="005A5197"/>
    <w:rsid w:val="005A6285"/>
    <w:rsid w:val="005B0D68"/>
    <w:rsid w:val="005B5BD7"/>
    <w:rsid w:val="005B6053"/>
    <w:rsid w:val="005C337F"/>
    <w:rsid w:val="005D15A2"/>
    <w:rsid w:val="005D231A"/>
    <w:rsid w:val="005D3DC0"/>
    <w:rsid w:val="005D6BEF"/>
    <w:rsid w:val="005D75D0"/>
    <w:rsid w:val="005E29AA"/>
    <w:rsid w:val="005E4CCD"/>
    <w:rsid w:val="005E56C6"/>
    <w:rsid w:val="005F5231"/>
    <w:rsid w:val="005F74CF"/>
    <w:rsid w:val="006014ED"/>
    <w:rsid w:val="006033A4"/>
    <w:rsid w:val="00604490"/>
    <w:rsid w:val="00604A07"/>
    <w:rsid w:val="0060650F"/>
    <w:rsid w:val="00607CE8"/>
    <w:rsid w:val="0061451C"/>
    <w:rsid w:val="00616123"/>
    <w:rsid w:val="0061679F"/>
    <w:rsid w:val="00622EBC"/>
    <w:rsid w:val="00622FBA"/>
    <w:rsid w:val="00623834"/>
    <w:rsid w:val="00625728"/>
    <w:rsid w:val="00634585"/>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A2442"/>
    <w:rsid w:val="006A68E5"/>
    <w:rsid w:val="006A7936"/>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D54"/>
    <w:rsid w:val="00702FA5"/>
    <w:rsid w:val="00703B4D"/>
    <w:rsid w:val="00706564"/>
    <w:rsid w:val="007069DA"/>
    <w:rsid w:val="00710FC3"/>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A0C9E"/>
    <w:rsid w:val="007A103E"/>
    <w:rsid w:val="007A336E"/>
    <w:rsid w:val="007A37DA"/>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58F5"/>
    <w:rsid w:val="007E1DD2"/>
    <w:rsid w:val="007E2057"/>
    <w:rsid w:val="007E2E8A"/>
    <w:rsid w:val="007E423D"/>
    <w:rsid w:val="007E5F97"/>
    <w:rsid w:val="007E67EC"/>
    <w:rsid w:val="007F045C"/>
    <w:rsid w:val="007F2371"/>
    <w:rsid w:val="007F2E6A"/>
    <w:rsid w:val="007F425A"/>
    <w:rsid w:val="007F7E14"/>
    <w:rsid w:val="008001CA"/>
    <w:rsid w:val="00804945"/>
    <w:rsid w:val="00806C12"/>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245"/>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2D39"/>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0394"/>
    <w:rsid w:val="0092386A"/>
    <w:rsid w:val="00923CC3"/>
    <w:rsid w:val="0092433F"/>
    <w:rsid w:val="00931830"/>
    <w:rsid w:val="009333B5"/>
    <w:rsid w:val="009450D8"/>
    <w:rsid w:val="00946BF6"/>
    <w:rsid w:val="009524AD"/>
    <w:rsid w:val="00955217"/>
    <w:rsid w:val="00957098"/>
    <w:rsid w:val="009660E3"/>
    <w:rsid w:val="009708D0"/>
    <w:rsid w:val="00972D26"/>
    <w:rsid w:val="00972E20"/>
    <w:rsid w:val="00973C4C"/>
    <w:rsid w:val="009814D6"/>
    <w:rsid w:val="0099102E"/>
    <w:rsid w:val="00993157"/>
    <w:rsid w:val="009968CF"/>
    <w:rsid w:val="009A355B"/>
    <w:rsid w:val="009A4685"/>
    <w:rsid w:val="009A5118"/>
    <w:rsid w:val="009A5F4B"/>
    <w:rsid w:val="009B0354"/>
    <w:rsid w:val="009B7C4C"/>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DC8"/>
    <w:rsid w:val="009E7810"/>
    <w:rsid w:val="009F583E"/>
    <w:rsid w:val="009F7F10"/>
    <w:rsid w:val="00A00597"/>
    <w:rsid w:val="00A0093B"/>
    <w:rsid w:val="00A0192C"/>
    <w:rsid w:val="00A12052"/>
    <w:rsid w:val="00A1597D"/>
    <w:rsid w:val="00A22790"/>
    <w:rsid w:val="00A2454F"/>
    <w:rsid w:val="00A25160"/>
    <w:rsid w:val="00A26AB0"/>
    <w:rsid w:val="00A34913"/>
    <w:rsid w:val="00A35F07"/>
    <w:rsid w:val="00A36D03"/>
    <w:rsid w:val="00A401CD"/>
    <w:rsid w:val="00A42E3A"/>
    <w:rsid w:val="00A558AB"/>
    <w:rsid w:val="00A63AF5"/>
    <w:rsid w:val="00A657C7"/>
    <w:rsid w:val="00A7739E"/>
    <w:rsid w:val="00A777D8"/>
    <w:rsid w:val="00A848D0"/>
    <w:rsid w:val="00A86270"/>
    <w:rsid w:val="00A865C3"/>
    <w:rsid w:val="00A87084"/>
    <w:rsid w:val="00A93E0D"/>
    <w:rsid w:val="00AA31F0"/>
    <w:rsid w:val="00AB1128"/>
    <w:rsid w:val="00AC2317"/>
    <w:rsid w:val="00AC2C97"/>
    <w:rsid w:val="00AC2CD4"/>
    <w:rsid w:val="00AC7A7B"/>
    <w:rsid w:val="00AD0679"/>
    <w:rsid w:val="00AD65F4"/>
    <w:rsid w:val="00AD69AA"/>
    <w:rsid w:val="00AE1670"/>
    <w:rsid w:val="00AE1773"/>
    <w:rsid w:val="00AE3383"/>
    <w:rsid w:val="00AE384C"/>
    <w:rsid w:val="00AE67DF"/>
    <w:rsid w:val="00AE6BE0"/>
    <w:rsid w:val="00AF02CB"/>
    <w:rsid w:val="00AF5966"/>
    <w:rsid w:val="00AF6004"/>
    <w:rsid w:val="00AF7927"/>
    <w:rsid w:val="00B02A13"/>
    <w:rsid w:val="00B07979"/>
    <w:rsid w:val="00B10C6E"/>
    <w:rsid w:val="00B1402B"/>
    <w:rsid w:val="00B22016"/>
    <w:rsid w:val="00B221C2"/>
    <w:rsid w:val="00B23292"/>
    <w:rsid w:val="00B24962"/>
    <w:rsid w:val="00B26D02"/>
    <w:rsid w:val="00B343A3"/>
    <w:rsid w:val="00B37533"/>
    <w:rsid w:val="00B4184D"/>
    <w:rsid w:val="00B41E6D"/>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3BC0"/>
    <w:rsid w:val="00B87A6F"/>
    <w:rsid w:val="00B91028"/>
    <w:rsid w:val="00B91712"/>
    <w:rsid w:val="00B92509"/>
    <w:rsid w:val="00B92A6E"/>
    <w:rsid w:val="00B9763F"/>
    <w:rsid w:val="00BA0FB3"/>
    <w:rsid w:val="00BA2CB9"/>
    <w:rsid w:val="00BA3511"/>
    <w:rsid w:val="00BA3B44"/>
    <w:rsid w:val="00BA4C0A"/>
    <w:rsid w:val="00BB2A32"/>
    <w:rsid w:val="00BB6484"/>
    <w:rsid w:val="00BC0BC9"/>
    <w:rsid w:val="00BC24F8"/>
    <w:rsid w:val="00BC3920"/>
    <w:rsid w:val="00BC47AB"/>
    <w:rsid w:val="00BD0D7C"/>
    <w:rsid w:val="00BD2AB1"/>
    <w:rsid w:val="00BD3A7F"/>
    <w:rsid w:val="00BE09C1"/>
    <w:rsid w:val="00BE194F"/>
    <w:rsid w:val="00BE1FD4"/>
    <w:rsid w:val="00BE677A"/>
    <w:rsid w:val="00BE6A2E"/>
    <w:rsid w:val="00BF00A7"/>
    <w:rsid w:val="00BF136F"/>
    <w:rsid w:val="00BF33D9"/>
    <w:rsid w:val="00BF5AD6"/>
    <w:rsid w:val="00C0184F"/>
    <w:rsid w:val="00C075BD"/>
    <w:rsid w:val="00C11B10"/>
    <w:rsid w:val="00C12B71"/>
    <w:rsid w:val="00C12EA5"/>
    <w:rsid w:val="00C13653"/>
    <w:rsid w:val="00C14C19"/>
    <w:rsid w:val="00C15E40"/>
    <w:rsid w:val="00C161BE"/>
    <w:rsid w:val="00C16239"/>
    <w:rsid w:val="00C23B9D"/>
    <w:rsid w:val="00C338CA"/>
    <w:rsid w:val="00C3428D"/>
    <w:rsid w:val="00C35CB3"/>
    <w:rsid w:val="00C50A0A"/>
    <w:rsid w:val="00C572D7"/>
    <w:rsid w:val="00C60016"/>
    <w:rsid w:val="00C606BB"/>
    <w:rsid w:val="00C638D8"/>
    <w:rsid w:val="00C63D6B"/>
    <w:rsid w:val="00C64128"/>
    <w:rsid w:val="00C710B7"/>
    <w:rsid w:val="00C73515"/>
    <w:rsid w:val="00C74442"/>
    <w:rsid w:val="00C754BC"/>
    <w:rsid w:val="00C76E52"/>
    <w:rsid w:val="00C82283"/>
    <w:rsid w:val="00C83525"/>
    <w:rsid w:val="00CA1729"/>
    <w:rsid w:val="00CA1984"/>
    <w:rsid w:val="00CA1DAE"/>
    <w:rsid w:val="00CA22DC"/>
    <w:rsid w:val="00CA234E"/>
    <w:rsid w:val="00CA7429"/>
    <w:rsid w:val="00CB6216"/>
    <w:rsid w:val="00CB6932"/>
    <w:rsid w:val="00CC09A6"/>
    <w:rsid w:val="00CC3973"/>
    <w:rsid w:val="00CC4578"/>
    <w:rsid w:val="00CC5C60"/>
    <w:rsid w:val="00CD0284"/>
    <w:rsid w:val="00CD0A91"/>
    <w:rsid w:val="00CD160F"/>
    <w:rsid w:val="00CD1A9E"/>
    <w:rsid w:val="00CD7B4E"/>
    <w:rsid w:val="00CE0DA0"/>
    <w:rsid w:val="00CE477D"/>
    <w:rsid w:val="00CE4E8D"/>
    <w:rsid w:val="00CF030B"/>
    <w:rsid w:val="00CF1B90"/>
    <w:rsid w:val="00CF1DFC"/>
    <w:rsid w:val="00CF2856"/>
    <w:rsid w:val="00CF5CE7"/>
    <w:rsid w:val="00CF5EF5"/>
    <w:rsid w:val="00CF7481"/>
    <w:rsid w:val="00CF757F"/>
    <w:rsid w:val="00CF7EE3"/>
    <w:rsid w:val="00D0284A"/>
    <w:rsid w:val="00D04320"/>
    <w:rsid w:val="00D0739E"/>
    <w:rsid w:val="00D13FC8"/>
    <w:rsid w:val="00D14E7C"/>
    <w:rsid w:val="00D26163"/>
    <w:rsid w:val="00D3442D"/>
    <w:rsid w:val="00D34F1B"/>
    <w:rsid w:val="00D35ED3"/>
    <w:rsid w:val="00D4168B"/>
    <w:rsid w:val="00D41D2D"/>
    <w:rsid w:val="00D463A3"/>
    <w:rsid w:val="00D51833"/>
    <w:rsid w:val="00D55894"/>
    <w:rsid w:val="00D57BE5"/>
    <w:rsid w:val="00D679B7"/>
    <w:rsid w:val="00D67ABE"/>
    <w:rsid w:val="00D73373"/>
    <w:rsid w:val="00D74CA3"/>
    <w:rsid w:val="00D76666"/>
    <w:rsid w:val="00D8062E"/>
    <w:rsid w:val="00D828E1"/>
    <w:rsid w:val="00D8441F"/>
    <w:rsid w:val="00D850B9"/>
    <w:rsid w:val="00D94E39"/>
    <w:rsid w:val="00D9789C"/>
    <w:rsid w:val="00DA7DA0"/>
    <w:rsid w:val="00DB10D2"/>
    <w:rsid w:val="00DB1DD4"/>
    <w:rsid w:val="00DB61B3"/>
    <w:rsid w:val="00DC260B"/>
    <w:rsid w:val="00DC49A6"/>
    <w:rsid w:val="00DD0915"/>
    <w:rsid w:val="00DD1D55"/>
    <w:rsid w:val="00DD1DFF"/>
    <w:rsid w:val="00DD33CF"/>
    <w:rsid w:val="00DD66E0"/>
    <w:rsid w:val="00DE3896"/>
    <w:rsid w:val="00DE4435"/>
    <w:rsid w:val="00DE6717"/>
    <w:rsid w:val="00DF0231"/>
    <w:rsid w:val="00DF48A2"/>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70EC"/>
    <w:rsid w:val="00E5666B"/>
    <w:rsid w:val="00E570A7"/>
    <w:rsid w:val="00E577DD"/>
    <w:rsid w:val="00E60952"/>
    <w:rsid w:val="00E65CDF"/>
    <w:rsid w:val="00E706B8"/>
    <w:rsid w:val="00E72064"/>
    <w:rsid w:val="00E76A71"/>
    <w:rsid w:val="00E77BF2"/>
    <w:rsid w:val="00E81035"/>
    <w:rsid w:val="00E82ED7"/>
    <w:rsid w:val="00E83483"/>
    <w:rsid w:val="00E8351C"/>
    <w:rsid w:val="00E85BF2"/>
    <w:rsid w:val="00E91110"/>
    <w:rsid w:val="00E9184C"/>
    <w:rsid w:val="00E94DD3"/>
    <w:rsid w:val="00EA1994"/>
    <w:rsid w:val="00EA2254"/>
    <w:rsid w:val="00EA49BA"/>
    <w:rsid w:val="00EA4E79"/>
    <w:rsid w:val="00EA5149"/>
    <w:rsid w:val="00EB02DF"/>
    <w:rsid w:val="00EB2795"/>
    <w:rsid w:val="00EB58C4"/>
    <w:rsid w:val="00EB5DCC"/>
    <w:rsid w:val="00EB7895"/>
    <w:rsid w:val="00EC0FA1"/>
    <w:rsid w:val="00EC42A1"/>
    <w:rsid w:val="00EE1CF7"/>
    <w:rsid w:val="00EE6F45"/>
    <w:rsid w:val="00EF0E38"/>
    <w:rsid w:val="00EF0E4A"/>
    <w:rsid w:val="00EF2DE4"/>
    <w:rsid w:val="00EF653C"/>
    <w:rsid w:val="00EF66B2"/>
    <w:rsid w:val="00F0497C"/>
    <w:rsid w:val="00F05199"/>
    <w:rsid w:val="00F076D1"/>
    <w:rsid w:val="00F0770B"/>
    <w:rsid w:val="00F10222"/>
    <w:rsid w:val="00F10653"/>
    <w:rsid w:val="00F14670"/>
    <w:rsid w:val="00F14F35"/>
    <w:rsid w:val="00F1617A"/>
    <w:rsid w:val="00F2033F"/>
    <w:rsid w:val="00F20D63"/>
    <w:rsid w:val="00F22DF5"/>
    <w:rsid w:val="00F2531A"/>
    <w:rsid w:val="00F25F9C"/>
    <w:rsid w:val="00F303F4"/>
    <w:rsid w:val="00F31FA7"/>
    <w:rsid w:val="00F34526"/>
    <w:rsid w:val="00F379B6"/>
    <w:rsid w:val="00F413E7"/>
    <w:rsid w:val="00F426B5"/>
    <w:rsid w:val="00F42BFC"/>
    <w:rsid w:val="00F45711"/>
    <w:rsid w:val="00F4766A"/>
    <w:rsid w:val="00F52FBD"/>
    <w:rsid w:val="00F52FE8"/>
    <w:rsid w:val="00F543C6"/>
    <w:rsid w:val="00F5790A"/>
    <w:rsid w:val="00F609CD"/>
    <w:rsid w:val="00F61DAD"/>
    <w:rsid w:val="00F66108"/>
    <w:rsid w:val="00F72D98"/>
    <w:rsid w:val="00F76B81"/>
    <w:rsid w:val="00F83F8A"/>
    <w:rsid w:val="00F84FD7"/>
    <w:rsid w:val="00F941E7"/>
    <w:rsid w:val="00FA2430"/>
    <w:rsid w:val="00FA4943"/>
    <w:rsid w:val="00FB6BD9"/>
    <w:rsid w:val="00FC0544"/>
    <w:rsid w:val="00FC0F9D"/>
    <w:rsid w:val="00FC3492"/>
    <w:rsid w:val="00FC7913"/>
    <w:rsid w:val="00FD1CDD"/>
    <w:rsid w:val="00FD518E"/>
    <w:rsid w:val="00FD7EED"/>
    <w:rsid w:val="00FE1A35"/>
    <w:rsid w:val="00FE6992"/>
    <w:rsid w:val="00FE736A"/>
    <w:rsid w:val="00FF02AA"/>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72BEC"/>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列表段落,¥¡¡¡¡ì¬º¥¹¥È¶ÎÂä,ÁÐ³ö¶ÎÂä,¥ê¥¹¥È¶ÎÂä,1st level - Bullet List Paragraph,Lettre d'introduction,Paragrafo elenco,Normal bullet 2,Bullet list,목록단락,清單段落1,列出段落1"/>
    <w:basedOn w:val="Normal"/>
    <w:link w:val="ListParagraphChar"/>
    <w:uiPriority w:val="34"/>
    <w:qFormat/>
    <w:rsid w:val="007D3409"/>
    <w:pPr>
      <w:ind w:firstLineChars="200" w:firstLine="420"/>
    </w:pPr>
  </w:style>
  <w:style w:type="table" w:styleId="TableGrid">
    <w:name w:val="Table Grid"/>
    <w:basedOn w:val="TableNormal"/>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列表段落 Char,¥¡¡¡¡ì¬º¥¹¥È¶ÎÂä Char,ÁÐ³ö¶ÎÂä Char,¥ê¥¹¥È¶ÎÂä Char,1st level - Bullet List Paragraph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0A99E8-7776-4E98-846B-5831D2AE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15959</TotalTime>
  <Pages>1</Pages>
  <Words>828</Words>
  <Characters>4725</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5542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390</cp:revision>
  <dcterms:created xsi:type="dcterms:W3CDTF">2019-09-18T02:52:00Z</dcterms:created>
  <dcterms:modified xsi:type="dcterms:W3CDTF">2023-05-15T12:01:00Z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(3)f1X/TrpQw+8Lb+Ur5Mwo0AQEqjMpowxBDoq1J7DcXm17y8j/FQfHrvpoYOm9A6oRHNaipHrX
OWKLz4iTo8KOpOT6zA6Jc8/recgbwOTS6KadmCsANmw8SiBOWjPeCbqYfl+sLu8fAnXbc1WP
h+ed1/V53KR8WO78FIFdRmn4S6AdU9m0e5jgqzNLQVLjF3ECpV2u7vyHD3BoUJ9TzFHSOGtL
iJvGaZ0H613yzFLwQU</vt:lpwstr>
  </property>
  <property fmtid="{D5CDD505-2E9C-101B-9397-08002B2CF9AE}" pid="3" name="_2015_ms_pID_7253431">
    <vt:lpwstr>vJIjwFezd8jC40TMudrq3aKid6tirA8biRNyz0Srm4hvRqncgeRQCU
DfK30qTloAEpRkTUcknutEhQzEc6j0jEs3jeQFpC0vJELZsfkO4ewrE6n6IwOwuZXOx84NZs
TxHK+L+8RLi2Tnu8Evffw9eBlWVIbfZh7ahSX3LAtBU3+ta02F1N9iStOc+MmcWCt6+YMFtd
pM+lqcRYyJlyCdi0e/I0zD/lK67KUXnH142L</vt:lpwstr>
  </property>
  <property fmtid="{D5CDD505-2E9C-101B-9397-08002B2CF9AE}" pid="4" name="_2015_ms_pID_7253432">
    <vt:lpwstr>KQ==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