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0D751" w14:textId="1A363C54" w:rsidR="00A37888" w:rsidRPr="00A37888" w:rsidRDefault="00A37888" w:rsidP="00A37888">
      <w:pPr>
        <w:tabs>
          <w:tab w:val="left" w:pos="1980"/>
        </w:tabs>
        <w:spacing w:after="180"/>
        <w:ind w:left="1980" w:hanging="1980"/>
        <w:rPr>
          <w:rFonts w:ascii="Arial" w:eastAsia="MS Mincho" w:hAnsi="Arial" w:cs="Arial"/>
          <w:b/>
          <w:sz w:val="24"/>
          <w:szCs w:val="24"/>
          <w:lang w:eastAsia="en-US"/>
        </w:rPr>
      </w:pPr>
      <w:r w:rsidRPr="00A37888">
        <w:rPr>
          <w:rFonts w:ascii="Arial" w:eastAsia="MS Mincho" w:hAnsi="Arial" w:cs="Arial"/>
          <w:b/>
          <w:sz w:val="24"/>
          <w:szCs w:val="24"/>
          <w:lang w:eastAsia="en-US"/>
        </w:rPr>
        <w:t>3GPP TSG-RAN4 Meeting #107</w:t>
      </w:r>
      <w:r w:rsidRPr="00A37888">
        <w:rPr>
          <w:rFonts w:ascii="Arial" w:eastAsia="MS Mincho" w:hAnsi="Arial" w:cs="Arial"/>
          <w:b/>
          <w:sz w:val="24"/>
          <w:szCs w:val="24"/>
          <w:lang w:eastAsia="en-US"/>
        </w:rPr>
        <w:tab/>
      </w:r>
      <w:r w:rsidRPr="00A37888">
        <w:rPr>
          <w:rFonts w:ascii="Arial" w:eastAsia="MS Mincho" w:hAnsi="Arial" w:cs="Arial"/>
          <w:b/>
          <w:sz w:val="24"/>
          <w:szCs w:val="24"/>
          <w:lang w:eastAsia="en-US"/>
        </w:rPr>
        <w:tab/>
      </w:r>
      <w:r w:rsidRPr="00A37888">
        <w:rPr>
          <w:rFonts w:ascii="Arial" w:eastAsia="MS Mincho" w:hAnsi="Arial" w:cs="Arial"/>
          <w:b/>
          <w:sz w:val="24"/>
          <w:szCs w:val="24"/>
          <w:lang w:eastAsia="en-US"/>
        </w:rPr>
        <w:tab/>
      </w:r>
      <w:r w:rsidRPr="00A37888">
        <w:rPr>
          <w:rFonts w:ascii="Arial" w:eastAsia="MS Mincho" w:hAnsi="Arial" w:cs="Arial"/>
          <w:b/>
          <w:sz w:val="24"/>
          <w:szCs w:val="24"/>
          <w:lang w:eastAsia="en-US"/>
        </w:rPr>
        <w:tab/>
      </w:r>
      <w:r w:rsidRPr="00A37888">
        <w:rPr>
          <w:rFonts w:ascii="Arial" w:eastAsia="MS Mincho" w:hAnsi="Arial" w:cs="Arial"/>
          <w:b/>
          <w:sz w:val="24"/>
          <w:szCs w:val="24"/>
          <w:lang w:eastAsia="en-US"/>
        </w:rPr>
        <w:tab/>
      </w:r>
      <w:r w:rsidRPr="00A37888">
        <w:rPr>
          <w:rFonts w:ascii="Arial" w:eastAsia="MS Mincho" w:hAnsi="Arial" w:cs="Arial"/>
          <w:b/>
          <w:sz w:val="24"/>
          <w:szCs w:val="24"/>
          <w:lang w:eastAsia="en-US"/>
        </w:rPr>
        <w:tab/>
      </w:r>
      <w:r w:rsidRPr="00A37888">
        <w:rPr>
          <w:rFonts w:ascii="Arial" w:eastAsia="MS Mincho" w:hAnsi="Arial" w:cs="Arial"/>
          <w:b/>
          <w:sz w:val="24"/>
          <w:szCs w:val="24"/>
          <w:lang w:eastAsia="en-US"/>
        </w:rPr>
        <w:tab/>
      </w:r>
      <w:r w:rsidRPr="00A37888">
        <w:rPr>
          <w:rFonts w:ascii="Arial" w:eastAsia="MS Mincho" w:hAnsi="Arial" w:cs="Arial"/>
          <w:b/>
          <w:sz w:val="24"/>
          <w:szCs w:val="24"/>
          <w:lang w:eastAsia="en-US"/>
        </w:rPr>
        <w:tab/>
      </w:r>
      <w:r w:rsidRPr="00A37888">
        <w:rPr>
          <w:rFonts w:ascii="Arial" w:eastAsia="MS Mincho" w:hAnsi="Arial" w:cs="Arial"/>
          <w:b/>
          <w:sz w:val="24"/>
          <w:szCs w:val="24"/>
          <w:lang w:eastAsia="en-US"/>
        </w:rPr>
        <w:tab/>
      </w:r>
      <w:r w:rsidRPr="00A37888">
        <w:rPr>
          <w:rFonts w:ascii="Arial" w:eastAsia="MS Mincho" w:hAnsi="Arial" w:cs="Arial"/>
          <w:b/>
          <w:sz w:val="24"/>
          <w:szCs w:val="24"/>
          <w:lang w:eastAsia="en-US"/>
        </w:rPr>
        <w:tab/>
      </w:r>
      <w:r w:rsidRPr="00A37888">
        <w:rPr>
          <w:rFonts w:ascii="Arial" w:eastAsia="MS Mincho" w:hAnsi="Arial" w:cs="Arial"/>
          <w:b/>
          <w:sz w:val="24"/>
          <w:szCs w:val="24"/>
          <w:lang w:eastAsia="en-US"/>
        </w:rPr>
        <w:tab/>
      </w:r>
      <w:r w:rsidRPr="00A37888">
        <w:rPr>
          <w:rFonts w:ascii="Arial" w:eastAsia="MS Mincho" w:hAnsi="Arial" w:cs="Arial"/>
          <w:b/>
          <w:sz w:val="24"/>
          <w:szCs w:val="24"/>
          <w:lang w:eastAsia="en-US"/>
        </w:rPr>
        <w:tab/>
      </w:r>
      <w:r w:rsidR="009A12B2" w:rsidRPr="009A12B2">
        <w:rPr>
          <w:rFonts w:ascii="Arial" w:eastAsia="MS Mincho" w:hAnsi="Arial" w:cs="Arial"/>
          <w:b/>
          <w:sz w:val="24"/>
          <w:szCs w:val="24"/>
          <w:lang w:eastAsia="en-US"/>
        </w:rPr>
        <w:t>R4-2308202</w:t>
      </w:r>
    </w:p>
    <w:p w14:paraId="61C46C5A" w14:textId="2930E158" w:rsidR="004E3E65" w:rsidRPr="00F852CC" w:rsidRDefault="00A37888" w:rsidP="00A37888">
      <w:pPr>
        <w:tabs>
          <w:tab w:val="left" w:pos="1980"/>
        </w:tabs>
        <w:spacing w:after="180"/>
        <w:ind w:left="1980" w:hanging="1980"/>
        <w:rPr>
          <w:rFonts w:ascii="Arial" w:eastAsia="MS Mincho" w:hAnsi="Arial" w:cs="Arial"/>
          <w:b/>
          <w:sz w:val="24"/>
          <w:szCs w:val="24"/>
          <w:lang w:eastAsia="en-US"/>
        </w:rPr>
      </w:pPr>
      <w:r w:rsidRPr="00A37888">
        <w:rPr>
          <w:rFonts w:ascii="Arial" w:eastAsia="MS Mincho" w:hAnsi="Arial" w:cs="Arial"/>
          <w:b/>
          <w:sz w:val="24"/>
          <w:szCs w:val="24"/>
          <w:lang w:eastAsia="en-US"/>
        </w:rPr>
        <w:t>Incheon, Korea (Republic Of), 22nd May 2023 - 26th May 2023</w:t>
      </w:r>
    </w:p>
    <w:p w14:paraId="544E0D55" w14:textId="4F106C7C"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Agenda item:</w:t>
      </w:r>
      <w:r w:rsidRPr="00F852CC">
        <w:rPr>
          <w:rFonts w:ascii="Arial" w:eastAsia="MS Mincho" w:hAnsi="Arial" w:cs="Arial"/>
          <w:b/>
          <w:sz w:val="24"/>
          <w:szCs w:val="24"/>
          <w:lang w:eastAsia="en-US"/>
        </w:rPr>
        <w:tab/>
      </w:r>
      <w:r w:rsidR="00AF3CEC" w:rsidRPr="00AF3CEC">
        <w:rPr>
          <w:rFonts w:ascii="Arial" w:eastAsia="MS Mincho" w:hAnsi="Arial" w:cs="Arial"/>
          <w:b/>
          <w:sz w:val="24"/>
          <w:szCs w:val="24"/>
          <w:lang w:eastAsia="en-US"/>
        </w:rPr>
        <w:t>8.29.2.2</w:t>
      </w:r>
    </w:p>
    <w:p w14:paraId="516263DF" w14:textId="7777777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 xml:space="preserve">Source: </w:t>
      </w:r>
      <w:r w:rsidRPr="00F852CC">
        <w:rPr>
          <w:rFonts w:ascii="Arial" w:eastAsia="MS Mincho" w:hAnsi="Arial" w:cs="Arial"/>
          <w:b/>
          <w:sz w:val="24"/>
          <w:szCs w:val="24"/>
          <w:lang w:eastAsia="en-US"/>
        </w:rPr>
        <w:tab/>
        <w:t>CMCC</w:t>
      </w:r>
    </w:p>
    <w:p w14:paraId="469E54BA" w14:textId="55659236"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 xml:space="preserve">Title: </w:t>
      </w:r>
      <w:r w:rsidRPr="00F852CC">
        <w:rPr>
          <w:rFonts w:ascii="Arial" w:eastAsia="MS Mincho" w:hAnsi="Arial" w:cs="Arial"/>
          <w:b/>
          <w:sz w:val="24"/>
          <w:szCs w:val="24"/>
          <w:lang w:eastAsia="en-US"/>
        </w:rPr>
        <w:tab/>
      </w:r>
      <w:r>
        <w:rPr>
          <w:rFonts w:ascii="Arial" w:eastAsia="MS Mincho" w:hAnsi="Arial" w:cs="Arial"/>
          <w:b/>
          <w:sz w:val="24"/>
          <w:szCs w:val="24"/>
          <w:lang w:eastAsia="en-US"/>
        </w:rPr>
        <w:t xml:space="preserve">Discussion on </w:t>
      </w:r>
      <w:r w:rsidR="00A61390" w:rsidRPr="00A61390">
        <w:rPr>
          <w:rFonts w:ascii="Arial" w:eastAsia="MS Mincho" w:hAnsi="Arial" w:cs="Arial" w:hint="eastAsia"/>
          <w:b/>
          <w:sz w:val="24"/>
          <w:szCs w:val="24"/>
          <w:lang w:eastAsia="en-US"/>
        </w:rPr>
        <w:t>NCR</w:t>
      </w:r>
      <w:r w:rsidR="00A61390">
        <w:rPr>
          <w:rFonts w:ascii="Arial" w:eastAsia="MS Mincho" w:hAnsi="Arial" w:cs="Arial"/>
          <w:b/>
          <w:sz w:val="24"/>
          <w:szCs w:val="24"/>
          <w:lang w:eastAsia="en-US"/>
        </w:rPr>
        <w:t xml:space="preserve"> </w:t>
      </w:r>
      <w:r w:rsidR="00AA5A07">
        <w:rPr>
          <w:rFonts w:ascii="Arial" w:eastAsia="MS Mincho" w:hAnsi="Arial" w:cs="Arial"/>
          <w:b/>
          <w:sz w:val="24"/>
          <w:szCs w:val="24"/>
          <w:lang w:eastAsia="en-US"/>
        </w:rPr>
        <w:t xml:space="preserve">MT </w:t>
      </w:r>
      <w:r w:rsidR="00A61390">
        <w:rPr>
          <w:rFonts w:ascii="Arial" w:eastAsia="MS Mincho" w:hAnsi="Arial" w:cs="Arial"/>
          <w:b/>
          <w:sz w:val="24"/>
          <w:szCs w:val="24"/>
          <w:lang w:eastAsia="en-US"/>
        </w:rPr>
        <w:t>requirements</w:t>
      </w:r>
    </w:p>
    <w:p w14:paraId="432540EE" w14:textId="7777777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Document for:</w:t>
      </w:r>
      <w:r w:rsidRPr="00F852CC">
        <w:rPr>
          <w:rFonts w:ascii="Arial" w:eastAsia="MS Mincho" w:hAnsi="Arial" w:cs="Arial"/>
          <w:b/>
          <w:sz w:val="24"/>
          <w:szCs w:val="24"/>
          <w:lang w:eastAsia="en-US"/>
        </w:rPr>
        <w:tab/>
        <w:t>Discussion</w:t>
      </w:r>
    </w:p>
    <w:p w14:paraId="0738D0BE"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1. Introduction</w:t>
      </w:r>
    </w:p>
    <w:p w14:paraId="29ACBA2E" w14:textId="04807FC0" w:rsidR="00F852CC" w:rsidRDefault="00727663" w:rsidP="007C461A">
      <w:pPr>
        <w:rPr>
          <w:rFonts w:ascii="Times New Roman" w:eastAsia="宋体" w:hAnsi="Times New Roman" w:cs="Times New Roman"/>
          <w:sz w:val="20"/>
        </w:rPr>
      </w:pPr>
      <w:r>
        <w:rPr>
          <w:rFonts w:ascii="Times New Roman" w:eastAsia="宋体" w:hAnsi="Times New Roman" w:cs="Times New Roman"/>
          <w:sz w:val="20"/>
        </w:rPr>
        <w:t xml:space="preserve">In last RAN4 meeting, a WF is approved [1]. </w:t>
      </w:r>
      <w:r w:rsidR="00F852CC" w:rsidRPr="00F852CC">
        <w:rPr>
          <w:rFonts w:ascii="Times New Roman" w:eastAsia="宋体" w:hAnsi="Times New Roman" w:cs="Times New Roman"/>
          <w:sz w:val="20"/>
        </w:rPr>
        <w:t xml:space="preserve">In this meeting, we focus on the </w:t>
      </w:r>
      <w:r w:rsidR="00C25EAC">
        <w:rPr>
          <w:rFonts w:ascii="Times New Roman" w:eastAsia="宋体" w:hAnsi="Times New Roman" w:cs="Times New Roman"/>
          <w:sz w:val="20"/>
        </w:rPr>
        <w:t>discussion of NCR</w:t>
      </w:r>
      <w:r w:rsidR="00E85E67">
        <w:rPr>
          <w:rFonts w:ascii="Times New Roman" w:eastAsia="宋体" w:hAnsi="Times New Roman" w:cs="Times New Roman"/>
          <w:sz w:val="20"/>
        </w:rPr>
        <w:t xml:space="preserve"> remaining issues</w:t>
      </w:r>
      <w:r w:rsidR="00F852CC" w:rsidRPr="00F852CC">
        <w:rPr>
          <w:rFonts w:ascii="Times New Roman" w:eastAsia="宋体" w:hAnsi="Times New Roman" w:cs="Times New Roman"/>
          <w:sz w:val="20"/>
        </w:rPr>
        <w:t>.</w:t>
      </w:r>
    </w:p>
    <w:p w14:paraId="626F302E"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 xml:space="preserve">2. </w:t>
      </w:r>
      <w:r w:rsidRPr="00F852CC">
        <w:rPr>
          <w:rFonts w:ascii="Arial" w:hAnsi="Arial" w:hint="eastAsia"/>
          <w:sz w:val="32"/>
          <w:szCs w:val="36"/>
        </w:rPr>
        <w:t>Discussion</w:t>
      </w:r>
    </w:p>
    <w:p w14:paraId="2EEE532A" w14:textId="007AB08C" w:rsidR="00C212C6" w:rsidRDefault="00C212C6" w:rsidP="00C212C6">
      <w:pPr>
        <w:pStyle w:val="Heading2"/>
      </w:pPr>
      <w:r w:rsidRPr="00BB3EAC">
        <w:t xml:space="preserve">2.1 </w:t>
      </w:r>
      <w:r>
        <w:t>NCR classes</w:t>
      </w:r>
    </w:p>
    <w:p w14:paraId="07F939D1" w14:textId="7DD38F7F" w:rsidR="00C212C6" w:rsidRDefault="00C212C6" w:rsidP="00C212C6">
      <w:pPr>
        <w:spacing w:after="120"/>
        <w:rPr>
          <w:rFonts w:ascii="Times New Roman" w:eastAsia="宋体" w:hAnsi="Times New Roman" w:cs="Times New Roman"/>
          <w:sz w:val="20"/>
        </w:rPr>
      </w:pPr>
      <w:r>
        <w:rPr>
          <w:rFonts w:ascii="Times New Roman" w:eastAsia="宋体" w:hAnsi="Times New Roman" w:cs="Times New Roman"/>
          <w:sz w:val="20"/>
        </w:rPr>
        <w:t>The agreement for NCR</w:t>
      </w:r>
      <w:r w:rsidR="008D31C9">
        <w:rPr>
          <w:rFonts w:ascii="Times New Roman" w:eastAsia="宋体" w:hAnsi="Times New Roman" w:cs="Times New Roman"/>
          <w:sz w:val="20"/>
        </w:rPr>
        <w:t xml:space="preserve"> classes</w:t>
      </w:r>
      <w:r>
        <w:rPr>
          <w:rFonts w:ascii="Times New Roman" w:eastAsia="宋体" w:hAnsi="Times New Roman" w:cs="Times New Roman"/>
          <w:sz w:val="20"/>
        </w:rPr>
        <w:t xml:space="preserve"> is listed as below:</w:t>
      </w:r>
    </w:p>
    <w:tbl>
      <w:tblPr>
        <w:tblStyle w:val="TableGrid"/>
        <w:tblW w:w="0" w:type="auto"/>
        <w:tblLook w:val="04A0" w:firstRow="1" w:lastRow="0" w:firstColumn="1" w:lastColumn="0" w:noHBand="0" w:noVBand="1"/>
      </w:tblPr>
      <w:tblGrid>
        <w:gridCol w:w="9736"/>
      </w:tblGrid>
      <w:tr w:rsidR="00C212C6" w14:paraId="015DCEB1" w14:textId="77777777" w:rsidTr="00146943">
        <w:tc>
          <w:tcPr>
            <w:tcW w:w="9736" w:type="dxa"/>
          </w:tcPr>
          <w:p w14:paraId="257504F5" w14:textId="77777777" w:rsidR="008D31C9" w:rsidRPr="008D31C9" w:rsidRDefault="008D31C9" w:rsidP="008D31C9">
            <w:pPr>
              <w:pStyle w:val="ListParagraph"/>
              <w:numPr>
                <w:ilvl w:val="0"/>
                <w:numId w:val="13"/>
              </w:numPr>
              <w:spacing w:after="120"/>
              <w:ind w:firstLineChars="0"/>
              <w:rPr>
                <w:rFonts w:ascii="Times New Roman" w:eastAsia="宋体" w:hAnsi="Times New Roman" w:cs="Times New Roman"/>
                <w:sz w:val="20"/>
              </w:rPr>
            </w:pPr>
            <w:r w:rsidRPr="008D31C9">
              <w:rPr>
                <w:rFonts w:ascii="Times New Roman" w:eastAsia="宋体" w:hAnsi="Times New Roman" w:cs="Times New Roman"/>
                <w:sz w:val="20"/>
              </w:rPr>
              <w:t xml:space="preserve">For NCR-fwd, following NCR classes introduced </w:t>
            </w:r>
          </w:p>
          <w:p w14:paraId="154BF63C" w14:textId="77777777" w:rsidR="008D31C9" w:rsidRPr="008D31C9" w:rsidRDefault="008D31C9" w:rsidP="008D31C9">
            <w:pPr>
              <w:pStyle w:val="ListParagraph"/>
              <w:numPr>
                <w:ilvl w:val="1"/>
                <w:numId w:val="13"/>
              </w:numPr>
              <w:spacing w:after="120"/>
              <w:ind w:firstLineChars="0"/>
              <w:rPr>
                <w:rFonts w:ascii="Times New Roman" w:eastAsia="宋体" w:hAnsi="Times New Roman" w:cs="Times New Roman"/>
                <w:sz w:val="20"/>
              </w:rPr>
            </w:pPr>
            <w:r w:rsidRPr="008D31C9">
              <w:rPr>
                <w:rFonts w:ascii="Times New Roman" w:eastAsia="宋体" w:hAnsi="Times New Roman" w:cs="Times New Roman"/>
                <w:sz w:val="20"/>
              </w:rPr>
              <w:t xml:space="preserve">DL/UE side: wide-area, medium range and local area </w:t>
            </w:r>
          </w:p>
          <w:p w14:paraId="1E321D5D" w14:textId="77777777" w:rsidR="008D31C9" w:rsidRPr="008D31C9" w:rsidRDefault="008D31C9" w:rsidP="008D31C9">
            <w:pPr>
              <w:pStyle w:val="ListParagraph"/>
              <w:numPr>
                <w:ilvl w:val="1"/>
                <w:numId w:val="13"/>
              </w:numPr>
              <w:spacing w:after="120"/>
              <w:ind w:firstLineChars="0"/>
              <w:rPr>
                <w:rFonts w:ascii="Times New Roman" w:eastAsia="宋体" w:hAnsi="Times New Roman" w:cs="Times New Roman"/>
                <w:sz w:val="20"/>
              </w:rPr>
            </w:pPr>
            <w:r w:rsidRPr="008D31C9">
              <w:rPr>
                <w:rFonts w:ascii="Times New Roman" w:eastAsia="宋体" w:hAnsi="Times New Roman" w:cs="Times New Roman"/>
                <w:sz w:val="20"/>
              </w:rPr>
              <w:t>UL/BS side: Wide-area and local area</w:t>
            </w:r>
          </w:p>
          <w:p w14:paraId="039D29CB" w14:textId="77777777" w:rsidR="008D31C9" w:rsidRPr="008D31C9" w:rsidRDefault="008D31C9" w:rsidP="008D31C9">
            <w:pPr>
              <w:pStyle w:val="ListParagraph"/>
              <w:numPr>
                <w:ilvl w:val="1"/>
                <w:numId w:val="13"/>
              </w:numPr>
              <w:spacing w:after="120"/>
              <w:ind w:firstLineChars="0"/>
              <w:rPr>
                <w:rFonts w:ascii="Times New Roman" w:eastAsia="宋体" w:hAnsi="Times New Roman" w:cs="Times New Roman"/>
                <w:sz w:val="20"/>
              </w:rPr>
            </w:pPr>
            <w:r w:rsidRPr="008D31C9">
              <w:rPr>
                <w:rFonts w:ascii="Times New Roman" w:eastAsia="宋体" w:hAnsi="Times New Roman" w:cs="Times New Roman"/>
                <w:sz w:val="20"/>
              </w:rPr>
              <w:t>Above NCR classes applicable for all NCR types</w:t>
            </w:r>
          </w:p>
          <w:p w14:paraId="3F58FC48" w14:textId="77777777" w:rsidR="008D31C9" w:rsidRPr="008D31C9" w:rsidRDefault="008D31C9" w:rsidP="008D31C9">
            <w:pPr>
              <w:pStyle w:val="ListParagraph"/>
              <w:numPr>
                <w:ilvl w:val="0"/>
                <w:numId w:val="13"/>
              </w:numPr>
              <w:spacing w:after="120"/>
              <w:ind w:firstLineChars="0"/>
              <w:rPr>
                <w:rFonts w:ascii="Times New Roman" w:eastAsia="宋体" w:hAnsi="Times New Roman" w:cs="Times New Roman"/>
                <w:sz w:val="20"/>
              </w:rPr>
            </w:pPr>
            <w:r w:rsidRPr="008D31C9">
              <w:rPr>
                <w:rFonts w:ascii="Times New Roman" w:eastAsia="宋体" w:hAnsi="Times New Roman" w:cs="Times New Roman"/>
                <w:sz w:val="20"/>
              </w:rPr>
              <w:t>NCR classes for NCR-MT</w:t>
            </w:r>
          </w:p>
          <w:p w14:paraId="53D31E16" w14:textId="77777777" w:rsidR="008D31C9" w:rsidRPr="008D31C9" w:rsidRDefault="008D31C9" w:rsidP="008D31C9">
            <w:pPr>
              <w:pStyle w:val="ListParagraph"/>
              <w:numPr>
                <w:ilvl w:val="1"/>
                <w:numId w:val="13"/>
              </w:numPr>
              <w:spacing w:after="120"/>
              <w:ind w:firstLineChars="0"/>
              <w:rPr>
                <w:rFonts w:ascii="Times New Roman" w:eastAsia="宋体" w:hAnsi="Times New Roman" w:cs="Times New Roman"/>
                <w:sz w:val="20"/>
              </w:rPr>
            </w:pPr>
            <w:r w:rsidRPr="008D31C9">
              <w:rPr>
                <w:rFonts w:ascii="Times New Roman" w:eastAsia="宋体" w:hAnsi="Times New Roman" w:cs="Times New Roman"/>
                <w:sz w:val="20"/>
              </w:rPr>
              <w:t>[Wide-area and local area]</w:t>
            </w:r>
          </w:p>
          <w:p w14:paraId="4E49D42E" w14:textId="5936A9E1" w:rsidR="00C212C6" w:rsidRPr="008D31C9" w:rsidRDefault="008D31C9" w:rsidP="008D31C9">
            <w:pPr>
              <w:pStyle w:val="ListParagraph"/>
              <w:numPr>
                <w:ilvl w:val="0"/>
                <w:numId w:val="13"/>
              </w:numPr>
              <w:spacing w:after="120"/>
              <w:ind w:firstLineChars="0"/>
              <w:rPr>
                <w:rFonts w:ascii="Times New Roman" w:eastAsia="宋体" w:hAnsi="Times New Roman" w:cs="Times New Roman"/>
                <w:sz w:val="20"/>
              </w:rPr>
            </w:pPr>
            <w:r w:rsidRPr="008D31C9">
              <w:rPr>
                <w:rFonts w:ascii="Times New Roman" w:eastAsia="宋体" w:hAnsi="Times New Roman" w:cs="Times New Roman"/>
                <w:sz w:val="20"/>
              </w:rPr>
              <w:t>FFS whether NCR class can be declared separately for NCR-fwd, and NCR-MT</w:t>
            </w:r>
            <w:r w:rsidR="00C212C6" w:rsidRPr="008D31C9">
              <w:rPr>
                <w:rFonts w:ascii="Times New Roman" w:eastAsia="宋体" w:hAnsi="Times New Roman" w:cs="Times New Roman"/>
                <w:sz w:val="20"/>
              </w:rPr>
              <w:t xml:space="preserve"> </w:t>
            </w:r>
          </w:p>
        </w:tc>
      </w:tr>
    </w:tbl>
    <w:p w14:paraId="07BF590B" w14:textId="77777777" w:rsidR="00C212C6" w:rsidRPr="00C212C6" w:rsidRDefault="00C212C6" w:rsidP="00C31F67">
      <w:pPr>
        <w:spacing w:after="120"/>
        <w:rPr>
          <w:rFonts w:ascii="Times New Roman" w:eastAsia="宋体" w:hAnsi="Times New Roman" w:cs="Times New Roman"/>
          <w:sz w:val="20"/>
        </w:rPr>
      </w:pPr>
    </w:p>
    <w:p w14:paraId="73550E56" w14:textId="558C63D3" w:rsidR="00632A67" w:rsidRDefault="00632A67" w:rsidP="00C31F67">
      <w:pPr>
        <w:spacing w:after="120"/>
        <w:rPr>
          <w:rFonts w:ascii="Times New Roman" w:eastAsia="宋体" w:hAnsi="Times New Roman" w:cs="Times New Roman"/>
          <w:sz w:val="20"/>
        </w:rPr>
      </w:pPr>
      <w:r>
        <w:rPr>
          <w:rFonts w:ascii="Times New Roman" w:eastAsia="宋体" w:hAnsi="Times New Roman" w:cs="Times New Roman"/>
          <w:sz w:val="20"/>
        </w:rPr>
        <w:t xml:space="preserve">For both R17 RF repeater and IAB, classes are </w:t>
      </w:r>
      <w:r w:rsidR="008F15C0">
        <w:rPr>
          <w:rFonts w:ascii="Times New Roman" w:eastAsia="宋体" w:hAnsi="Times New Roman" w:cs="Times New Roman"/>
          <w:sz w:val="20"/>
        </w:rPr>
        <w:t>separated among downlink (DU part for IAB) and uplink (MT part for IAB).</w:t>
      </w:r>
    </w:p>
    <w:p w14:paraId="5D3BC5CF" w14:textId="73C30706" w:rsidR="0032188A" w:rsidRDefault="005814F0" w:rsidP="00C31F67">
      <w:pPr>
        <w:spacing w:after="120"/>
        <w:rPr>
          <w:rFonts w:ascii="Times New Roman" w:eastAsia="宋体" w:hAnsi="Times New Roman" w:cs="Times New Roman"/>
          <w:sz w:val="20"/>
        </w:rPr>
      </w:pPr>
      <w:r>
        <w:rPr>
          <w:rFonts w:ascii="Times New Roman" w:eastAsia="宋体" w:hAnsi="Times New Roman" w:cs="Times New Roman"/>
          <w:sz w:val="20"/>
        </w:rPr>
        <w:t xml:space="preserve">Considering forwarding link is much like R17 RF repeater with only amplify functionality. </w:t>
      </w:r>
      <w:r w:rsidR="00F86C97">
        <w:rPr>
          <w:rFonts w:ascii="Times New Roman" w:eastAsia="宋体" w:hAnsi="Times New Roman" w:cs="Times New Roman"/>
          <w:sz w:val="20"/>
        </w:rPr>
        <w:t xml:space="preserve">MT part plays similar function as IAB-MT. </w:t>
      </w:r>
      <w:r w:rsidR="00A01F71">
        <w:rPr>
          <w:rFonts w:ascii="Times New Roman" w:eastAsia="宋体" w:hAnsi="Times New Roman" w:cs="Times New Roman"/>
          <w:sz w:val="20"/>
        </w:rPr>
        <w:t xml:space="preserve">This </w:t>
      </w:r>
      <w:r>
        <w:rPr>
          <w:rFonts w:ascii="Times New Roman" w:eastAsia="宋体" w:hAnsi="Times New Roman" w:cs="Times New Roman"/>
          <w:sz w:val="20"/>
        </w:rPr>
        <w:t xml:space="preserve">same </w:t>
      </w:r>
      <w:r w:rsidR="00A01F71">
        <w:rPr>
          <w:rFonts w:ascii="Times New Roman" w:eastAsia="宋体" w:hAnsi="Times New Roman" w:cs="Times New Roman"/>
          <w:sz w:val="20"/>
        </w:rPr>
        <w:t xml:space="preserve">method </w:t>
      </w:r>
      <w:r w:rsidR="008D31C9">
        <w:rPr>
          <w:rFonts w:ascii="Times New Roman" w:eastAsia="宋体" w:hAnsi="Times New Roman" w:cs="Times New Roman"/>
          <w:sz w:val="20"/>
        </w:rPr>
        <w:t xml:space="preserve">seems </w:t>
      </w:r>
      <w:r w:rsidR="00A01F71">
        <w:rPr>
          <w:rFonts w:ascii="Times New Roman" w:eastAsia="宋体" w:hAnsi="Times New Roman" w:cs="Times New Roman"/>
          <w:sz w:val="20"/>
        </w:rPr>
        <w:t xml:space="preserve">still applies for NW side and UE side at fwd-link. </w:t>
      </w:r>
    </w:p>
    <w:p w14:paraId="198D5355" w14:textId="1E5DCE3C" w:rsidR="008D31C9" w:rsidRDefault="00C05789" w:rsidP="00C31F67">
      <w:pPr>
        <w:spacing w:after="120"/>
        <w:rPr>
          <w:rFonts w:ascii="Times New Roman" w:eastAsia="宋体" w:hAnsi="Times New Roman" w:cs="Times New Roman"/>
          <w:sz w:val="20"/>
        </w:rPr>
      </w:pPr>
      <w:r>
        <w:rPr>
          <w:rFonts w:ascii="Times New Roman" w:eastAsia="宋体" w:hAnsi="Times New Roman" w:cs="Times New Roman"/>
          <w:sz w:val="20"/>
        </w:rPr>
        <w:t>From deployment point, REFSENSE requirements determine NCR-MT coverage range, when input signal is less than REFSENSE requirement, NCR-MT can’t work. But for NCR-forwarding, there is no such power limitation</w:t>
      </w:r>
      <w:r w:rsidR="00F4609C">
        <w:rPr>
          <w:rFonts w:ascii="Times New Roman" w:eastAsia="宋体" w:hAnsi="Times New Roman" w:cs="Times New Roman"/>
          <w:sz w:val="20"/>
        </w:rPr>
        <w:t>.</w:t>
      </w:r>
      <w:r>
        <w:rPr>
          <w:rFonts w:ascii="Times New Roman" w:eastAsia="宋体" w:hAnsi="Times New Roman" w:cs="Times New Roman"/>
          <w:sz w:val="20"/>
        </w:rPr>
        <w:t xml:space="preserve"> </w:t>
      </w:r>
      <w:r w:rsidR="00F4609C">
        <w:rPr>
          <w:rFonts w:ascii="Times New Roman" w:eastAsia="宋体" w:hAnsi="Times New Roman" w:cs="Times New Roman"/>
          <w:sz w:val="20"/>
        </w:rPr>
        <w:t xml:space="preserve">when </w:t>
      </w:r>
      <w:r>
        <w:rPr>
          <w:rFonts w:ascii="Times New Roman" w:eastAsia="宋体" w:hAnsi="Times New Roman" w:cs="Times New Roman"/>
          <w:sz w:val="20"/>
        </w:rPr>
        <w:t xml:space="preserve">the </w:t>
      </w:r>
      <w:r w:rsidR="00F4609C">
        <w:rPr>
          <w:rFonts w:ascii="Times New Roman" w:eastAsia="宋体" w:hAnsi="Times New Roman" w:cs="Times New Roman"/>
          <w:sz w:val="20"/>
        </w:rPr>
        <w:t xml:space="preserve">input </w:t>
      </w:r>
      <w:r>
        <w:rPr>
          <w:rFonts w:ascii="Times New Roman" w:eastAsia="宋体" w:hAnsi="Times New Roman" w:cs="Times New Roman"/>
          <w:sz w:val="20"/>
        </w:rPr>
        <w:t xml:space="preserve">power </w:t>
      </w:r>
      <w:r w:rsidR="00F4609C">
        <w:rPr>
          <w:rFonts w:ascii="Times New Roman" w:eastAsia="宋体" w:hAnsi="Times New Roman" w:cs="Times New Roman"/>
          <w:sz w:val="20"/>
        </w:rPr>
        <w:t xml:space="preserve">is </w:t>
      </w:r>
      <w:r>
        <w:rPr>
          <w:rFonts w:ascii="Times New Roman" w:eastAsia="宋体" w:hAnsi="Times New Roman" w:cs="Times New Roman"/>
          <w:sz w:val="20"/>
        </w:rPr>
        <w:t>less than REFSENSE, the NCR-for</w:t>
      </w:r>
      <w:r w:rsidR="00F4609C">
        <w:rPr>
          <w:rFonts w:ascii="Times New Roman" w:eastAsia="宋体" w:hAnsi="Times New Roman" w:cs="Times New Roman"/>
          <w:sz w:val="20"/>
        </w:rPr>
        <w:t>war</w:t>
      </w:r>
      <w:r>
        <w:rPr>
          <w:rFonts w:ascii="Times New Roman" w:eastAsia="宋体" w:hAnsi="Times New Roman" w:cs="Times New Roman"/>
          <w:sz w:val="20"/>
        </w:rPr>
        <w:t>ding part could still work to amplify signals. So coverage of MT and backhaul link of forwarding link is different. There is possibility that MT part is relatively near to gNB to have strong input signal to demode signal but forwarding part is relatively far to gNB. therefore, it’s suggested to separate MT and NCR-forwarding classes separately.</w:t>
      </w:r>
    </w:p>
    <w:p w14:paraId="337BFDF9" w14:textId="6E0BFC5B" w:rsidR="00A01F71" w:rsidRDefault="00A01F71" w:rsidP="00C31F67">
      <w:pPr>
        <w:spacing w:after="120"/>
        <w:rPr>
          <w:rFonts w:ascii="Times New Roman" w:eastAsia="宋体" w:hAnsi="Times New Roman" w:cs="Times New Roman"/>
          <w:b/>
          <w:bCs/>
          <w:sz w:val="20"/>
        </w:rPr>
      </w:pPr>
      <w:r w:rsidRPr="005814F0">
        <w:rPr>
          <w:rFonts w:ascii="Times New Roman" w:eastAsia="宋体" w:hAnsi="Times New Roman" w:cs="Times New Roman"/>
          <w:b/>
          <w:bCs/>
          <w:sz w:val="20"/>
        </w:rPr>
        <w:t xml:space="preserve">Proposal 1: </w:t>
      </w:r>
      <w:r w:rsidR="001239EE">
        <w:rPr>
          <w:rFonts w:ascii="Times New Roman" w:eastAsia="宋体" w:hAnsi="Times New Roman" w:cs="Times New Roman"/>
          <w:b/>
          <w:bCs/>
          <w:sz w:val="20"/>
        </w:rPr>
        <w:t xml:space="preserve">NCR class can be declared separately for NCR-fwd </w:t>
      </w:r>
      <w:r w:rsidR="00F4609C">
        <w:rPr>
          <w:rFonts w:ascii="Times New Roman" w:eastAsia="宋体" w:hAnsi="Times New Roman" w:cs="Times New Roman"/>
          <w:b/>
          <w:bCs/>
          <w:sz w:val="20"/>
        </w:rPr>
        <w:t xml:space="preserve">DL, UL </w:t>
      </w:r>
      <w:r w:rsidR="001239EE">
        <w:rPr>
          <w:rFonts w:ascii="Times New Roman" w:eastAsia="宋体" w:hAnsi="Times New Roman" w:cs="Times New Roman"/>
          <w:b/>
          <w:bCs/>
          <w:sz w:val="20"/>
        </w:rPr>
        <w:t>and NCR-MT parts</w:t>
      </w:r>
      <w:r w:rsidR="00F86C97">
        <w:rPr>
          <w:rFonts w:ascii="Times New Roman" w:eastAsia="宋体" w:hAnsi="Times New Roman" w:cs="Times New Roman"/>
          <w:b/>
          <w:bCs/>
          <w:sz w:val="20"/>
        </w:rPr>
        <w:t>.</w:t>
      </w:r>
    </w:p>
    <w:p w14:paraId="6631CE77" w14:textId="34EE7E2A" w:rsidR="001A46A5" w:rsidRDefault="001A46A5" w:rsidP="001A46A5">
      <w:pPr>
        <w:pStyle w:val="Heading2"/>
      </w:pPr>
      <w:r w:rsidRPr="00BB3EAC">
        <w:lastRenderedPageBreak/>
        <w:t>2.</w:t>
      </w:r>
      <w:r w:rsidR="00ED6BC4">
        <w:t>2</w:t>
      </w:r>
      <w:r w:rsidRPr="00BB3EAC">
        <w:t xml:space="preserve"> </w:t>
      </w:r>
      <w:r>
        <w:t>NCR forwarding part and MT part operation mode</w:t>
      </w:r>
    </w:p>
    <w:p w14:paraId="20A85817" w14:textId="69C89AAB" w:rsidR="001A46A5" w:rsidRDefault="001A46A5" w:rsidP="001A46A5">
      <w:pPr>
        <w:spacing w:after="120"/>
        <w:rPr>
          <w:rFonts w:ascii="Times New Roman" w:eastAsia="宋体" w:hAnsi="Times New Roman" w:cs="Times New Roman"/>
          <w:sz w:val="20"/>
        </w:rPr>
      </w:pPr>
      <w:r w:rsidRPr="001A46A5">
        <w:rPr>
          <w:rFonts w:ascii="Times New Roman" w:eastAsia="宋体" w:hAnsi="Times New Roman" w:cs="Times New Roman"/>
          <w:sz w:val="20"/>
        </w:rPr>
        <w:t>Following are the agreements from RAN1 for forwarding part and MT part operation mode.</w:t>
      </w:r>
    </w:p>
    <w:p w14:paraId="3F9F62B1" w14:textId="52DE7081" w:rsidR="00017FEF" w:rsidRPr="00D3218C" w:rsidRDefault="00017FEF" w:rsidP="00D3218C">
      <w:pPr>
        <w:widowControl/>
        <w:spacing w:before="60" w:after="60" w:line="288" w:lineRule="auto"/>
        <w:rPr>
          <w:rFonts w:ascii="Times New Roman" w:eastAsia="Malgun Gothic" w:hAnsi="Times New Roman" w:cs="Times New Roman"/>
          <w:bCs/>
          <w:color w:val="000000"/>
          <w:kern w:val="0"/>
          <w:sz w:val="20"/>
          <w:szCs w:val="20"/>
          <w:lang w:val="en-GB" w:eastAsia="ko-KR"/>
        </w:rPr>
      </w:pPr>
      <w:r w:rsidRPr="00D3218C">
        <w:rPr>
          <w:rFonts w:ascii="Times New Roman" w:eastAsia="Malgun Gothic" w:hAnsi="Times New Roman" w:cs="Times New Roman"/>
          <w:bCs/>
          <w:kern w:val="0"/>
          <w:sz w:val="20"/>
          <w:szCs w:val="20"/>
          <w:lang w:eastAsia="ko-KR"/>
        </w:rPr>
        <w:t>Introduce the following new FG/row,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435"/>
        <w:gridCol w:w="1134"/>
        <w:gridCol w:w="1134"/>
        <w:gridCol w:w="436"/>
        <w:gridCol w:w="469"/>
        <w:gridCol w:w="478"/>
        <w:gridCol w:w="1066"/>
        <w:gridCol w:w="595"/>
        <w:gridCol w:w="410"/>
        <w:gridCol w:w="410"/>
        <w:gridCol w:w="478"/>
        <w:gridCol w:w="221"/>
        <w:gridCol w:w="848"/>
      </w:tblGrid>
      <w:tr w:rsidR="00017FEF" w:rsidRPr="00017FEF" w14:paraId="101C3135" w14:textId="77777777" w:rsidTr="00146943">
        <w:tc>
          <w:tcPr>
            <w:tcW w:w="0" w:type="auto"/>
            <w:shd w:val="clear" w:color="auto" w:fill="auto"/>
          </w:tcPr>
          <w:p w14:paraId="609A016D"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r w:rsidRPr="00017FEF">
              <w:rPr>
                <w:rFonts w:ascii="Arial" w:eastAsia="Malgun Gothic" w:hAnsi="Arial" w:cs="Arial"/>
                <w:kern w:val="0"/>
                <w:sz w:val="18"/>
                <w:szCs w:val="18"/>
                <w:lang w:val="en-GB"/>
              </w:rPr>
              <w:t>43. NR_netcon_repeater</w:t>
            </w:r>
          </w:p>
        </w:tc>
        <w:tc>
          <w:tcPr>
            <w:tcW w:w="0" w:type="auto"/>
            <w:shd w:val="clear" w:color="auto" w:fill="auto"/>
          </w:tcPr>
          <w:p w14:paraId="0F359428"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r w:rsidRPr="00017FEF">
              <w:rPr>
                <w:rFonts w:ascii="Arial" w:eastAsia="Malgun Gothic" w:hAnsi="Arial" w:cs="Arial"/>
                <w:kern w:val="0"/>
                <w:sz w:val="18"/>
                <w:szCs w:val="18"/>
                <w:lang w:val="en-GB"/>
              </w:rPr>
              <w:t>43-5</w:t>
            </w:r>
          </w:p>
        </w:tc>
        <w:tc>
          <w:tcPr>
            <w:tcW w:w="0" w:type="auto"/>
            <w:shd w:val="clear" w:color="auto" w:fill="auto"/>
          </w:tcPr>
          <w:p w14:paraId="1581890B"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r w:rsidRPr="00017FEF">
              <w:rPr>
                <w:rFonts w:ascii="Arial" w:eastAsia="Malgun Gothic" w:hAnsi="Arial" w:cs="Arial"/>
                <w:kern w:val="0"/>
                <w:sz w:val="18"/>
                <w:szCs w:val="18"/>
                <w:lang w:val="en-GB"/>
              </w:rPr>
              <w:t>Simultaneous UL transmission of backhaul link and C-link</w:t>
            </w:r>
          </w:p>
        </w:tc>
        <w:tc>
          <w:tcPr>
            <w:tcW w:w="0" w:type="auto"/>
            <w:shd w:val="clear" w:color="auto" w:fill="auto"/>
          </w:tcPr>
          <w:p w14:paraId="25731B8D"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r w:rsidRPr="00017FEF">
              <w:rPr>
                <w:rFonts w:ascii="Arial" w:eastAsia="Malgun Gothic" w:hAnsi="Arial" w:cs="Arial"/>
                <w:kern w:val="0"/>
                <w:sz w:val="18"/>
                <w:szCs w:val="18"/>
                <w:lang w:val="en-GB"/>
              </w:rPr>
              <w:t>1. Simultaneous UL transmission of backhaul link and C-link</w:t>
            </w:r>
          </w:p>
        </w:tc>
        <w:tc>
          <w:tcPr>
            <w:tcW w:w="0" w:type="auto"/>
            <w:shd w:val="clear" w:color="auto" w:fill="auto"/>
          </w:tcPr>
          <w:p w14:paraId="4BF4BEAC"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r w:rsidRPr="00017FEF">
              <w:rPr>
                <w:rFonts w:ascii="Arial" w:eastAsia="Malgun Gothic" w:hAnsi="Arial" w:cs="Arial"/>
                <w:kern w:val="0"/>
                <w:sz w:val="18"/>
                <w:szCs w:val="18"/>
                <w:lang w:val="en-GB"/>
              </w:rPr>
              <w:t>43-1</w:t>
            </w:r>
          </w:p>
        </w:tc>
        <w:tc>
          <w:tcPr>
            <w:tcW w:w="0" w:type="auto"/>
            <w:shd w:val="clear" w:color="auto" w:fill="auto"/>
          </w:tcPr>
          <w:p w14:paraId="0743AD25"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r w:rsidRPr="00017FEF">
              <w:rPr>
                <w:rFonts w:ascii="Arial" w:eastAsia="Malgun Gothic" w:hAnsi="Arial" w:cs="Arial"/>
                <w:kern w:val="0"/>
                <w:sz w:val="18"/>
                <w:szCs w:val="18"/>
                <w:lang w:val="en-GB"/>
              </w:rPr>
              <w:t>N/A</w:t>
            </w:r>
          </w:p>
        </w:tc>
        <w:tc>
          <w:tcPr>
            <w:tcW w:w="0" w:type="auto"/>
            <w:shd w:val="clear" w:color="auto" w:fill="auto"/>
          </w:tcPr>
          <w:p w14:paraId="4A56240E"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r w:rsidRPr="00017FEF">
              <w:rPr>
                <w:rFonts w:ascii="Arial" w:eastAsia="Malgun Gothic" w:hAnsi="Arial" w:cs="Arial"/>
                <w:kern w:val="0"/>
                <w:sz w:val="18"/>
                <w:szCs w:val="18"/>
                <w:lang w:val="en-GB"/>
              </w:rPr>
              <w:t>Yes</w:t>
            </w:r>
          </w:p>
        </w:tc>
        <w:tc>
          <w:tcPr>
            <w:tcW w:w="0" w:type="auto"/>
            <w:shd w:val="clear" w:color="auto" w:fill="auto"/>
          </w:tcPr>
          <w:p w14:paraId="65B20F17"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r w:rsidRPr="00017FEF">
              <w:rPr>
                <w:rFonts w:ascii="Arial" w:eastAsia="Malgun Gothic" w:hAnsi="Arial" w:cs="Arial"/>
                <w:kern w:val="0"/>
                <w:sz w:val="18"/>
                <w:szCs w:val="18"/>
                <w:lang w:val="en-GB"/>
              </w:rPr>
              <w:t>NCR only supports TDMed UL transmission of C-link and backhaul link</w:t>
            </w:r>
          </w:p>
        </w:tc>
        <w:tc>
          <w:tcPr>
            <w:tcW w:w="0" w:type="auto"/>
            <w:shd w:val="clear" w:color="auto" w:fill="auto"/>
          </w:tcPr>
          <w:p w14:paraId="7AF9D5AB"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r w:rsidRPr="00017FEF">
              <w:rPr>
                <w:rFonts w:ascii="Arial" w:eastAsia="Malgun Gothic" w:hAnsi="Arial" w:cs="Arial"/>
                <w:kern w:val="0"/>
                <w:sz w:val="18"/>
                <w:szCs w:val="18"/>
                <w:lang w:val="en-GB"/>
              </w:rPr>
              <w:t>Per NCR-MT</w:t>
            </w:r>
          </w:p>
        </w:tc>
        <w:tc>
          <w:tcPr>
            <w:tcW w:w="0" w:type="auto"/>
            <w:shd w:val="clear" w:color="auto" w:fill="auto"/>
          </w:tcPr>
          <w:p w14:paraId="5D870C09"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r w:rsidRPr="00017FEF">
              <w:rPr>
                <w:rFonts w:ascii="Arial" w:eastAsia="Malgun Gothic" w:hAnsi="Arial" w:cs="Arial"/>
                <w:kern w:val="0"/>
                <w:sz w:val="18"/>
                <w:szCs w:val="18"/>
                <w:lang w:val="en-GB"/>
              </w:rPr>
              <w:t>No</w:t>
            </w:r>
          </w:p>
        </w:tc>
        <w:tc>
          <w:tcPr>
            <w:tcW w:w="0" w:type="auto"/>
            <w:shd w:val="clear" w:color="auto" w:fill="auto"/>
          </w:tcPr>
          <w:p w14:paraId="20E5AC7C"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r w:rsidRPr="00017FEF">
              <w:rPr>
                <w:rFonts w:ascii="Arial" w:eastAsia="Malgun Gothic" w:hAnsi="Arial" w:cs="Arial"/>
                <w:kern w:val="0"/>
                <w:sz w:val="18"/>
                <w:szCs w:val="18"/>
                <w:lang w:val="en-GB"/>
              </w:rPr>
              <w:t>No</w:t>
            </w:r>
          </w:p>
        </w:tc>
        <w:tc>
          <w:tcPr>
            <w:tcW w:w="0" w:type="auto"/>
            <w:shd w:val="clear" w:color="auto" w:fill="auto"/>
          </w:tcPr>
          <w:p w14:paraId="2616C426"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r w:rsidRPr="00017FEF">
              <w:rPr>
                <w:rFonts w:ascii="Arial" w:eastAsia="Malgun Gothic" w:hAnsi="Arial" w:cs="Arial"/>
                <w:kern w:val="0"/>
                <w:sz w:val="18"/>
                <w:szCs w:val="18"/>
                <w:lang w:val="en-GB"/>
              </w:rPr>
              <w:t>Yes</w:t>
            </w:r>
          </w:p>
        </w:tc>
        <w:tc>
          <w:tcPr>
            <w:tcW w:w="0" w:type="auto"/>
            <w:shd w:val="clear" w:color="auto" w:fill="auto"/>
          </w:tcPr>
          <w:p w14:paraId="526FBAFF"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p>
        </w:tc>
        <w:tc>
          <w:tcPr>
            <w:tcW w:w="0" w:type="auto"/>
            <w:shd w:val="clear" w:color="auto" w:fill="auto"/>
          </w:tcPr>
          <w:p w14:paraId="2365B6A2" w14:textId="77777777" w:rsidR="00017FEF" w:rsidRPr="00017FEF" w:rsidRDefault="00017FEF" w:rsidP="00017FEF">
            <w:pPr>
              <w:widowControl/>
              <w:spacing w:before="60" w:after="60" w:line="288" w:lineRule="auto"/>
              <w:jc w:val="left"/>
              <w:rPr>
                <w:rFonts w:ascii="Arial" w:eastAsia="Malgun Gothic" w:hAnsi="Arial" w:cs="Arial"/>
                <w:kern w:val="0"/>
                <w:sz w:val="18"/>
                <w:szCs w:val="18"/>
                <w:lang w:val="en-GB" w:eastAsia="ko-KR"/>
              </w:rPr>
            </w:pPr>
            <w:r w:rsidRPr="00017FEF">
              <w:rPr>
                <w:rFonts w:ascii="Arial" w:eastAsia="Malgun Gothic" w:hAnsi="Arial" w:cs="Arial"/>
                <w:kern w:val="0"/>
                <w:sz w:val="18"/>
                <w:szCs w:val="18"/>
                <w:lang w:val="en-GB"/>
              </w:rPr>
              <w:t>Optional with capability signaling</w:t>
            </w:r>
          </w:p>
        </w:tc>
      </w:tr>
    </w:tbl>
    <w:p w14:paraId="0D62202B" w14:textId="77777777" w:rsidR="00017FEF" w:rsidRDefault="00017FEF" w:rsidP="001A46A5">
      <w:pPr>
        <w:spacing w:after="120"/>
        <w:rPr>
          <w:rFonts w:ascii="Times New Roman" w:eastAsia="宋体" w:hAnsi="Times New Roman" w:cs="Times New Roman"/>
          <w:sz w:val="20"/>
        </w:rPr>
      </w:pPr>
    </w:p>
    <w:p w14:paraId="78269C60" w14:textId="0436F2CF" w:rsidR="001A46A5" w:rsidRPr="000065E3" w:rsidRDefault="00017FEF" w:rsidP="001A46A5">
      <w:pPr>
        <w:spacing w:after="120"/>
        <w:rPr>
          <w:rFonts w:ascii="Times New Roman" w:eastAsia="宋体" w:hAnsi="Times New Roman" w:cs="Times New Roman"/>
          <w:b/>
          <w:bCs/>
          <w:sz w:val="20"/>
        </w:rPr>
      </w:pPr>
      <w:r w:rsidRPr="000065E3">
        <w:rPr>
          <w:rFonts w:ascii="Times New Roman" w:eastAsia="宋体" w:hAnsi="Times New Roman" w:cs="Times New Roman"/>
          <w:b/>
          <w:bCs/>
          <w:sz w:val="20"/>
        </w:rPr>
        <w:t xml:space="preserve">Observation 1: it’s NCR-MT capability to support </w:t>
      </w:r>
      <w:r w:rsidR="000065E3" w:rsidRPr="000065E3">
        <w:rPr>
          <w:rFonts w:ascii="Times New Roman" w:eastAsia="宋体" w:hAnsi="Times New Roman" w:cs="Times New Roman"/>
          <w:b/>
          <w:bCs/>
          <w:sz w:val="20"/>
        </w:rPr>
        <w:t xml:space="preserve">simultaneous UL transmission of C-link and backhaul link. UE can support TDMed or FDMed UL transmission </w:t>
      </w:r>
      <w:r w:rsidR="009662B6">
        <w:rPr>
          <w:rFonts w:ascii="Times New Roman" w:eastAsia="宋体" w:hAnsi="Times New Roman" w:cs="Times New Roman"/>
          <w:b/>
          <w:bCs/>
          <w:sz w:val="20"/>
        </w:rPr>
        <w:t>between</w:t>
      </w:r>
      <w:r w:rsidR="000065E3" w:rsidRPr="000065E3">
        <w:rPr>
          <w:rFonts w:ascii="Times New Roman" w:eastAsia="宋体" w:hAnsi="Times New Roman" w:cs="Times New Roman"/>
          <w:b/>
          <w:bCs/>
          <w:sz w:val="20"/>
        </w:rPr>
        <w:t xml:space="preserve"> C-link and backhaul link</w:t>
      </w:r>
      <w:r w:rsidR="00D3218C">
        <w:rPr>
          <w:rFonts w:ascii="Times New Roman" w:eastAsia="宋体" w:hAnsi="Times New Roman" w:cs="Times New Roman"/>
          <w:b/>
          <w:bCs/>
          <w:sz w:val="20"/>
        </w:rPr>
        <w:t xml:space="preserve"> based on capability</w:t>
      </w:r>
      <w:r w:rsidR="000065E3" w:rsidRPr="000065E3">
        <w:rPr>
          <w:rFonts w:ascii="Times New Roman" w:eastAsia="宋体" w:hAnsi="Times New Roman" w:cs="Times New Roman"/>
          <w:b/>
          <w:bCs/>
          <w:sz w:val="20"/>
        </w:rPr>
        <w:t>.</w:t>
      </w:r>
    </w:p>
    <w:p w14:paraId="1CBBF4E7" w14:textId="5D92FE7C" w:rsidR="001A46A5" w:rsidRDefault="000065E3" w:rsidP="00C31F67">
      <w:pPr>
        <w:spacing w:after="120"/>
        <w:rPr>
          <w:rFonts w:ascii="Times New Roman" w:eastAsia="宋体" w:hAnsi="Times New Roman" w:cs="Times New Roman"/>
          <w:sz w:val="20"/>
        </w:rPr>
      </w:pPr>
      <w:r w:rsidRPr="000065E3">
        <w:rPr>
          <w:rFonts w:ascii="Times New Roman" w:eastAsia="宋体" w:hAnsi="Times New Roman" w:cs="Times New Roman"/>
          <w:sz w:val="20"/>
        </w:rPr>
        <w:t xml:space="preserve">According to </w:t>
      </w:r>
      <w:r>
        <w:rPr>
          <w:rFonts w:ascii="Times New Roman" w:eastAsia="宋体" w:hAnsi="Times New Roman" w:cs="Times New Roman"/>
          <w:sz w:val="20"/>
        </w:rPr>
        <w:t xml:space="preserve">RAN1 agreements, certain NCR-MT could support simultaneous UL transmission of C-link and backhaul link. </w:t>
      </w:r>
      <w:r w:rsidR="00AC20A2">
        <w:rPr>
          <w:rFonts w:ascii="Times New Roman" w:eastAsia="宋体" w:hAnsi="Times New Roman" w:cs="Times New Roman"/>
          <w:sz w:val="20"/>
        </w:rPr>
        <w:t>F</w:t>
      </w:r>
      <w:r>
        <w:rPr>
          <w:rFonts w:ascii="Times New Roman" w:eastAsia="宋体" w:hAnsi="Times New Roman" w:cs="Times New Roman"/>
          <w:sz w:val="20"/>
        </w:rPr>
        <w:t xml:space="preserve">or such MT, </w:t>
      </w:r>
      <w:r w:rsidR="00C05E33">
        <w:rPr>
          <w:rFonts w:ascii="Times New Roman" w:eastAsia="宋体" w:hAnsi="Times New Roman" w:cs="Times New Roman"/>
          <w:sz w:val="20"/>
        </w:rPr>
        <w:t xml:space="preserve">when </w:t>
      </w:r>
      <w:r w:rsidR="00AC20A2">
        <w:rPr>
          <w:rFonts w:ascii="Times New Roman" w:eastAsia="宋体" w:hAnsi="Times New Roman" w:cs="Times New Roman"/>
          <w:sz w:val="20"/>
        </w:rPr>
        <w:t xml:space="preserve">the NCR-MT and forwarding parts transmit at the same time, </w:t>
      </w:r>
      <w:r w:rsidR="00C05E33">
        <w:rPr>
          <w:rFonts w:ascii="Times New Roman" w:eastAsia="宋体" w:hAnsi="Times New Roman" w:cs="Times New Roman"/>
          <w:sz w:val="20"/>
        </w:rPr>
        <w:t xml:space="preserve">tested emission requirement is </w:t>
      </w:r>
      <w:r w:rsidR="00AC20A2">
        <w:rPr>
          <w:rFonts w:ascii="Times New Roman" w:eastAsia="宋体" w:hAnsi="Times New Roman" w:cs="Times New Roman"/>
          <w:sz w:val="20"/>
        </w:rPr>
        <w:t xml:space="preserve">the </w:t>
      </w:r>
      <w:r>
        <w:rPr>
          <w:rFonts w:ascii="Times New Roman" w:eastAsia="宋体" w:hAnsi="Times New Roman" w:cs="Times New Roman"/>
          <w:sz w:val="20"/>
        </w:rPr>
        <w:t>sum of forwarding</w:t>
      </w:r>
      <w:r w:rsidR="00C05E33">
        <w:rPr>
          <w:rFonts w:ascii="Times New Roman" w:eastAsia="宋体" w:hAnsi="Times New Roman" w:cs="Times New Roman"/>
          <w:sz w:val="20"/>
        </w:rPr>
        <w:t>-link backhaul</w:t>
      </w:r>
      <w:r>
        <w:rPr>
          <w:rFonts w:ascii="Times New Roman" w:eastAsia="宋体" w:hAnsi="Times New Roman" w:cs="Times New Roman"/>
          <w:sz w:val="20"/>
        </w:rPr>
        <w:t xml:space="preserve"> part and MT part.</w:t>
      </w:r>
      <w:r w:rsidR="00AC20A2">
        <w:rPr>
          <w:rFonts w:ascii="Times New Roman" w:eastAsia="宋体" w:hAnsi="Times New Roman" w:cs="Times New Roman"/>
          <w:sz w:val="20"/>
        </w:rPr>
        <w:t xml:space="preserve"> but </w:t>
      </w:r>
      <w:r w:rsidR="00C05E33">
        <w:rPr>
          <w:rFonts w:ascii="Times New Roman" w:eastAsia="宋体" w:hAnsi="Times New Roman" w:cs="Times New Roman"/>
          <w:sz w:val="20"/>
        </w:rPr>
        <w:t xml:space="preserve">considering all NCR-MT support TDMed operation, </w:t>
      </w:r>
      <w:r w:rsidR="00AC20A2">
        <w:rPr>
          <w:rFonts w:ascii="Times New Roman" w:eastAsia="宋体" w:hAnsi="Times New Roman" w:cs="Times New Roman"/>
          <w:sz w:val="20"/>
        </w:rPr>
        <w:t>we still suggest to separate emission requirements of MT and backhaul link separately and also separately test them</w:t>
      </w:r>
      <w:r w:rsidR="00C05E33">
        <w:rPr>
          <w:rFonts w:ascii="Times New Roman" w:eastAsia="宋体" w:hAnsi="Times New Roman" w:cs="Times New Roman"/>
          <w:sz w:val="20"/>
        </w:rPr>
        <w:t xml:space="preserve"> to make requirements and testing much easier.</w:t>
      </w:r>
    </w:p>
    <w:p w14:paraId="7811D6CF" w14:textId="45F51224" w:rsidR="00AC20A2" w:rsidRPr="00AC20A2" w:rsidRDefault="00AC20A2" w:rsidP="00C31F67">
      <w:pPr>
        <w:spacing w:after="120"/>
        <w:rPr>
          <w:rFonts w:ascii="Times New Roman" w:eastAsia="宋体" w:hAnsi="Times New Roman" w:cs="Times New Roman"/>
          <w:b/>
          <w:bCs/>
          <w:sz w:val="20"/>
        </w:rPr>
      </w:pPr>
      <w:r w:rsidRPr="00AC20A2">
        <w:rPr>
          <w:rFonts w:ascii="Times New Roman" w:eastAsia="宋体" w:hAnsi="Times New Roman" w:cs="Times New Roman"/>
          <w:b/>
          <w:bCs/>
          <w:sz w:val="20"/>
        </w:rPr>
        <w:t xml:space="preserve">Proposal 2: it’s suggested to separately define emission requirements for MT part and </w:t>
      </w:r>
      <w:r w:rsidR="00C91098">
        <w:rPr>
          <w:rFonts w:ascii="Times New Roman" w:eastAsia="宋体" w:hAnsi="Times New Roman" w:cs="Times New Roman"/>
          <w:b/>
          <w:bCs/>
          <w:sz w:val="20"/>
        </w:rPr>
        <w:t xml:space="preserve">forwarding link </w:t>
      </w:r>
      <w:r w:rsidRPr="00AC20A2">
        <w:rPr>
          <w:rFonts w:ascii="Times New Roman" w:eastAsia="宋体" w:hAnsi="Times New Roman" w:cs="Times New Roman"/>
          <w:b/>
          <w:bCs/>
          <w:sz w:val="20"/>
        </w:rPr>
        <w:t>backhaul par</w:t>
      </w:r>
      <w:r>
        <w:rPr>
          <w:rFonts w:ascii="Times New Roman" w:eastAsia="宋体" w:hAnsi="Times New Roman" w:cs="Times New Roman"/>
          <w:b/>
          <w:bCs/>
          <w:sz w:val="20"/>
        </w:rPr>
        <w:t>t</w:t>
      </w:r>
      <w:r w:rsidRPr="00AC20A2">
        <w:rPr>
          <w:rFonts w:ascii="Times New Roman" w:eastAsia="宋体" w:hAnsi="Times New Roman" w:cs="Times New Roman"/>
          <w:b/>
          <w:bCs/>
          <w:sz w:val="20"/>
        </w:rPr>
        <w:t xml:space="preserve">. Besides, separate testing is also suggested for both </w:t>
      </w:r>
      <w:r>
        <w:rPr>
          <w:rFonts w:ascii="Times New Roman" w:eastAsia="宋体" w:hAnsi="Times New Roman" w:cs="Times New Roman"/>
          <w:b/>
          <w:bCs/>
          <w:sz w:val="20"/>
        </w:rPr>
        <w:t>NCR-MT</w:t>
      </w:r>
      <w:r w:rsidRPr="00AC20A2">
        <w:rPr>
          <w:rFonts w:ascii="Times New Roman" w:eastAsia="宋体" w:hAnsi="Times New Roman" w:cs="Times New Roman"/>
          <w:b/>
          <w:bCs/>
          <w:sz w:val="20"/>
        </w:rPr>
        <w:t xml:space="preserve"> support simultaneous and non-simultaneous emissions.</w:t>
      </w:r>
    </w:p>
    <w:p w14:paraId="02AD797A" w14:textId="535D3358" w:rsidR="00ED668E" w:rsidRDefault="00ED668E" w:rsidP="00ED668E">
      <w:pPr>
        <w:pStyle w:val="Heading2"/>
      </w:pPr>
      <w:r>
        <w:rPr>
          <w:rFonts w:hint="eastAsia"/>
        </w:rPr>
        <w:t>2</w:t>
      </w:r>
      <w:r>
        <w:t>.</w:t>
      </w:r>
      <w:r w:rsidR="00122A20">
        <w:t>3</w:t>
      </w:r>
      <w:r>
        <w:t xml:space="preserve"> MT receiver requirements</w:t>
      </w:r>
    </w:p>
    <w:p w14:paraId="53A24342" w14:textId="3132E5D1" w:rsidR="00815FAC" w:rsidRDefault="00E30203" w:rsidP="00815FAC">
      <w:pPr>
        <w:spacing w:after="120"/>
        <w:rPr>
          <w:rFonts w:ascii="Times New Roman" w:eastAsia="宋体" w:hAnsi="Times New Roman" w:cs="Times New Roman"/>
          <w:sz w:val="20"/>
        </w:rPr>
      </w:pPr>
      <w:r>
        <w:rPr>
          <w:rFonts w:ascii="Times New Roman" w:eastAsia="宋体" w:hAnsi="Times New Roman" w:cs="Times New Roman"/>
          <w:sz w:val="20"/>
        </w:rPr>
        <w:t xml:space="preserve">For legacy UE, the REFSENSE is the minimum </w:t>
      </w:r>
      <w:r w:rsidR="00E6762C">
        <w:rPr>
          <w:rFonts w:ascii="Times New Roman" w:eastAsia="宋体" w:hAnsi="Times New Roman" w:cs="Times New Roman"/>
          <w:sz w:val="20"/>
        </w:rPr>
        <w:t xml:space="preserve">Rx power </w:t>
      </w:r>
      <w:r>
        <w:rPr>
          <w:rFonts w:ascii="Times New Roman" w:eastAsia="宋体" w:hAnsi="Times New Roman" w:cs="Times New Roman"/>
          <w:sz w:val="20"/>
        </w:rPr>
        <w:t xml:space="preserve">level </w:t>
      </w:r>
      <w:r w:rsidR="00827566">
        <w:rPr>
          <w:rFonts w:ascii="Times New Roman" w:eastAsia="宋体" w:hAnsi="Times New Roman" w:cs="Times New Roman"/>
          <w:sz w:val="20"/>
        </w:rPr>
        <w:t>of which</w:t>
      </w:r>
      <w:r>
        <w:rPr>
          <w:rFonts w:ascii="Times New Roman" w:eastAsia="宋体" w:hAnsi="Times New Roman" w:cs="Times New Roman"/>
          <w:sz w:val="20"/>
        </w:rPr>
        <w:t xml:space="preserve"> </w:t>
      </w:r>
      <w:r w:rsidR="00E6762C">
        <w:rPr>
          <w:rFonts w:ascii="Times New Roman" w:eastAsia="宋体" w:hAnsi="Times New Roman" w:cs="Times New Roman"/>
          <w:sz w:val="20"/>
        </w:rPr>
        <w:t xml:space="preserve">throughput shall be larger than </w:t>
      </w:r>
      <w:r>
        <w:rPr>
          <w:rFonts w:ascii="Times New Roman" w:eastAsia="宋体" w:hAnsi="Times New Roman" w:cs="Times New Roman"/>
          <w:sz w:val="20"/>
        </w:rPr>
        <w:t>95% of max throughput from RMC.</w:t>
      </w:r>
      <w:r w:rsidR="00E6762C">
        <w:rPr>
          <w:rFonts w:ascii="Times New Roman" w:eastAsia="宋体" w:hAnsi="Times New Roman" w:cs="Times New Roman"/>
          <w:sz w:val="20"/>
        </w:rPr>
        <w:t xml:space="preserve"> </w:t>
      </w:r>
      <w:r w:rsidR="008A1561">
        <w:rPr>
          <w:rFonts w:ascii="Times New Roman" w:eastAsia="宋体" w:hAnsi="Times New Roman" w:cs="Times New Roman"/>
          <w:sz w:val="20"/>
        </w:rPr>
        <w:t xml:space="preserve">For NCR, </w:t>
      </w:r>
      <w:r w:rsidR="00C41129">
        <w:rPr>
          <w:rFonts w:ascii="Times New Roman" w:eastAsia="宋体" w:hAnsi="Times New Roman" w:cs="Times New Roman" w:hint="eastAsia"/>
          <w:sz w:val="20"/>
        </w:rPr>
        <w:t>accor</w:t>
      </w:r>
      <w:r w:rsidR="00C41129">
        <w:rPr>
          <w:rFonts w:ascii="Times New Roman" w:eastAsia="宋体" w:hAnsi="Times New Roman" w:cs="Times New Roman"/>
          <w:sz w:val="20"/>
        </w:rPr>
        <w:t xml:space="preserve">ding to last </w:t>
      </w:r>
      <w:r w:rsidR="00E0185C">
        <w:rPr>
          <w:rFonts w:ascii="Times New Roman" w:eastAsia="宋体" w:hAnsi="Times New Roman" w:cs="Times New Roman"/>
          <w:sz w:val="20"/>
        </w:rPr>
        <w:t xml:space="preserve">RAN1 </w:t>
      </w:r>
      <w:r w:rsidR="00C41129">
        <w:rPr>
          <w:rFonts w:ascii="Times New Roman" w:eastAsia="宋体" w:hAnsi="Times New Roman" w:cs="Times New Roman"/>
          <w:sz w:val="20"/>
        </w:rPr>
        <w:t xml:space="preserve">meeting discussion, </w:t>
      </w:r>
      <w:r w:rsidR="008A1561">
        <w:rPr>
          <w:rFonts w:ascii="Times New Roman" w:eastAsia="宋体" w:hAnsi="Times New Roman" w:cs="Times New Roman"/>
          <w:sz w:val="20"/>
        </w:rPr>
        <w:t xml:space="preserve">PDSCH </w:t>
      </w:r>
      <w:r w:rsidR="00267BE1">
        <w:rPr>
          <w:rFonts w:ascii="Times New Roman" w:eastAsia="宋体" w:hAnsi="Times New Roman" w:cs="Times New Roman"/>
          <w:sz w:val="20"/>
        </w:rPr>
        <w:t xml:space="preserve">is supported to </w:t>
      </w:r>
      <w:r w:rsidR="008A1561">
        <w:rPr>
          <w:rFonts w:ascii="Times New Roman" w:eastAsia="宋体" w:hAnsi="Times New Roman" w:cs="Times New Roman"/>
          <w:sz w:val="20"/>
        </w:rPr>
        <w:t>transmit control information like RRC information</w:t>
      </w:r>
      <w:r w:rsidR="00953451">
        <w:rPr>
          <w:rFonts w:ascii="Times New Roman" w:eastAsia="宋体" w:hAnsi="Times New Roman" w:cs="Times New Roman"/>
          <w:sz w:val="20"/>
        </w:rPr>
        <w:t xml:space="preserve"> or MAC CE</w:t>
      </w:r>
      <w:r w:rsidR="008A1561">
        <w:rPr>
          <w:rFonts w:ascii="Times New Roman" w:eastAsia="宋体" w:hAnsi="Times New Roman" w:cs="Times New Roman"/>
          <w:sz w:val="20"/>
        </w:rPr>
        <w:t>.</w:t>
      </w:r>
      <w:r w:rsidR="00267BE1">
        <w:rPr>
          <w:rFonts w:ascii="Times New Roman" w:eastAsia="宋体" w:hAnsi="Times New Roman" w:cs="Times New Roman"/>
          <w:sz w:val="20"/>
        </w:rPr>
        <w:t xml:space="preserve"> </w:t>
      </w:r>
      <w:r w:rsidR="00953451">
        <w:rPr>
          <w:rFonts w:ascii="Times New Roman" w:eastAsia="宋体" w:hAnsi="Times New Roman" w:cs="Times New Roman"/>
          <w:sz w:val="20"/>
        </w:rPr>
        <w:t xml:space="preserve">It may be possible that there is no </w:t>
      </w:r>
      <w:r w:rsidR="00E0185C">
        <w:rPr>
          <w:rFonts w:ascii="Times New Roman" w:eastAsia="宋体" w:hAnsi="Times New Roman" w:cs="Times New Roman"/>
          <w:sz w:val="20"/>
        </w:rPr>
        <w:t>enough</w:t>
      </w:r>
      <w:r w:rsidR="00953451">
        <w:rPr>
          <w:rFonts w:ascii="Times New Roman" w:eastAsia="宋体" w:hAnsi="Times New Roman" w:cs="Times New Roman"/>
          <w:sz w:val="20"/>
        </w:rPr>
        <w:t xml:space="preserve"> payload that need to be transmitted by gNB to </w:t>
      </w:r>
      <w:r w:rsidR="00267BE1">
        <w:rPr>
          <w:rFonts w:ascii="Times New Roman" w:eastAsia="宋体" w:hAnsi="Times New Roman" w:cs="Times New Roman"/>
          <w:sz w:val="20"/>
        </w:rPr>
        <w:t>MT</w:t>
      </w:r>
      <w:r w:rsidR="00953451">
        <w:rPr>
          <w:rFonts w:ascii="Times New Roman" w:eastAsia="宋体" w:hAnsi="Times New Roman" w:cs="Times New Roman"/>
          <w:sz w:val="20"/>
        </w:rPr>
        <w:t xml:space="preserve"> </w:t>
      </w:r>
      <w:r w:rsidR="00641D47">
        <w:rPr>
          <w:rFonts w:ascii="Times New Roman" w:eastAsia="宋体" w:hAnsi="Times New Roman" w:cs="Times New Roman"/>
          <w:sz w:val="20"/>
        </w:rPr>
        <w:t>compared with</w:t>
      </w:r>
      <w:r w:rsidR="00953451">
        <w:rPr>
          <w:rFonts w:ascii="Times New Roman" w:eastAsia="宋体" w:hAnsi="Times New Roman" w:cs="Times New Roman"/>
          <w:sz w:val="20"/>
        </w:rPr>
        <w:t xml:space="preserve"> the value in </w:t>
      </w:r>
      <w:r w:rsidR="009736FA">
        <w:rPr>
          <w:rFonts w:ascii="Times New Roman" w:eastAsia="宋体" w:hAnsi="Times New Roman" w:cs="Times New Roman"/>
          <w:sz w:val="20"/>
        </w:rPr>
        <w:t>FRC</w:t>
      </w:r>
      <w:r w:rsidR="00953451">
        <w:rPr>
          <w:rFonts w:ascii="Times New Roman" w:eastAsia="宋体" w:hAnsi="Times New Roman" w:cs="Times New Roman"/>
          <w:sz w:val="20"/>
        </w:rPr>
        <w:t xml:space="preserve"> configuration.</w:t>
      </w:r>
      <w:r w:rsidR="00267BE1">
        <w:rPr>
          <w:rFonts w:ascii="Times New Roman" w:eastAsia="宋体" w:hAnsi="Times New Roman" w:cs="Times New Roman"/>
          <w:sz w:val="20"/>
        </w:rPr>
        <w:t xml:space="preserve"> But during the testing,</w:t>
      </w:r>
      <w:r w:rsidR="00267BE1" w:rsidRPr="00267BE1">
        <w:rPr>
          <w:rFonts w:ascii="Times New Roman" w:eastAsia="宋体" w:hAnsi="Times New Roman" w:cs="Times New Roman"/>
          <w:sz w:val="20"/>
        </w:rPr>
        <w:t xml:space="preserve"> </w:t>
      </w:r>
      <w:r w:rsidR="00267BE1">
        <w:rPr>
          <w:rFonts w:ascii="Times New Roman" w:eastAsia="宋体" w:hAnsi="Times New Roman" w:cs="Times New Roman"/>
          <w:sz w:val="20"/>
        </w:rPr>
        <w:t>t</w:t>
      </w:r>
      <w:r w:rsidR="00267BE1" w:rsidRPr="00267BE1">
        <w:rPr>
          <w:rFonts w:ascii="Times New Roman" w:eastAsia="宋体" w:hAnsi="Times New Roman" w:cs="Times New Roman"/>
          <w:sz w:val="20"/>
        </w:rPr>
        <w:t xml:space="preserve">he SS </w:t>
      </w:r>
      <w:r w:rsidR="00267BE1">
        <w:rPr>
          <w:rFonts w:ascii="Times New Roman" w:eastAsia="宋体" w:hAnsi="Times New Roman" w:cs="Times New Roman"/>
          <w:sz w:val="20"/>
        </w:rPr>
        <w:t xml:space="preserve">could </w:t>
      </w:r>
      <w:r w:rsidR="00267BE1" w:rsidRPr="00267BE1">
        <w:rPr>
          <w:rFonts w:ascii="Times New Roman" w:eastAsia="宋体" w:hAnsi="Times New Roman" w:cs="Times New Roman"/>
          <w:sz w:val="20"/>
        </w:rPr>
        <w:t xml:space="preserve">send downlink padding bits </w:t>
      </w:r>
      <w:r w:rsidR="00267BE1">
        <w:rPr>
          <w:rFonts w:ascii="Times New Roman" w:eastAsia="宋体" w:hAnsi="Times New Roman" w:cs="Times New Roman"/>
          <w:sz w:val="20"/>
        </w:rPr>
        <w:t>like what is done for legacy UE</w:t>
      </w:r>
      <w:r w:rsidR="00636E1A">
        <w:rPr>
          <w:rFonts w:ascii="Times New Roman" w:eastAsia="宋体" w:hAnsi="Times New Roman" w:cs="Times New Roman"/>
          <w:sz w:val="20"/>
        </w:rPr>
        <w:t>.</w:t>
      </w:r>
      <w:r w:rsidR="00267BE1">
        <w:rPr>
          <w:rFonts w:ascii="Times New Roman" w:eastAsia="宋体" w:hAnsi="Times New Roman" w:cs="Times New Roman"/>
          <w:sz w:val="20"/>
        </w:rPr>
        <w:t xml:space="preserve"> so it seems legacy testing criteria of larger than 95% max throughput is still applicable for MT.</w:t>
      </w:r>
    </w:p>
    <w:p w14:paraId="08A759C5" w14:textId="50360F88" w:rsidR="001570E3" w:rsidRDefault="001570E3" w:rsidP="00815FAC">
      <w:pPr>
        <w:spacing w:after="120"/>
        <w:rPr>
          <w:rFonts w:ascii="Times New Roman" w:eastAsia="宋体" w:hAnsi="Times New Roman" w:cs="Times New Roman"/>
          <w:sz w:val="20"/>
        </w:rPr>
      </w:pPr>
      <w:r>
        <w:rPr>
          <w:rFonts w:ascii="Times New Roman" w:eastAsia="宋体" w:hAnsi="Times New Roman" w:cs="Times New Roman"/>
          <w:sz w:val="20"/>
        </w:rPr>
        <w:t>for LA NC</w:t>
      </w:r>
      <w:r>
        <w:rPr>
          <w:rFonts w:ascii="Times New Roman" w:eastAsia="宋体" w:hAnsi="Times New Roman" w:cs="Times New Roman" w:hint="eastAsia"/>
          <w:sz w:val="20"/>
        </w:rPr>
        <w:t>R-MT</w:t>
      </w:r>
      <w:r>
        <w:rPr>
          <w:rFonts w:ascii="Times New Roman" w:eastAsia="宋体" w:hAnsi="Times New Roman" w:cs="Times New Roman"/>
          <w:sz w:val="20"/>
        </w:rPr>
        <w:t>, the same as normal UE is suggested. For WA NCR-MT, the same as WA BS, i.e. 5dB is suggested.</w:t>
      </w:r>
    </w:p>
    <w:p w14:paraId="44FEAD89" w14:textId="3A0F1F06" w:rsidR="00883227" w:rsidRPr="00883227" w:rsidRDefault="00883227" w:rsidP="00815FAC">
      <w:pPr>
        <w:spacing w:after="120"/>
        <w:rPr>
          <w:rFonts w:ascii="Times New Roman" w:eastAsia="宋体" w:hAnsi="Times New Roman" w:cs="Times New Roman"/>
          <w:b/>
          <w:bCs/>
          <w:sz w:val="20"/>
        </w:rPr>
      </w:pPr>
      <w:r w:rsidRPr="00883227">
        <w:rPr>
          <w:rFonts w:ascii="Times New Roman" w:eastAsia="宋体" w:hAnsi="Times New Roman" w:cs="Times New Roman"/>
          <w:b/>
          <w:bCs/>
          <w:sz w:val="20"/>
        </w:rPr>
        <w:t xml:space="preserve">Proposal 3: for LA NCR-MT, the same </w:t>
      </w:r>
      <w:r w:rsidR="00C91098">
        <w:rPr>
          <w:rFonts w:ascii="Times New Roman" w:eastAsia="宋体" w:hAnsi="Times New Roman" w:cs="Times New Roman"/>
          <w:b/>
          <w:bCs/>
          <w:sz w:val="20"/>
        </w:rPr>
        <w:t xml:space="preserve">NF </w:t>
      </w:r>
      <w:r w:rsidRPr="00883227">
        <w:rPr>
          <w:rFonts w:ascii="Times New Roman" w:eastAsia="宋体" w:hAnsi="Times New Roman" w:cs="Times New Roman"/>
          <w:b/>
          <w:bCs/>
          <w:sz w:val="20"/>
        </w:rPr>
        <w:t>as normal UE is suggested. For WA NCR-MT, the same as WA BS, i.e. 5dB is suggested.</w:t>
      </w:r>
    </w:p>
    <w:p w14:paraId="791440D7" w14:textId="1903A826" w:rsidR="00ED668E" w:rsidRDefault="009B10D3" w:rsidP="008331D8">
      <w:pPr>
        <w:spacing w:after="120"/>
        <w:rPr>
          <w:rFonts w:ascii="Times New Roman" w:eastAsia="宋体" w:hAnsi="Times New Roman" w:cs="Times New Roman"/>
          <w:sz w:val="20"/>
        </w:rPr>
      </w:pPr>
      <w:r w:rsidRPr="009B10D3">
        <w:rPr>
          <w:rFonts w:ascii="Times New Roman" w:eastAsia="宋体" w:hAnsi="Times New Roman" w:cs="Times New Roman"/>
          <w:sz w:val="20"/>
        </w:rPr>
        <w:t>As for the FRC, IAB-MT only consider 30kHz and 60kHz SCS for FRC</w:t>
      </w:r>
      <w:r w:rsidR="00C91098">
        <w:rPr>
          <w:rFonts w:ascii="Times New Roman" w:eastAsia="宋体" w:hAnsi="Times New Roman" w:cs="Times New Roman"/>
          <w:sz w:val="20"/>
        </w:rPr>
        <w:t xml:space="preserve"> because IAB-MT only support n41, n77, n78 and n79.</w:t>
      </w:r>
      <w:r w:rsidRPr="009B10D3">
        <w:rPr>
          <w:rFonts w:ascii="Times New Roman" w:eastAsia="宋体" w:hAnsi="Times New Roman" w:cs="Times New Roman"/>
          <w:sz w:val="20"/>
        </w:rPr>
        <w:t xml:space="preserve"> but for NCR,</w:t>
      </w:r>
      <w:r w:rsidR="00C91098">
        <w:rPr>
          <w:rFonts w:ascii="Times New Roman" w:eastAsia="宋体" w:hAnsi="Times New Roman" w:cs="Times New Roman"/>
          <w:sz w:val="20"/>
        </w:rPr>
        <w:t xml:space="preserve"> all FR1 operation bands are supported and </w:t>
      </w:r>
      <w:r w:rsidRPr="009B10D3">
        <w:rPr>
          <w:rFonts w:ascii="Times New Roman" w:eastAsia="宋体" w:hAnsi="Times New Roman" w:cs="Times New Roman"/>
          <w:sz w:val="20"/>
        </w:rPr>
        <w:t>NCR may also be deployed for FDD operati</w:t>
      </w:r>
      <w:r w:rsidR="003F0803">
        <w:rPr>
          <w:rFonts w:ascii="Times New Roman" w:eastAsia="宋体" w:hAnsi="Times New Roman" w:cs="Times New Roman"/>
          <w:sz w:val="20"/>
        </w:rPr>
        <w:t>ng</w:t>
      </w:r>
      <w:r w:rsidRPr="009B10D3">
        <w:rPr>
          <w:rFonts w:ascii="Times New Roman" w:eastAsia="宋体" w:hAnsi="Times New Roman" w:cs="Times New Roman"/>
          <w:sz w:val="20"/>
        </w:rPr>
        <w:t xml:space="preserve"> band to </w:t>
      </w:r>
      <w:r w:rsidRPr="009B10D3">
        <w:rPr>
          <w:rFonts w:ascii="Times New Roman" w:eastAsia="宋体" w:hAnsi="Times New Roman" w:cs="Times New Roman"/>
          <w:sz w:val="20"/>
        </w:rPr>
        <w:lastRenderedPageBreak/>
        <w:t xml:space="preserve">enhance deep cover for indoor environment, </w:t>
      </w:r>
      <w:r w:rsidR="00C91098">
        <w:rPr>
          <w:rFonts w:ascii="Times New Roman" w:eastAsia="宋体" w:hAnsi="Times New Roman" w:cs="Times New Roman"/>
          <w:sz w:val="20"/>
        </w:rPr>
        <w:t>e.g</w:t>
      </w:r>
      <w:r w:rsidRPr="009B10D3">
        <w:rPr>
          <w:rFonts w:ascii="Times New Roman" w:eastAsia="宋体" w:hAnsi="Times New Roman" w:cs="Times New Roman"/>
          <w:sz w:val="20"/>
        </w:rPr>
        <w:t xml:space="preserve">. the underground parking lot. So 15kHz SCS FRC is also suggested. </w:t>
      </w:r>
      <w:r w:rsidR="00E37BBC">
        <w:rPr>
          <w:rFonts w:ascii="Times New Roman" w:eastAsia="宋体" w:hAnsi="Times New Roman" w:cs="Times New Roman"/>
          <w:sz w:val="20"/>
        </w:rPr>
        <w:t xml:space="preserve">Regarding </w:t>
      </w:r>
      <w:r w:rsidRPr="009B10D3">
        <w:rPr>
          <w:rFonts w:ascii="Times New Roman" w:eastAsia="宋体" w:hAnsi="Times New Roman" w:cs="Times New Roman"/>
          <w:sz w:val="20"/>
        </w:rPr>
        <w:t>DM-RS configuration</w:t>
      </w:r>
      <w:r w:rsidR="00E37BBC">
        <w:rPr>
          <w:rFonts w:ascii="Times New Roman" w:eastAsia="宋体" w:hAnsi="Times New Roman" w:cs="Times New Roman"/>
          <w:sz w:val="20"/>
        </w:rPr>
        <w:t>, RAN1’s agreement is to reuse normal UE configuration. So it’s suggested to reuse the same FRC as normal UE with both 15, 30 and 60kHz SCS</w:t>
      </w:r>
      <w:r w:rsidRPr="009B10D3">
        <w:rPr>
          <w:rFonts w:ascii="Times New Roman" w:eastAsia="宋体" w:hAnsi="Times New Roman" w:cs="Times New Roman"/>
          <w:sz w:val="20"/>
        </w:rPr>
        <w:t>.</w:t>
      </w:r>
    </w:p>
    <w:p w14:paraId="76DF6190" w14:textId="37BC1760" w:rsidR="009B10D3" w:rsidRPr="00331563" w:rsidRDefault="009B10D3" w:rsidP="008331D8">
      <w:pPr>
        <w:spacing w:after="120"/>
        <w:rPr>
          <w:rFonts w:ascii="Times New Roman" w:eastAsia="宋体" w:hAnsi="Times New Roman" w:cs="Times New Roman"/>
          <w:b/>
          <w:bCs/>
          <w:sz w:val="20"/>
        </w:rPr>
      </w:pPr>
      <w:r w:rsidRPr="00331563">
        <w:rPr>
          <w:rFonts w:ascii="Times New Roman" w:eastAsia="宋体" w:hAnsi="Times New Roman" w:cs="Times New Roman"/>
          <w:b/>
          <w:bCs/>
          <w:sz w:val="20"/>
        </w:rPr>
        <w:t xml:space="preserve">Proposal </w:t>
      </w:r>
      <w:r w:rsidR="00883227">
        <w:rPr>
          <w:rFonts w:ascii="Times New Roman" w:eastAsia="宋体" w:hAnsi="Times New Roman" w:cs="Times New Roman"/>
          <w:b/>
          <w:bCs/>
          <w:sz w:val="20"/>
        </w:rPr>
        <w:t>4</w:t>
      </w:r>
      <w:r w:rsidRPr="00331563">
        <w:rPr>
          <w:rFonts w:ascii="Times New Roman" w:eastAsia="宋体" w:hAnsi="Times New Roman" w:cs="Times New Roman"/>
          <w:b/>
          <w:bCs/>
          <w:sz w:val="20"/>
        </w:rPr>
        <w:t xml:space="preserve">: for </w:t>
      </w:r>
      <w:r w:rsidR="00CF7343">
        <w:rPr>
          <w:rFonts w:ascii="Times New Roman" w:eastAsia="宋体" w:hAnsi="Times New Roman" w:cs="Times New Roman"/>
          <w:b/>
          <w:bCs/>
          <w:sz w:val="20"/>
        </w:rPr>
        <w:t xml:space="preserve">NCR-MT </w:t>
      </w:r>
      <w:r w:rsidRPr="00331563">
        <w:rPr>
          <w:rFonts w:ascii="Times New Roman" w:eastAsia="宋体" w:hAnsi="Times New Roman" w:cs="Times New Roman"/>
          <w:b/>
          <w:bCs/>
          <w:sz w:val="20"/>
        </w:rPr>
        <w:t xml:space="preserve">FRC, it’s suggested to </w:t>
      </w:r>
      <w:r w:rsidR="00E37BBC">
        <w:rPr>
          <w:rFonts w:ascii="Times New Roman" w:eastAsia="宋体" w:hAnsi="Times New Roman" w:cs="Times New Roman"/>
          <w:b/>
          <w:bCs/>
          <w:sz w:val="20"/>
        </w:rPr>
        <w:t>reuse the same</w:t>
      </w:r>
      <w:r w:rsidR="00331563">
        <w:rPr>
          <w:rFonts w:ascii="Times New Roman" w:eastAsia="宋体" w:hAnsi="Times New Roman" w:cs="Times New Roman"/>
          <w:b/>
          <w:bCs/>
          <w:sz w:val="20"/>
        </w:rPr>
        <w:t xml:space="preserve"> </w:t>
      </w:r>
      <w:r w:rsidRPr="00331563">
        <w:rPr>
          <w:rFonts w:ascii="Times New Roman" w:eastAsia="宋体" w:hAnsi="Times New Roman" w:cs="Times New Roman"/>
          <w:b/>
          <w:bCs/>
          <w:sz w:val="20"/>
        </w:rPr>
        <w:t xml:space="preserve">G-FR1-A1-1,2,3,4,5,6 </w:t>
      </w:r>
      <w:r w:rsidR="00E37BBC">
        <w:rPr>
          <w:rFonts w:ascii="Times New Roman" w:eastAsia="宋体" w:hAnsi="Times New Roman" w:cs="Times New Roman"/>
          <w:b/>
          <w:bCs/>
          <w:sz w:val="20"/>
        </w:rPr>
        <w:t xml:space="preserve">with </w:t>
      </w:r>
      <w:r w:rsidR="00E37BBC" w:rsidRPr="00E37BBC">
        <w:rPr>
          <w:rFonts w:ascii="Times New Roman" w:eastAsia="宋体" w:hAnsi="Times New Roman" w:cs="Times New Roman"/>
          <w:b/>
          <w:bCs/>
          <w:sz w:val="20"/>
        </w:rPr>
        <w:t>15, 30 and 60kHz SCS</w:t>
      </w:r>
      <w:r w:rsidR="00E37BBC">
        <w:rPr>
          <w:rFonts w:ascii="Times New Roman" w:eastAsia="宋体" w:hAnsi="Times New Roman" w:cs="Times New Roman"/>
          <w:b/>
          <w:bCs/>
          <w:sz w:val="20"/>
        </w:rPr>
        <w:t xml:space="preserve"> assumption.</w:t>
      </w:r>
    </w:p>
    <w:p w14:paraId="487D2CF3"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3. Conclusions</w:t>
      </w:r>
    </w:p>
    <w:p w14:paraId="05323435" w14:textId="2098F1A5" w:rsidR="00F852CC" w:rsidRPr="00F852CC" w:rsidRDefault="00F852CC" w:rsidP="00F852CC">
      <w:pPr>
        <w:spacing w:afterLines="50" w:after="156"/>
        <w:rPr>
          <w:rFonts w:ascii="Times New Roman" w:eastAsia="宋体" w:hAnsi="Times New Roman" w:cs="Times New Roman"/>
          <w:sz w:val="20"/>
          <w:szCs w:val="20"/>
        </w:rPr>
      </w:pPr>
      <w:r w:rsidRPr="00F852CC">
        <w:rPr>
          <w:rFonts w:ascii="Times New Roman" w:eastAsia="宋体" w:hAnsi="Times New Roman" w:cs="Times New Roman"/>
          <w:sz w:val="20"/>
          <w:szCs w:val="20"/>
        </w:rPr>
        <w:t xml:space="preserve">In this contribution, </w:t>
      </w:r>
      <w:r w:rsidR="00026DF5">
        <w:rPr>
          <w:rFonts w:ascii="Times New Roman" w:eastAsia="宋体" w:hAnsi="Times New Roman" w:cs="Times New Roman"/>
          <w:sz w:val="20"/>
          <w:szCs w:val="20"/>
        </w:rPr>
        <w:t>NCR requirements</w:t>
      </w:r>
      <w:r w:rsidRPr="00F852CC">
        <w:rPr>
          <w:rFonts w:ascii="Times New Roman" w:eastAsia="宋体" w:hAnsi="Times New Roman" w:cs="Times New Roman"/>
          <w:sz w:val="20"/>
          <w:szCs w:val="20"/>
        </w:rPr>
        <w:t xml:space="preserve"> are</w:t>
      </w:r>
      <w:r w:rsidRPr="00F852CC">
        <w:rPr>
          <w:rFonts w:ascii="Times New Roman" w:eastAsia="宋体" w:hAnsi="Times New Roman" w:cs="Times New Roman" w:hint="eastAsia"/>
          <w:sz w:val="20"/>
          <w:szCs w:val="20"/>
        </w:rPr>
        <w:t xml:space="preserve"> discussed </w:t>
      </w:r>
      <w:r w:rsidRPr="00F852CC">
        <w:rPr>
          <w:rFonts w:ascii="Times New Roman" w:eastAsia="宋体" w:hAnsi="Times New Roman" w:cs="Times New Roman"/>
          <w:sz w:val="20"/>
          <w:szCs w:val="20"/>
        </w:rPr>
        <w:t>with following observations and proposals:</w:t>
      </w:r>
    </w:p>
    <w:p w14:paraId="7608AFA6" w14:textId="7AD9A8DA" w:rsidR="003F0803" w:rsidRDefault="00F52EE7" w:rsidP="00137315">
      <w:pPr>
        <w:spacing w:after="120"/>
        <w:rPr>
          <w:rFonts w:ascii="Times New Roman" w:eastAsia="宋体" w:hAnsi="Times New Roman" w:cs="Times New Roman"/>
          <w:b/>
          <w:bCs/>
          <w:sz w:val="20"/>
        </w:rPr>
      </w:pPr>
      <w:r w:rsidRPr="00F52EE7">
        <w:rPr>
          <w:rFonts w:ascii="Times New Roman" w:eastAsia="宋体" w:hAnsi="Times New Roman" w:cs="Times New Roman"/>
          <w:b/>
          <w:bCs/>
          <w:sz w:val="20"/>
        </w:rPr>
        <w:t>Proposal 1: NCR class can be declared separately for NCR-fwd DL, UL and NCR-MT parts</w:t>
      </w:r>
      <w:r w:rsidR="002E32AB" w:rsidRPr="002E32AB">
        <w:rPr>
          <w:rFonts w:ascii="Times New Roman" w:eastAsia="宋体" w:hAnsi="Times New Roman" w:cs="Times New Roman"/>
          <w:b/>
          <w:bCs/>
          <w:sz w:val="20"/>
        </w:rPr>
        <w:t>.</w:t>
      </w:r>
    </w:p>
    <w:p w14:paraId="57279039" w14:textId="77777777" w:rsidR="000707B4" w:rsidRPr="000707B4" w:rsidRDefault="000707B4" w:rsidP="000707B4">
      <w:pPr>
        <w:spacing w:after="120"/>
        <w:rPr>
          <w:rFonts w:ascii="Times New Roman" w:eastAsia="宋体" w:hAnsi="Times New Roman" w:cs="Times New Roman"/>
          <w:b/>
          <w:bCs/>
          <w:sz w:val="20"/>
        </w:rPr>
      </w:pPr>
      <w:r w:rsidRPr="000707B4">
        <w:rPr>
          <w:rFonts w:ascii="Times New Roman" w:eastAsia="宋体" w:hAnsi="Times New Roman" w:cs="Times New Roman"/>
          <w:b/>
          <w:bCs/>
          <w:sz w:val="20"/>
        </w:rPr>
        <w:t>Observation 1: it’s NCR-MT capability to support simultaneous UL transmission of C-link and backhaul link. UE can support TDMed or FDMed UL transmission between C-link and backhaul link based on capability.</w:t>
      </w:r>
    </w:p>
    <w:p w14:paraId="41527298" w14:textId="3591A8D4" w:rsidR="00F52EE7" w:rsidRDefault="000707B4" w:rsidP="000707B4">
      <w:pPr>
        <w:spacing w:after="120"/>
        <w:rPr>
          <w:rFonts w:ascii="Times New Roman" w:eastAsia="宋体" w:hAnsi="Times New Roman" w:cs="Times New Roman"/>
          <w:b/>
          <w:bCs/>
          <w:sz w:val="20"/>
        </w:rPr>
      </w:pPr>
      <w:r w:rsidRPr="000707B4">
        <w:rPr>
          <w:rFonts w:ascii="Times New Roman" w:eastAsia="宋体" w:hAnsi="Times New Roman" w:cs="Times New Roman"/>
          <w:b/>
          <w:bCs/>
          <w:sz w:val="20"/>
        </w:rPr>
        <w:t>Proposal 2: it’s suggested to separately define emission requirements for MT part and forwarding link backhaul part. Besides, separate testing is also suggested for both NCR-MT support simultaneous and non-simultaneous emissions.</w:t>
      </w:r>
    </w:p>
    <w:p w14:paraId="240090F2" w14:textId="77777777" w:rsidR="000707B4" w:rsidRPr="000707B4" w:rsidRDefault="000707B4" w:rsidP="000707B4">
      <w:pPr>
        <w:spacing w:after="120"/>
        <w:rPr>
          <w:rFonts w:ascii="Times New Roman" w:eastAsia="宋体" w:hAnsi="Times New Roman" w:cs="Times New Roman"/>
          <w:b/>
          <w:bCs/>
          <w:sz w:val="20"/>
        </w:rPr>
      </w:pPr>
      <w:r w:rsidRPr="000707B4">
        <w:rPr>
          <w:rFonts w:ascii="Times New Roman" w:eastAsia="宋体" w:hAnsi="Times New Roman" w:cs="Times New Roman"/>
          <w:b/>
          <w:bCs/>
          <w:sz w:val="20"/>
        </w:rPr>
        <w:t>Proposal 3: for LA NCR-MT, the same NF as normal UE is suggested. For WA NCR-MT, the same as WA BS, i.e. 5dB is suggested.</w:t>
      </w:r>
    </w:p>
    <w:p w14:paraId="74E8D955" w14:textId="5F47F963" w:rsidR="000707B4" w:rsidRPr="00F52EE7" w:rsidRDefault="000707B4" w:rsidP="000707B4">
      <w:pPr>
        <w:spacing w:after="120"/>
        <w:rPr>
          <w:rFonts w:ascii="Times New Roman" w:eastAsia="宋体" w:hAnsi="Times New Roman" w:cs="Times New Roman"/>
          <w:b/>
          <w:bCs/>
          <w:sz w:val="20"/>
        </w:rPr>
      </w:pPr>
      <w:r w:rsidRPr="000707B4">
        <w:rPr>
          <w:rFonts w:ascii="Times New Roman" w:eastAsia="宋体" w:hAnsi="Times New Roman" w:cs="Times New Roman"/>
          <w:b/>
          <w:bCs/>
          <w:sz w:val="20"/>
        </w:rPr>
        <w:t>Proposal 4: for NCR-MT FRC, it’s suggested to reuse the same G-FR1-A1-1,2,3,4,5,6 with 15, 30 and 60kHz SCS assumption.</w:t>
      </w:r>
    </w:p>
    <w:p w14:paraId="724545CF"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Calibri" w:hAnsi="Calibri"/>
          <w:sz w:val="32"/>
          <w:szCs w:val="36"/>
        </w:rPr>
      </w:pPr>
      <w:r w:rsidRPr="00F852CC">
        <w:rPr>
          <w:rFonts w:ascii="Arial" w:hAnsi="Arial"/>
          <w:sz w:val="32"/>
          <w:szCs w:val="36"/>
        </w:rPr>
        <w:t>4. Reference</w:t>
      </w:r>
    </w:p>
    <w:p w14:paraId="66941C18" w14:textId="28491C89" w:rsidR="00F852CC" w:rsidRDefault="00F852CC" w:rsidP="00F852CC">
      <w:pPr>
        <w:widowControl/>
        <w:overflowPunct w:val="0"/>
        <w:autoSpaceDE w:val="0"/>
        <w:autoSpaceDN w:val="0"/>
        <w:adjustRightInd w:val="0"/>
        <w:spacing w:after="180"/>
        <w:jc w:val="left"/>
        <w:textAlignment w:val="baseline"/>
        <w:rPr>
          <w:rFonts w:ascii="Times New Roman" w:eastAsia="宋体" w:hAnsi="Times New Roman" w:cs="Times New Roman"/>
          <w:sz w:val="20"/>
          <w:szCs w:val="20"/>
        </w:rPr>
      </w:pPr>
      <w:r w:rsidRPr="00F852CC">
        <w:rPr>
          <w:rFonts w:ascii="Times New Roman" w:eastAsia="宋体" w:hAnsi="Times New Roman" w:cs="Times New Roman" w:hint="eastAsia"/>
          <w:sz w:val="20"/>
          <w:szCs w:val="20"/>
        </w:rPr>
        <w:t xml:space="preserve">[1] </w:t>
      </w:r>
      <w:r w:rsidR="009D016D" w:rsidRPr="009D016D">
        <w:rPr>
          <w:rFonts w:ascii="Times New Roman" w:eastAsia="宋体" w:hAnsi="Times New Roman" w:cs="Times New Roman"/>
          <w:sz w:val="20"/>
          <w:szCs w:val="20"/>
        </w:rPr>
        <w:t>R4-2305931</w:t>
      </w:r>
      <w:r w:rsidR="007517F4" w:rsidRPr="007517F4">
        <w:rPr>
          <w:rFonts w:ascii="Times New Roman" w:eastAsia="宋体" w:hAnsi="Times New Roman" w:cs="Times New Roman"/>
          <w:sz w:val="20"/>
          <w:szCs w:val="20"/>
        </w:rPr>
        <w:t xml:space="preserve">, </w:t>
      </w:r>
      <w:r w:rsidR="009D016D" w:rsidRPr="009D016D">
        <w:rPr>
          <w:rFonts w:ascii="Times New Roman" w:eastAsia="宋体" w:hAnsi="Times New Roman" w:cs="Times New Roman"/>
          <w:sz w:val="20"/>
          <w:szCs w:val="20"/>
        </w:rPr>
        <w:t>WF on system parameters and RF requirements</w:t>
      </w:r>
      <w:r w:rsidR="007517F4" w:rsidRPr="007517F4">
        <w:rPr>
          <w:rFonts w:ascii="Times New Roman" w:eastAsia="宋体" w:hAnsi="Times New Roman" w:cs="Times New Roman"/>
          <w:sz w:val="20"/>
          <w:szCs w:val="20"/>
        </w:rPr>
        <w:t>, ZTE</w:t>
      </w:r>
    </w:p>
    <w:p w14:paraId="1D67163A" w14:textId="7115FF1A" w:rsidR="00CE4C22" w:rsidRDefault="00CE4C22" w:rsidP="00F852CC">
      <w:pPr>
        <w:widowControl/>
        <w:overflowPunct w:val="0"/>
        <w:autoSpaceDE w:val="0"/>
        <w:autoSpaceDN w:val="0"/>
        <w:adjustRightInd w:val="0"/>
        <w:spacing w:after="18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004956C4" w:rsidRPr="004956C4">
        <w:rPr>
          <w:rFonts w:ascii="Times New Roman" w:eastAsia="宋体" w:hAnsi="Times New Roman" w:cs="Times New Roman"/>
          <w:sz w:val="20"/>
          <w:szCs w:val="20"/>
        </w:rPr>
        <w:t>RP-223505</w:t>
      </w:r>
      <w:r>
        <w:rPr>
          <w:rFonts w:ascii="Times New Roman" w:eastAsia="宋体" w:hAnsi="Times New Roman" w:cs="Times New Roman"/>
          <w:sz w:val="20"/>
          <w:szCs w:val="20"/>
        </w:rPr>
        <w:t xml:space="preserve">, </w:t>
      </w:r>
      <w:r w:rsidR="004956C4" w:rsidRPr="004956C4">
        <w:rPr>
          <w:rFonts w:ascii="Times New Roman" w:eastAsia="宋体" w:hAnsi="Times New Roman" w:cs="Times New Roman"/>
          <w:sz w:val="20"/>
          <w:szCs w:val="20"/>
        </w:rPr>
        <w:t>Revised WID on NR network-controlled repeaters</w:t>
      </w:r>
      <w:r>
        <w:rPr>
          <w:rFonts w:ascii="Times New Roman" w:eastAsia="宋体" w:hAnsi="Times New Roman" w:cs="Times New Roman"/>
          <w:sz w:val="20"/>
          <w:szCs w:val="20"/>
        </w:rPr>
        <w:t xml:space="preserve">, </w:t>
      </w:r>
      <w:r w:rsidR="004956C4" w:rsidRPr="004956C4">
        <w:rPr>
          <w:rFonts w:ascii="Times New Roman" w:eastAsia="宋体" w:hAnsi="Times New Roman" w:cs="Times New Roman"/>
          <w:sz w:val="20"/>
          <w:szCs w:val="20"/>
        </w:rPr>
        <w:t>ZTE, Sanechips</w:t>
      </w:r>
      <w:r>
        <w:rPr>
          <w:rFonts w:ascii="Times New Roman" w:eastAsia="宋体" w:hAnsi="Times New Roman" w:cs="Times New Roman"/>
          <w:sz w:val="20"/>
          <w:szCs w:val="20"/>
        </w:rPr>
        <w:t>.</w:t>
      </w:r>
    </w:p>
    <w:p w14:paraId="39115C58" w14:textId="0B0E5EA4" w:rsidR="00144566" w:rsidRPr="00F852CC" w:rsidRDefault="00144566" w:rsidP="00F852CC">
      <w:pPr>
        <w:widowControl/>
        <w:overflowPunct w:val="0"/>
        <w:autoSpaceDE w:val="0"/>
        <w:autoSpaceDN w:val="0"/>
        <w:adjustRightInd w:val="0"/>
        <w:spacing w:after="18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w:t>
      </w:r>
      <w:r w:rsidRPr="00144566">
        <w:rPr>
          <w:rFonts w:ascii="Times New Roman" w:eastAsia="宋体" w:hAnsi="Times New Roman" w:cs="Times New Roman"/>
          <w:sz w:val="20"/>
          <w:szCs w:val="20"/>
        </w:rPr>
        <w:t>R1-2304216</w:t>
      </w:r>
      <w:r>
        <w:rPr>
          <w:rFonts w:ascii="Times New Roman" w:eastAsia="宋体" w:hAnsi="Times New Roman" w:cs="Times New Roman"/>
          <w:sz w:val="20"/>
          <w:szCs w:val="20"/>
        </w:rPr>
        <w:t xml:space="preserve">, </w:t>
      </w:r>
      <w:r w:rsidRPr="00144566">
        <w:rPr>
          <w:rFonts w:ascii="Times New Roman" w:eastAsia="宋体" w:hAnsi="Times New Roman" w:cs="Times New Roman"/>
          <w:sz w:val="20"/>
          <w:szCs w:val="20"/>
        </w:rPr>
        <w:t>Session Notes of AI 9.17.4</w:t>
      </w:r>
      <w:r>
        <w:rPr>
          <w:rFonts w:ascii="Times New Roman" w:eastAsia="宋体" w:hAnsi="Times New Roman" w:cs="Times New Roman"/>
          <w:sz w:val="20"/>
          <w:szCs w:val="20"/>
        </w:rPr>
        <w:t>, AT&amp;T</w:t>
      </w:r>
    </w:p>
    <w:p w14:paraId="4F3AC9BE" w14:textId="08319A70" w:rsidR="00F852CC" w:rsidRDefault="00F852CC">
      <w:pPr>
        <w:widowControl/>
        <w:jc w:val="left"/>
      </w:pPr>
    </w:p>
    <w:p w14:paraId="42B18315" w14:textId="41A23E02" w:rsidR="007122A9" w:rsidRDefault="007122A9" w:rsidP="007122A9"/>
    <w:sectPr w:rsidR="007122A9" w:rsidSect="00577BC0">
      <w:pgSz w:w="11906" w:h="16838" w:code="9"/>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BA5FF" w14:textId="77777777" w:rsidR="00667FF2" w:rsidRDefault="00667FF2" w:rsidP="00235399">
      <w:r>
        <w:separator/>
      </w:r>
    </w:p>
  </w:endnote>
  <w:endnote w:type="continuationSeparator" w:id="0">
    <w:p w14:paraId="44781AB0" w14:textId="77777777" w:rsidR="00667FF2" w:rsidRDefault="00667FF2" w:rsidP="0023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CAA9D" w14:textId="77777777" w:rsidR="00667FF2" w:rsidRDefault="00667FF2" w:rsidP="00235399">
      <w:r>
        <w:separator/>
      </w:r>
    </w:p>
  </w:footnote>
  <w:footnote w:type="continuationSeparator" w:id="0">
    <w:p w14:paraId="32DB96C4" w14:textId="77777777" w:rsidR="00667FF2" w:rsidRDefault="00667FF2" w:rsidP="00235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C68F5"/>
    <w:multiLevelType w:val="hybridMultilevel"/>
    <w:tmpl w:val="E7B24A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526737"/>
    <w:multiLevelType w:val="hybridMultilevel"/>
    <w:tmpl w:val="A4E8FB5E"/>
    <w:lvl w:ilvl="0" w:tplc="2A1CE0B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2195175B"/>
    <w:multiLevelType w:val="hybridMultilevel"/>
    <w:tmpl w:val="4678E15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EF21E2"/>
    <w:multiLevelType w:val="hybridMultilevel"/>
    <w:tmpl w:val="301872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4BF477C"/>
    <w:multiLevelType w:val="hybridMultilevel"/>
    <w:tmpl w:val="3DDA5FFE"/>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796885"/>
    <w:multiLevelType w:val="hybridMultilevel"/>
    <w:tmpl w:val="E2A216A6"/>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BA65F04"/>
    <w:multiLevelType w:val="hybridMultilevel"/>
    <w:tmpl w:val="BAB083A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122149"/>
    <w:multiLevelType w:val="hybridMultilevel"/>
    <w:tmpl w:val="265E576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7448DD"/>
    <w:multiLevelType w:val="hybridMultilevel"/>
    <w:tmpl w:val="1700D0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1D84B21"/>
    <w:multiLevelType w:val="hybridMultilevel"/>
    <w:tmpl w:val="3018722C"/>
    <w:lvl w:ilvl="0" w:tplc="AD145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7747874"/>
    <w:multiLevelType w:val="hybridMultilevel"/>
    <w:tmpl w:val="B308D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344EFD"/>
    <w:multiLevelType w:val="hybridMultilevel"/>
    <w:tmpl w:val="2A7636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1896847">
    <w:abstractNumId w:val="2"/>
  </w:num>
  <w:num w:numId="2" w16cid:durableId="1832594828">
    <w:abstractNumId w:val="12"/>
  </w:num>
  <w:num w:numId="3" w16cid:durableId="2123381892">
    <w:abstractNumId w:val="0"/>
  </w:num>
  <w:num w:numId="4" w16cid:durableId="1334530880">
    <w:abstractNumId w:val="4"/>
  </w:num>
  <w:num w:numId="5" w16cid:durableId="1919944179">
    <w:abstractNumId w:val="11"/>
  </w:num>
  <w:num w:numId="6" w16cid:durableId="304971139">
    <w:abstractNumId w:val="8"/>
  </w:num>
  <w:num w:numId="7" w16cid:durableId="1048534059">
    <w:abstractNumId w:val="5"/>
  </w:num>
  <w:num w:numId="8" w16cid:durableId="1184174786">
    <w:abstractNumId w:val="7"/>
  </w:num>
  <w:num w:numId="9" w16cid:durableId="2022002021">
    <w:abstractNumId w:val="10"/>
  </w:num>
  <w:num w:numId="10" w16cid:durableId="780495007">
    <w:abstractNumId w:val="9"/>
  </w:num>
  <w:num w:numId="11" w16cid:durableId="1878006340">
    <w:abstractNumId w:val="1"/>
  </w:num>
  <w:num w:numId="12" w16cid:durableId="559094923">
    <w:abstractNumId w:val="3"/>
  </w:num>
  <w:num w:numId="13" w16cid:durableId="21119720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96C"/>
    <w:rsid w:val="00002DDE"/>
    <w:rsid w:val="0000534F"/>
    <w:rsid w:val="00005E7E"/>
    <w:rsid w:val="00006181"/>
    <w:rsid w:val="000065E3"/>
    <w:rsid w:val="00015CE8"/>
    <w:rsid w:val="00017FEF"/>
    <w:rsid w:val="00020ED2"/>
    <w:rsid w:val="000214E2"/>
    <w:rsid w:val="00021831"/>
    <w:rsid w:val="00026DF5"/>
    <w:rsid w:val="000341A5"/>
    <w:rsid w:val="000346E6"/>
    <w:rsid w:val="00047D0A"/>
    <w:rsid w:val="00050875"/>
    <w:rsid w:val="00056BF2"/>
    <w:rsid w:val="000650E2"/>
    <w:rsid w:val="000706FF"/>
    <w:rsid w:val="000707B4"/>
    <w:rsid w:val="0007083E"/>
    <w:rsid w:val="00075033"/>
    <w:rsid w:val="000764DA"/>
    <w:rsid w:val="000A6505"/>
    <w:rsid w:val="000B3862"/>
    <w:rsid w:val="000B60B5"/>
    <w:rsid w:val="000C251A"/>
    <w:rsid w:val="000C3463"/>
    <w:rsid w:val="000C5522"/>
    <w:rsid w:val="000D0448"/>
    <w:rsid w:val="000E1D60"/>
    <w:rsid w:val="000E4B2A"/>
    <w:rsid w:val="000F7702"/>
    <w:rsid w:val="00105D52"/>
    <w:rsid w:val="00113F40"/>
    <w:rsid w:val="00117D97"/>
    <w:rsid w:val="0012236F"/>
    <w:rsid w:val="00122A20"/>
    <w:rsid w:val="001239EE"/>
    <w:rsid w:val="0012516E"/>
    <w:rsid w:val="00137315"/>
    <w:rsid w:val="00140490"/>
    <w:rsid w:val="0014193A"/>
    <w:rsid w:val="0014440F"/>
    <w:rsid w:val="00144566"/>
    <w:rsid w:val="001452D9"/>
    <w:rsid w:val="001522C6"/>
    <w:rsid w:val="00152D8C"/>
    <w:rsid w:val="00154DF5"/>
    <w:rsid w:val="001570E3"/>
    <w:rsid w:val="00160A97"/>
    <w:rsid w:val="00173B53"/>
    <w:rsid w:val="00174867"/>
    <w:rsid w:val="0017530A"/>
    <w:rsid w:val="0017646D"/>
    <w:rsid w:val="0018503D"/>
    <w:rsid w:val="001868FE"/>
    <w:rsid w:val="00196570"/>
    <w:rsid w:val="001A1957"/>
    <w:rsid w:val="001A46A5"/>
    <w:rsid w:val="001E4B93"/>
    <w:rsid w:val="001F26DF"/>
    <w:rsid w:val="001F6DFC"/>
    <w:rsid w:val="002040F4"/>
    <w:rsid w:val="0021004E"/>
    <w:rsid w:val="00213FDC"/>
    <w:rsid w:val="00215001"/>
    <w:rsid w:val="002201EB"/>
    <w:rsid w:val="002261A7"/>
    <w:rsid w:val="002312BD"/>
    <w:rsid w:val="00235399"/>
    <w:rsid w:val="00241EA1"/>
    <w:rsid w:val="002510B5"/>
    <w:rsid w:val="00251EB9"/>
    <w:rsid w:val="00257243"/>
    <w:rsid w:val="002612DE"/>
    <w:rsid w:val="00267BE1"/>
    <w:rsid w:val="00273F1C"/>
    <w:rsid w:val="00277BC6"/>
    <w:rsid w:val="0028380D"/>
    <w:rsid w:val="00294759"/>
    <w:rsid w:val="002A51C8"/>
    <w:rsid w:val="002A6C92"/>
    <w:rsid w:val="002B7EF1"/>
    <w:rsid w:val="002C2F7B"/>
    <w:rsid w:val="002C50EA"/>
    <w:rsid w:val="002E195F"/>
    <w:rsid w:val="002E32AB"/>
    <w:rsid w:val="002E53A4"/>
    <w:rsid w:val="002F1553"/>
    <w:rsid w:val="003031E8"/>
    <w:rsid w:val="00307EC3"/>
    <w:rsid w:val="003103F4"/>
    <w:rsid w:val="00321715"/>
    <w:rsid w:val="0032188A"/>
    <w:rsid w:val="00327B6E"/>
    <w:rsid w:val="003307B4"/>
    <w:rsid w:val="00331563"/>
    <w:rsid w:val="00332EA8"/>
    <w:rsid w:val="00341F16"/>
    <w:rsid w:val="00344135"/>
    <w:rsid w:val="00346606"/>
    <w:rsid w:val="0035442D"/>
    <w:rsid w:val="00354F24"/>
    <w:rsid w:val="003731C1"/>
    <w:rsid w:val="00387E48"/>
    <w:rsid w:val="00394811"/>
    <w:rsid w:val="003B1ABA"/>
    <w:rsid w:val="003B345B"/>
    <w:rsid w:val="003C033B"/>
    <w:rsid w:val="003C6A8B"/>
    <w:rsid w:val="003D358F"/>
    <w:rsid w:val="003E2B5D"/>
    <w:rsid w:val="003E5273"/>
    <w:rsid w:val="003F0803"/>
    <w:rsid w:val="003F12CF"/>
    <w:rsid w:val="003F47E5"/>
    <w:rsid w:val="00404725"/>
    <w:rsid w:val="00412037"/>
    <w:rsid w:val="0041634D"/>
    <w:rsid w:val="00420EB3"/>
    <w:rsid w:val="00421709"/>
    <w:rsid w:val="00427D93"/>
    <w:rsid w:val="00431BE7"/>
    <w:rsid w:val="00450AB0"/>
    <w:rsid w:val="00456B8A"/>
    <w:rsid w:val="0046055F"/>
    <w:rsid w:val="004648D9"/>
    <w:rsid w:val="004652F7"/>
    <w:rsid w:val="00475642"/>
    <w:rsid w:val="00493CA0"/>
    <w:rsid w:val="004943F6"/>
    <w:rsid w:val="004956C4"/>
    <w:rsid w:val="004A2BAE"/>
    <w:rsid w:val="004A3A7B"/>
    <w:rsid w:val="004A4E1C"/>
    <w:rsid w:val="004B07F0"/>
    <w:rsid w:val="004B108C"/>
    <w:rsid w:val="004C2CF6"/>
    <w:rsid w:val="004C4496"/>
    <w:rsid w:val="004D0A42"/>
    <w:rsid w:val="004D2E7A"/>
    <w:rsid w:val="004D344C"/>
    <w:rsid w:val="004D4898"/>
    <w:rsid w:val="004E2BA0"/>
    <w:rsid w:val="004E3E65"/>
    <w:rsid w:val="004E6EB4"/>
    <w:rsid w:val="004E788D"/>
    <w:rsid w:val="00502D59"/>
    <w:rsid w:val="005052F8"/>
    <w:rsid w:val="00506FE0"/>
    <w:rsid w:val="00513558"/>
    <w:rsid w:val="005167D0"/>
    <w:rsid w:val="00522CB1"/>
    <w:rsid w:val="00526905"/>
    <w:rsid w:val="00526B85"/>
    <w:rsid w:val="00531282"/>
    <w:rsid w:val="00534E89"/>
    <w:rsid w:val="00546E1B"/>
    <w:rsid w:val="00546E7D"/>
    <w:rsid w:val="00554E22"/>
    <w:rsid w:val="0055510E"/>
    <w:rsid w:val="00561056"/>
    <w:rsid w:val="00577BC0"/>
    <w:rsid w:val="005814F0"/>
    <w:rsid w:val="00586C08"/>
    <w:rsid w:val="005A1682"/>
    <w:rsid w:val="005A2FEA"/>
    <w:rsid w:val="005B51CC"/>
    <w:rsid w:val="005B62B1"/>
    <w:rsid w:val="005C411A"/>
    <w:rsid w:val="005C4A69"/>
    <w:rsid w:val="005C5C9B"/>
    <w:rsid w:val="005E293B"/>
    <w:rsid w:val="005F3402"/>
    <w:rsid w:val="005F395B"/>
    <w:rsid w:val="005F6EC8"/>
    <w:rsid w:val="00601F17"/>
    <w:rsid w:val="006079B6"/>
    <w:rsid w:val="00607DAA"/>
    <w:rsid w:val="006107BA"/>
    <w:rsid w:val="00613FA7"/>
    <w:rsid w:val="006173A1"/>
    <w:rsid w:val="00632A67"/>
    <w:rsid w:val="00632D91"/>
    <w:rsid w:val="006336FF"/>
    <w:rsid w:val="00636E1A"/>
    <w:rsid w:val="00641D47"/>
    <w:rsid w:val="00644F69"/>
    <w:rsid w:val="00645B08"/>
    <w:rsid w:val="00654B94"/>
    <w:rsid w:val="0065587E"/>
    <w:rsid w:val="00657B7A"/>
    <w:rsid w:val="00667FF2"/>
    <w:rsid w:val="00674393"/>
    <w:rsid w:val="00674B5B"/>
    <w:rsid w:val="006778D6"/>
    <w:rsid w:val="00682E16"/>
    <w:rsid w:val="006A1FE4"/>
    <w:rsid w:val="006A6931"/>
    <w:rsid w:val="006B4940"/>
    <w:rsid w:val="006C749E"/>
    <w:rsid w:val="006D55C8"/>
    <w:rsid w:val="007020CE"/>
    <w:rsid w:val="007064DE"/>
    <w:rsid w:val="007122A9"/>
    <w:rsid w:val="007150D7"/>
    <w:rsid w:val="007154BB"/>
    <w:rsid w:val="00715836"/>
    <w:rsid w:val="0072075B"/>
    <w:rsid w:val="007263E9"/>
    <w:rsid w:val="007269CF"/>
    <w:rsid w:val="00727663"/>
    <w:rsid w:val="00731E5F"/>
    <w:rsid w:val="007421FA"/>
    <w:rsid w:val="0074261E"/>
    <w:rsid w:val="00747674"/>
    <w:rsid w:val="007517F4"/>
    <w:rsid w:val="00766B25"/>
    <w:rsid w:val="00766D63"/>
    <w:rsid w:val="0077101D"/>
    <w:rsid w:val="007720B8"/>
    <w:rsid w:val="0077391D"/>
    <w:rsid w:val="007803F6"/>
    <w:rsid w:val="007A50DA"/>
    <w:rsid w:val="007B0E94"/>
    <w:rsid w:val="007C461A"/>
    <w:rsid w:val="007C4B49"/>
    <w:rsid w:val="007C5318"/>
    <w:rsid w:val="007E3445"/>
    <w:rsid w:val="007F036C"/>
    <w:rsid w:val="007F72C3"/>
    <w:rsid w:val="007F7C28"/>
    <w:rsid w:val="0080145D"/>
    <w:rsid w:val="00810A3B"/>
    <w:rsid w:val="00815FAC"/>
    <w:rsid w:val="008235B9"/>
    <w:rsid w:val="008235F5"/>
    <w:rsid w:val="00824774"/>
    <w:rsid w:val="00827566"/>
    <w:rsid w:val="008277BD"/>
    <w:rsid w:val="008331D8"/>
    <w:rsid w:val="0083796C"/>
    <w:rsid w:val="00843BDE"/>
    <w:rsid w:val="00845C96"/>
    <w:rsid w:val="008468A1"/>
    <w:rsid w:val="008507AE"/>
    <w:rsid w:val="0085128A"/>
    <w:rsid w:val="0085141D"/>
    <w:rsid w:val="0085221F"/>
    <w:rsid w:val="00855CF1"/>
    <w:rsid w:val="008622E4"/>
    <w:rsid w:val="0086499C"/>
    <w:rsid w:val="00866622"/>
    <w:rsid w:val="00875189"/>
    <w:rsid w:val="00880510"/>
    <w:rsid w:val="00883227"/>
    <w:rsid w:val="008855FE"/>
    <w:rsid w:val="00891104"/>
    <w:rsid w:val="008948CA"/>
    <w:rsid w:val="008A1561"/>
    <w:rsid w:val="008A4DBC"/>
    <w:rsid w:val="008B1234"/>
    <w:rsid w:val="008B2E49"/>
    <w:rsid w:val="008B4F50"/>
    <w:rsid w:val="008C69EE"/>
    <w:rsid w:val="008D204B"/>
    <w:rsid w:val="008D31C9"/>
    <w:rsid w:val="008D794C"/>
    <w:rsid w:val="008E3A21"/>
    <w:rsid w:val="008E61A0"/>
    <w:rsid w:val="008F15C0"/>
    <w:rsid w:val="008F3DAC"/>
    <w:rsid w:val="008F47BB"/>
    <w:rsid w:val="00901EA0"/>
    <w:rsid w:val="0090385F"/>
    <w:rsid w:val="009065A1"/>
    <w:rsid w:val="00910D7B"/>
    <w:rsid w:val="00911052"/>
    <w:rsid w:val="009164E6"/>
    <w:rsid w:val="00923505"/>
    <w:rsid w:val="009235FD"/>
    <w:rsid w:val="00923609"/>
    <w:rsid w:val="00923CC6"/>
    <w:rsid w:val="00941A9B"/>
    <w:rsid w:val="00944216"/>
    <w:rsid w:val="00946209"/>
    <w:rsid w:val="009462E2"/>
    <w:rsid w:val="00947D8F"/>
    <w:rsid w:val="00953451"/>
    <w:rsid w:val="009662B6"/>
    <w:rsid w:val="009736FA"/>
    <w:rsid w:val="0097494D"/>
    <w:rsid w:val="00974FC9"/>
    <w:rsid w:val="00983AE2"/>
    <w:rsid w:val="00991F0C"/>
    <w:rsid w:val="009A12B2"/>
    <w:rsid w:val="009A2EF0"/>
    <w:rsid w:val="009B10D3"/>
    <w:rsid w:val="009B7C78"/>
    <w:rsid w:val="009C7252"/>
    <w:rsid w:val="009D016D"/>
    <w:rsid w:val="009D0354"/>
    <w:rsid w:val="009D4561"/>
    <w:rsid w:val="009D4761"/>
    <w:rsid w:val="009D4B07"/>
    <w:rsid w:val="009D69D3"/>
    <w:rsid w:val="009E0183"/>
    <w:rsid w:val="00A01F71"/>
    <w:rsid w:val="00A079D0"/>
    <w:rsid w:val="00A1156B"/>
    <w:rsid w:val="00A25CA1"/>
    <w:rsid w:val="00A26C4D"/>
    <w:rsid w:val="00A30423"/>
    <w:rsid w:val="00A37888"/>
    <w:rsid w:val="00A40CF8"/>
    <w:rsid w:val="00A4319C"/>
    <w:rsid w:val="00A45F9E"/>
    <w:rsid w:val="00A61390"/>
    <w:rsid w:val="00A636FF"/>
    <w:rsid w:val="00A67AA2"/>
    <w:rsid w:val="00A706FC"/>
    <w:rsid w:val="00A71C92"/>
    <w:rsid w:val="00A7381F"/>
    <w:rsid w:val="00A75CEF"/>
    <w:rsid w:val="00A86155"/>
    <w:rsid w:val="00A94304"/>
    <w:rsid w:val="00AA02B6"/>
    <w:rsid w:val="00AA5A07"/>
    <w:rsid w:val="00AB1798"/>
    <w:rsid w:val="00AB58A2"/>
    <w:rsid w:val="00AB68EE"/>
    <w:rsid w:val="00AB6D73"/>
    <w:rsid w:val="00AC181D"/>
    <w:rsid w:val="00AC20A2"/>
    <w:rsid w:val="00AC6442"/>
    <w:rsid w:val="00AC6CC0"/>
    <w:rsid w:val="00AD0DC8"/>
    <w:rsid w:val="00AD228F"/>
    <w:rsid w:val="00AD307C"/>
    <w:rsid w:val="00AD66BB"/>
    <w:rsid w:val="00AE1230"/>
    <w:rsid w:val="00AE1E72"/>
    <w:rsid w:val="00AF3CEC"/>
    <w:rsid w:val="00B262AC"/>
    <w:rsid w:val="00B3166D"/>
    <w:rsid w:val="00B41D6C"/>
    <w:rsid w:val="00B51CBB"/>
    <w:rsid w:val="00B52AB3"/>
    <w:rsid w:val="00B60301"/>
    <w:rsid w:val="00B66F01"/>
    <w:rsid w:val="00B675DD"/>
    <w:rsid w:val="00B71D19"/>
    <w:rsid w:val="00B731E1"/>
    <w:rsid w:val="00B82466"/>
    <w:rsid w:val="00B94BDE"/>
    <w:rsid w:val="00BA3D2A"/>
    <w:rsid w:val="00BB2E25"/>
    <w:rsid w:val="00BB3EAC"/>
    <w:rsid w:val="00BD3419"/>
    <w:rsid w:val="00BE1415"/>
    <w:rsid w:val="00BE5EDB"/>
    <w:rsid w:val="00BF70B7"/>
    <w:rsid w:val="00C0200C"/>
    <w:rsid w:val="00C05789"/>
    <w:rsid w:val="00C05E33"/>
    <w:rsid w:val="00C05E7F"/>
    <w:rsid w:val="00C1301F"/>
    <w:rsid w:val="00C176E1"/>
    <w:rsid w:val="00C212C6"/>
    <w:rsid w:val="00C2249B"/>
    <w:rsid w:val="00C25EAC"/>
    <w:rsid w:val="00C31F67"/>
    <w:rsid w:val="00C32306"/>
    <w:rsid w:val="00C326C4"/>
    <w:rsid w:val="00C33182"/>
    <w:rsid w:val="00C33B8D"/>
    <w:rsid w:val="00C35B11"/>
    <w:rsid w:val="00C41129"/>
    <w:rsid w:val="00C4576D"/>
    <w:rsid w:val="00C56C88"/>
    <w:rsid w:val="00C60280"/>
    <w:rsid w:val="00C616A9"/>
    <w:rsid w:val="00C65A21"/>
    <w:rsid w:val="00C803A2"/>
    <w:rsid w:val="00C90ED9"/>
    <w:rsid w:val="00C91098"/>
    <w:rsid w:val="00C927EE"/>
    <w:rsid w:val="00C92DD3"/>
    <w:rsid w:val="00C92F0A"/>
    <w:rsid w:val="00CA145D"/>
    <w:rsid w:val="00CA21DF"/>
    <w:rsid w:val="00CA3248"/>
    <w:rsid w:val="00CA4854"/>
    <w:rsid w:val="00CB13E1"/>
    <w:rsid w:val="00CB580D"/>
    <w:rsid w:val="00CC3373"/>
    <w:rsid w:val="00CC4CD2"/>
    <w:rsid w:val="00CE0947"/>
    <w:rsid w:val="00CE1A84"/>
    <w:rsid w:val="00CE4445"/>
    <w:rsid w:val="00CE4C22"/>
    <w:rsid w:val="00CE7749"/>
    <w:rsid w:val="00CF18E7"/>
    <w:rsid w:val="00CF1FE6"/>
    <w:rsid w:val="00CF47B7"/>
    <w:rsid w:val="00CF5BCF"/>
    <w:rsid w:val="00CF7343"/>
    <w:rsid w:val="00D03D69"/>
    <w:rsid w:val="00D16195"/>
    <w:rsid w:val="00D2733A"/>
    <w:rsid w:val="00D30075"/>
    <w:rsid w:val="00D3218C"/>
    <w:rsid w:val="00D362D3"/>
    <w:rsid w:val="00D365FD"/>
    <w:rsid w:val="00D36CE6"/>
    <w:rsid w:val="00D4292B"/>
    <w:rsid w:val="00D4564A"/>
    <w:rsid w:val="00D47BB6"/>
    <w:rsid w:val="00D546DE"/>
    <w:rsid w:val="00D62EFD"/>
    <w:rsid w:val="00D87E7B"/>
    <w:rsid w:val="00D926AE"/>
    <w:rsid w:val="00D97094"/>
    <w:rsid w:val="00D97771"/>
    <w:rsid w:val="00DA0465"/>
    <w:rsid w:val="00DA7F3A"/>
    <w:rsid w:val="00DC2821"/>
    <w:rsid w:val="00DC78DF"/>
    <w:rsid w:val="00DD2417"/>
    <w:rsid w:val="00DD76A5"/>
    <w:rsid w:val="00E0185C"/>
    <w:rsid w:val="00E03347"/>
    <w:rsid w:val="00E06FB1"/>
    <w:rsid w:val="00E07EEC"/>
    <w:rsid w:val="00E104C8"/>
    <w:rsid w:val="00E161E7"/>
    <w:rsid w:val="00E20F30"/>
    <w:rsid w:val="00E26548"/>
    <w:rsid w:val="00E265F7"/>
    <w:rsid w:val="00E30203"/>
    <w:rsid w:val="00E37BBC"/>
    <w:rsid w:val="00E40095"/>
    <w:rsid w:val="00E410A9"/>
    <w:rsid w:val="00E47903"/>
    <w:rsid w:val="00E47C8E"/>
    <w:rsid w:val="00E5332F"/>
    <w:rsid w:val="00E533DC"/>
    <w:rsid w:val="00E67197"/>
    <w:rsid w:val="00E6762C"/>
    <w:rsid w:val="00E827A9"/>
    <w:rsid w:val="00E85E67"/>
    <w:rsid w:val="00E8678D"/>
    <w:rsid w:val="00E96D76"/>
    <w:rsid w:val="00EA69E7"/>
    <w:rsid w:val="00EC0568"/>
    <w:rsid w:val="00EC340C"/>
    <w:rsid w:val="00ED03CE"/>
    <w:rsid w:val="00ED043E"/>
    <w:rsid w:val="00ED668E"/>
    <w:rsid w:val="00ED6BC4"/>
    <w:rsid w:val="00EF2B6C"/>
    <w:rsid w:val="00F02FFC"/>
    <w:rsid w:val="00F0587A"/>
    <w:rsid w:val="00F063BD"/>
    <w:rsid w:val="00F103DA"/>
    <w:rsid w:val="00F12B05"/>
    <w:rsid w:val="00F14251"/>
    <w:rsid w:val="00F14989"/>
    <w:rsid w:val="00F254C6"/>
    <w:rsid w:val="00F33A65"/>
    <w:rsid w:val="00F40DF8"/>
    <w:rsid w:val="00F4609C"/>
    <w:rsid w:val="00F52EE7"/>
    <w:rsid w:val="00F73702"/>
    <w:rsid w:val="00F749D3"/>
    <w:rsid w:val="00F852CC"/>
    <w:rsid w:val="00F85540"/>
    <w:rsid w:val="00F86463"/>
    <w:rsid w:val="00F86C97"/>
    <w:rsid w:val="00F905DB"/>
    <w:rsid w:val="00FB28DB"/>
    <w:rsid w:val="00FB5CFF"/>
    <w:rsid w:val="00FC3758"/>
    <w:rsid w:val="00FC7EF6"/>
    <w:rsid w:val="00FD7084"/>
    <w:rsid w:val="00FF00CA"/>
    <w:rsid w:val="00FF0A21"/>
    <w:rsid w:val="00FF4C4B"/>
    <w:rsid w:val="00FF4E87"/>
    <w:rsid w:val="00FF6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99020"/>
  <w15:chartTrackingRefBased/>
  <w15:docId w15:val="{6208ED67-FF49-4161-A4D2-A192F85EB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2AB"/>
    <w:pPr>
      <w:widowControl w:val="0"/>
      <w:jc w:val="both"/>
    </w:pPr>
  </w:style>
  <w:style w:type="paragraph" w:styleId="Heading2">
    <w:name w:val="heading 2"/>
    <w:basedOn w:val="Normal"/>
    <w:next w:val="Normal"/>
    <w:link w:val="Heading2Char"/>
    <w:uiPriority w:val="9"/>
    <w:unhideWhenUsed/>
    <w:qFormat/>
    <w:rsid w:val="00A26C4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41203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539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35399"/>
    <w:rPr>
      <w:sz w:val="18"/>
      <w:szCs w:val="18"/>
    </w:rPr>
  </w:style>
  <w:style w:type="paragraph" w:styleId="Footer">
    <w:name w:val="footer"/>
    <w:basedOn w:val="Normal"/>
    <w:link w:val="FooterChar"/>
    <w:uiPriority w:val="99"/>
    <w:unhideWhenUsed/>
    <w:rsid w:val="0023539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35399"/>
    <w:rPr>
      <w:sz w:val="18"/>
      <w:szCs w:val="18"/>
    </w:rPr>
  </w:style>
  <w:style w:type="paragraph" w:styleId="CommentText">
    <w:name w:val="annotation text"/>
    <w:basedOn w:val="Normal"/>
    <w:link w:val="CommentTextChar"/>
    <w:unhideWhenUsed/>
    <w:qFormat/>
    <w:rsid w:val="00F852CC"/>
    <w:pPr>
      <w:jc w:val="left"/>
    </w:pPr>
    <w:rPr>
      <w:rFonts w:ascii="CG Times (WN)" w:eastAsia="宋体" w:hAnsi="CG Times (WN)" w:cs="Times New Roman"/>
    </w:rPr>
  </w:style>
  <w:style w:type="character" w:customStyle="1" w:styleId="CommentTextChar">
    <w:name w:val="Comment Text Char"/>
    <w:basedOn w:val="DefaultParagraphFont"/>
    <w:link w:val="CommentText"/>
    <w:qFormat/>
    <w:rsid w:val="00F852CC"/>
    <w:rPr>
      <w:rFonts w:ascii="CG Times (WN)" w:eastAsia="宋体" w:hAnsi="CG Times (WN)" w:cs="Times New Roman"/>
    </w:rPr>
  </w:style>
  <w:style w:type="character" w:styleId="CommentReference">
    <w:name w:val="annotation reference"/>
    <w:basedOn w:val="DefaultParagraphFont"/>
    <w:uiPriority w:val="99"/>
    <w:unhideWhenUsed/>
    <w:qFormat/>
    <w:rsid w:val="00F852CC"/>
    <w:rPr>
      <w:sz w:val="21"/>
      <w:szCs w:val="21"/>
    </w:rPr>
  </w:style>
  <w:style w:type="paragraph" w:styleId="ListParagraph">
    <w:name w:val="List Paragraph"/>
    <w:basedOn w:val="Normal"/>
    <w:uiPriority w:val="34"/>
    <w:qFormat/>
    <w:rsid w:val="00891104"/>
    <w:pPr>
      <w:ind w:firstLineChars="200" w:firstLine="420"/>
    </w:pPr>
  </w:style>
  <w:style w:type="table" w:styleId="TableGrid">
    <w:name w:val="Table Grid"/>
    <w:basedOn w:val="TableNormal"/>
    <w:uiPriority w:val="59"/>
    <w:rsid w:val="00394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qFormat/>
    <w:rsid w:val="003D358F"/>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TF">
    <w:name w:val="TF"/>
    <w:basedOn w:val="TH"/>
    <w:qFormat/>
    <w:rsid w:val="003D358F"/>
    <w:pPr>
      <w:keepNext w:val="0"/>
      <w:spacing w:before="0" w:after="240"/>
    </w:pPr>
  </w:style>
  <w:style w:type="paragraph" w:styleId="CommentSubject">
    <w:name w:val="annotation subject"/>
    <w:basedOn w:val="CommentText"/>
    <w:next w:val="CommentText"/>
    <w:link w:val="CommentSubjectChar"/>
    <w:uiPriority w:val="99"/>
    <w:semiHidden/>
    <w:unhideWhenUsed/>
    <w:rsid w:val="00FF00CA"/>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FF00CA"/>
    <w:rPr>
      <w:rFonts w:ascii="CG Times (WN)" w:eastAsia="宋体" w:hAnsi="CG Times (WN)" w:cs="Times New Roman"/>
      <w:b/>
      <w:bCs/>
    </w:rPr>
  </w:style>
  <w:style w:type="character" w:customStyle="1" w:styleId="Heading2Char">
    <w:name w:val="Heading 2 Char"/>
    <w:basedOn w:val="DefaultParagraphFont"/>
    <w:link w:val="Heading2"/>
    <w:uiPriority w:val="9"/>
    <w:rsid w:val="00A26C4D"/>
    <w:rPr>
      <w:rFonts w:asciiTheme="majorHAnsi" w:eastAsiaTheme="majorEastAsia" w:hAnsiTheme="majorHAnsi" w:cstheme="majorBidi"/>
      <w:b/>
      <w:bCs/>
      <w:sz w:val="32"/>
      <w:szCs w:val="32"/>
    </w:rPr>
  </w:style>
  <w:style w:type="paragraph" w:customStyle="1" w:styleId="EW">
    <w:name w:val="EW"/>
    <w:basedOn w:val="Normal"/>
    <w:qFormat/>
    <w:rsid w:val="001868FE"/>
    <w:pPr>
      <w:keepLines/>
      <w:widowControl/>
      <w:overflowPunct w:val="0"/>
      <w:autoSpaceDE w:val="0"/>
      <w:autoSpaceDN w:val="0"/>
      <w:adjustRightInd w:val="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uiPriority w:val="9"/>
    <w:semiHidden/>
    <w:rsid w:val="00412037"/>
    <w:rPr>
      <w:rFonts w:asciiTheme="majorHAnsi" w:eastAsiaTheme="majorEastAsia" w:hAnsiTheme="majorHAnsi" w:cstheme="majorBidi"/>
      <w:b/>
      <w:bCs/>
      <w:sz w:val="28"/>
      <w:szCs w:val="28"/>
    </w:rPr>
  </w:style>
  <w:style w:type="table" w:customStyle="1" w:styleId="TableGrid1">
    <w:name w:val="TableGrid1"/>
    <w:basedOn w:val="TableNormal"/>
    <w:next w:val="TableGrid"/>
    <w:uiPriority w:val="39"/>
    <w:qFormat/>
    <w:rsid w:val="009B10D3"/>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32801">
      <w:bodyDiv w:val="1"/>
      <w:marLeft w:val="0"/>
      <w:marRight w:val="0"/>
      <w:marTop w:val="0"/>
      <w:marBottom w:val="0"/>
      <w:divBdr>
        <w:top w:val="none" w:sz="0" w:space="0" w:color="auto"/>
        <w:left w:val="none" w:sz="0" w:space="0" w:color="auto"/>
        <w:bottom w:val="none" w:sz="0" w:space="0" w:color="auto"/>
        <w:right w:val="none" w:sz="0" w:space="0" w:color="auto"/>
      </w:divBdr>
    </w:div>
    <w:div w:id="368578234">
      <w:bodyDiv w:val="1"/>
      <w:marLeft w:val="0"/>
      <w:marRight w:val="0"/>
      <w:marTop w:val="0"/>
      <w:marBottom w:val="0"/>
      <w:divBdr>
        <w:top w:val="none" w:sz="0" w:space="0" w:color="auto"/>
        <w:left w:val="none" w:sz="0" w:space="0" w:color="auto"/>
        <w:bottom w:val="none" w:sz="0" w:space="0" w:color="auto"/>
        <w:right w:val="none" w:sz="0" w:space="0" w:color="auto"/>
      </w:divBdr>
    </w:div>
    <w:div w:id="414017010">
      <w:bodyDiv w:val="1"/>
      <w:marLeft w:val="0"/>
      <w:marRight w:val="0"/>
      <w:marTop w:val="0"/>
      <w:marBottom w:val="0"/>
      <w:divBdr>
        <w:top w:val="none" w:sz="0" w:space="0" w:color="auto"/>
        <w:left w:val="none" w:sz="0" w:space="0" w:color="auto"/>
        <w:bottom w:val="none" w:sz="0" w:space="0" w:color="auto"/>
        <w:right w:val="none" w:sz="0" w:space="0" w:color="auto"/>
      </w:divBdr>
    </w:div>
    <w:div w:id="497691852">
      <w:bodyDiv w:val="1"/>
      <w:marLeft w:val="0"/>
      <w:marRight w:val="0"/>
      <w:marTop w:val="0"/>
      <w:marBottom w:val="0"/>
      <w:divBdr>
        <w:top w:val="none" w:sz="0" w:space="0" w:color="auto"/>
        <w:left w:val="none" w:sz="0" w:space="0" w:color="auto"/>
        <w:bottom w:val="none" w:sz="0" w:space="0" w:color="auto"/>
        <w:right w:val="none" w:sz="0" w:space="0" w:color="auto"/>
      </w:divBdr>
    </w:div>
    <w:div w:id="554435277">
      <w:bodyDiv w:val="1"/>
      <w:marLeft w:val="0"/>
      <w:marRight w:val="0"/>
      <w:marTop w:val="0"/>
      <w:marBottom w:val="0"/>
      <w:divBdr>
        <w:top w:val="none" w:sz="0" w:space="0" w:color="auto"/>
        <w:left w:val="none" w:sz="0" w:space="0" w:color="auto"/>
        <w:bottom w:val="none" w:sz="0" w:space="0" w:color="auto"/>
        <w:right w:val="none" w:sz="0" w:space="0" w:color="auto"/>
      </w:divBdr>
    </w:div>
    <w:div w:id="623195893">
      <w:bodyDiv w:val="1"/>
      <w:marLeft w:val="0"/>
      <w:marRight w:val="0"/>
      <w:marTop w:val="0"/>
      <w:marBottom w:val="0"/>
      <w:divBdr>
        <w:top w:val="none" w:sz="0" w:space="0" w:color="auto"/>
        <w:left w:val="none" w:sz="0" w:space="0" w:color="auto"/>
        <w:bottom w:val="none" w:sz="0" w:space="0" w:color="auto"/>
        <w:right w:val="none" w:sz="0" w:space="0" w:color="auto"/>
      </w:divBdr>
    </w:div>
    <w:div w:id="972491289">
      <w:bodyDiv w:val="1"/>
      <w:marLeft w:val="0"/>
      <w:marRight w:val="0"/>
      <w:marTop w:val="0"/>
      <w:marBottom w:val="0"/>
      <w:divBdr>
        <w:top w:val="none" w:sz="0" w:space="0" w:color="auto"/>
        <w:left w:val="none" w:sz="0" w:space="0" w:color="auto"/>
        <w:bottom w:val="none" w:sz="0" w:space="0" w:color="auto"/>
        <w:right w:val="none" w:sz="0" w:space="0" w:color="auto"/>
      </w:divBdr>
    </w:div>
    <w:div w:id="1025598565">
      <w:bodyDiv w:val="1"/>
      <w:marLeft w:val="0"/>
      <w:marRight w:val="0"/>
      <w:marTop w:val="0"/>
      <w:marBottom w:val="0"/>
      <w:divBdr>
        <w:top w:val="none" w:sz="0" w:space="0" w:color="auto"/>
        <w:left w:val="none" w:sz="0" w:space="0" w:color="auto"/>
        <w:bottom w:val="none" w:sz="0" w:space="0" w:color="auto"/>
        <w:right w:val="none" w:sz="0" w:space="0" w:color="auto"/>
      </w:divBdr>
    </w:div>
    <w:div w:id="1087265459">
      <w:bodyDiv w:val="1"/>
      <w:marLeft w:val="0"/>
      <w:marRight w:val="0"/>
      <w:marTop w:val="0"/>
      <w:marBottom w:val="0"/>
      <w:divBdr>
        <w:top w:val="none" w:sz="0" w:space="0" w:color="auto"/>
        <w:left w:val="none" w:sz="0" w:space="0" w:color="auto"/>
        <w:bottom w:val="none" w:sz="0" w:space="0" w:color="auto"/>
        <w:right w:val="none" w:sz="0" w:space="0" w:color="auto"/>
      </w:divBdr>
    </w:div>
    <w:div w:id="1559706390">
      <w:bodyDiv w:val="1"/>
      <w:marLeft w:val="0"/>
      <w:marRight w:val="0"/>
      <w:marTop w:val="0"/>
      <w:marBottom w:val="0"/>
      <w:divBdr>
        <w:top w:val="none" w:sz="0" w:space="0" w:color="auto"/>
        <w:left w:val="none" w:sz="0" w:space="0" w:color="auto"/>
        <w:bottom w:val="none" w:sz="0" w:space="0" w:color="auto"/>
        <w:right w:val="none" w:sz="0" w:space="0" w:color="auto"/>
      </w:divBdr>
    </w:div>
    <w:div w:id="1913850165">
      <w:bodyDiv w:val="1"/>
      <w:marLeft w:val="0"/>
      <w:marRight w:val="0"/>
      <w:marTop w:val="0"/>
      <w:marBottom w:val="0"/>
      <w:divBdr>
        <w:top w:val="none" w:sz="0" w:space="0" w:color="auto"/>
        <w:left w:val="none" w:sz="0" w:space="0" w:color="auto"/>
        <w:bottom w:val="none" w:sz="0" w:space="0" w:color="auto"/>
        <w:right w:val="none" w:sz="0" w:space="0" w:color="auto"/>
      </w:divBdr>
    </w:div>
    <w:div w:id="2041200477">
      <w:bodyDiv w:val="1"/>
      <w:marLeft w:val="0"/>
      <w:marRight w:val="0"/>
      <w:marTop w:val="0"/>
      <w:marBottom w:val="0"/>
      <w:divBdr>
        <w:top w:val="none" w:sz="0" w:space="0" w:color="auto"/>
        <w:left w:val="none" w:sz="0" w:space="0" w:color="auto"/>
        <w:bottom w:val="none" w:sz="0" w:space="0" w:color="auto"/>
        <w:right w:val="none" w:sz="0" w:space="0" w:color="auto"/>
      </w:divBdr>
    </w:div>
    <w:div w:id="213274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3190</TotalTime>
  <Pages>3</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chunxia-CMCC</dc:creator>
  <cp:keywords/>
  <dc:description/>
  <cp:lastModifiedBy>chunxia-CMCC</cp:lastModifiedBy>
  <cp:revision>70</cp:revision>
  <dcterms:created xsi:type="dcterms:W3CDTF">2023-03-31T09:21:00Z</dcterms:created>
  <dcterms:modified xsi:type="dcterms:W3CDTF">2023-05-15T12:55:00Z</dcterms:modified>
</cp:coreProperties>
</file>