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D0C0" w14:textId="08A32DB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C14A4C" w:rsidRPr="00C14A4C">
        <w:rPr>
          <w:rFonts w:ascii="Arial" w:eastAsia="SimSun" w:hAnsi="Arial" w:cs="Times New Roman"/>
          <w:b/>
          <w:bCs/>
          <w:sz w:val="24"/>
          <w:szCs w:val="20"/>
          <w:lang w:eastAsia="ja-JP"/>
        </w:rPr>
        <w:t>R4-2302242</w:t>
      </w:r>
    </w:p>
    <w:p w14:paraId="06E11059"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033CDB76"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BBE90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3E77CFF" w14:textId="6BD7CCC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35C60">
        <w:rPr>
          <w:rFonts w:ascii="Arial" w:eastAsia="Calibri" w:hAnsi="Arial" w:cs="Arial"/>
          <w:b/>
          <w:bCs/>
          <w:sz w:val="24"/>
        </w:rPr>
        <w:t>Discussion on LTM general aspects and scenarios</w:t>
      </w:r>
      <w:r w:rsidR="007C1696">
        <w:rPr>
          <w:rFonts w:ascii="Arial" w:eastAsia="Calibri" w:hAnsi="Arial" w:cs="Arial"/>
          <w:b/>
          <w:bCs/>
          <w:sz w:val="24"/>
        </w:rPr>
        <w:t xml:space="preserve"> </w:t>
      </w:r>
    </w:p>
    <w:p w14:paraId="2C9D54EF" w14:textId="77777777" w:rsidR="00C14A4C" w:rsidRDefault="00841BCD" w:rsidP="00C14A4C">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14A4C" w:rsidRPr="00C14A4C">
        <w:rPr>
          <w:rFonts w:ascii="Arial" w:eastAsia="MS Mincho" w:hAnsi="Arial" w:cs="Arial"/>
          <w:b/>
          <w:bCs/>
          <w:sz w:val="24"/>
          <w:szCs w:val="20"/>
        </w:rPr>
        <w:t>9.23.3.1</w:t>
      </w:r>
    </w:p>
    <w:p w14:paraId="5F49641B" w14:textId="57993BF0" w:rsidR="00D66188" w:rsidRDefault="00841BCD" w:rsidP="00C14A4C">
      <w:pPr>
        <w:tabs>
          <w:tab w:val="left" w:pos="1985"/>
        </w:tabs>
        <w:spacing w:after="120" w:line="240" w:lineRule="auto"/>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D925A05" w14:textId="77777777" w:rsidR="00E323E9" w:rsidRPr="00EF698B" w:rsidRDefault="00E323E9" w:rsidP="00841BCD">
      <w:pPr>
        <w:tabs>
          <w:tab w:val="left" w:pos="1985"/>
        </w:tabs>
        <w:rPr>
          <w:rFonts w:ascii="Arial" w:eastAsia="Calibri" w:hAnsi="Arial" w:cs="Arial"/>
          <w:b/>
          <w:bCs/>
          <w:sz w:val="24"/>
        </w:rPr>
      </w:pPr>
    </w:p>
    <w:p w14:paraId="535419E5" w14:textId="4919F911" w:rsidR="00022A44" w:rsidRPr="00022A44" w:rsidRDefault="00841BCD" w:rsidP="00022A44">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AB351AF" w14:textId="3E0398E2" w:rsidR="00424E94" w:rsidRPr="008D5135" w:rsidRDefault="006E3018" w:rsidP="006209DB">
      <w:pPr>
        <w:rPr>
          <w:lang w:eastAsia="zh-TW"/>
        </w:rPr>
      </w:pPr>
      <w:r w:rsidRPr="00E94DB0">
        <w:rPr>
          <w:lang w:eastAsia="zh-TW"/>
        </w:rPr>
        <w:t xml:space="preserve">This paper discusses RAN4 </w:t>
      </w:r>
      <w:r w:rsidR="008D5135">
        <w:rPr>
          <w:lang w:eastAsia="zh-TW"/>
        </w:rPr>
        <w:t xml:space="preserve">aspects of L1/L2 Triggered mobility. </w:t>
      </w:r>
      <w:r w:rsidR="00641E70">
        <w:rPr>
          <w:lang w:eastAsia="zh-TW"/>
        </w:rPr>
        <w:t>Since the #105 in Toulouse, there are a number of open issues</w:t>
      </w:r>
      <w:r w:rsidR="00022A44">
        <w:rPr>
          <w:lang w:eastAsia="zh-TW"/>
        </w:rPr>
        <w:t xml:space="preserve"> (</w:t>
      </w:r>
      <w:hyperlink r:id="rId13" w:history="1">
        <w:r w:rsidR="00022A44">
          <w:rPr>
            <w:rStyle w:val="Hyperlink"/>
            <w:rFonts w:eastAsia="PMingLiU" w:cs="Arial"/>
            <w:bCs/>
            <w:szCs w:val="20"/>
            <w:lang w:eastAsia="zh-TW"/>
          </w:rPr>
          <w:t>R4-2220403</w:t>
        </w:r>
      </w:hyperlink>
      <w:r w:rsidR="00022A44">
        <w:rPr>
          <w:lang w:eastAsia="zh-TW"/>
        </w:rPr>
        <w:t xml:space="preserve">) </w:t>
      </w:r>
      <w:r w:rsidR="00641E70">
        <w:rPr>
          <w:lang w:eastAsia="zh-TW"/>
        </w:rPr>
        <w:t xml:space="preserve"> around LTM which are being discussed by RAN4. </w:t>
      </w:r>
    </w:p>
    <w:p w14:paraId="4624EDFF" w14:textId="44FCC650" w:rsidR="00EF450B" w:rsidRDefault="006E3018" w:rsidP="00641E70">
      <w:pPr>
        <w:pStyle w:val="RAN4H1"/>
        <w:rPr>
          <w:lang w:val="en-US"/>
        </w:rPr>
      </w:pPr>
      <w:bookmarkStart w:id="4" w:name="_Toc116995842"/>
      <w:r w:rsidRPr="00EF698B">
        <w:rPr>
          <w:lang w:val="en-US"/>
        </w:rPr>
        <w:t>Discussion</w:t>
      </w:r>
      <w:bookmarkEnd w:id="4"/>
    </w:p>
    <w:p w14:paraId="1C090BD9" w14:textId="7CE77286" w:rsidR="004652CC" w:rsidRDefault="004652CC" w:rsidP="004652CC">
      <w:pPr>
        <w:pStyle w:val="RAN4H2"/>
        <w:rPr>
          <w:lang w:val="en-GB"/>
        </w:rPr>
      </w:pPr>
      <w:r>
        <w:rPr>
          <w:lang w:val="en-GB"/>
        </w:rPr>
        <w:t>LTM Interruption delay scenarios</w:t>
      </w:r>
    </w:p>
    <w:p w14:paraId="1556ABA7" w14:textId="70F65E15" w:rsidR="004652CC" w:rsidRDefault="00A45E4B" w:rsidP="004652CC">
      <w:pPr>
        <w:rPr>
          <w:lang w:val="en-GB"/>
        </w:rPr>
      </w:pPr>
      <w:r>
        <w:rPr>
          <w:lang w:val="en-GB"/>
        </w:rPr>
        <w:t>Currently LTM delay discussion has been delay components based on L3 Handover.</w:t>
      </w:r>
      <w:r w:rsidR="00CA6715">
        <w:rPr>
          <w:lang w:val="en-GB"/>
        </w:rPr>
        <w:t xml:space="preserve"> </w:t>
      </w:r>
      <w:r w:rsidR="00E31CA0">
        <w:rPr>
          <w:lang w:val="en-GB"/>
        </w:rPr>
        <w:t xml:space="preserve">As one </w:t>
      </w:r>
      <w:r w:rsidR="00CA6715">
        <w:rPr>
          <w:lang w:val="en-GB"/>
        </w:rPr>
        <w:t xml:space="preserve">of the purposes of LTM is to support </w:t>
      </w:r>
      <w:r w:rsidR="002D0A30">
        <w:rPr>
          <w:lang w:val="en-GB"/>
        </w:rPr>
        <w:t>lower layer mobility, the scenarios should also consider beam switch delay, in addition to L3 delay components.</w:t>
      </w:r>
      <w:r w:rsidR="004652CC">
        <w:rPr>
          <w:lang w:val="en-GB"/>
        </w:rPr>
        <w:t xml:space="preserve"> Therefore, </w:t>
      </w:r>
      <w:r w:rsidR="00F0402B">
        <w:rPr>
          <w:lang w:val="en-GB"/>
        </w:rPr>
        <w:t xml:space="preserve">we propose </w:t>
      </w:r>
      <w:r w:rsidR="004652CC">
        <w:rPr>
          <w:lang w:val="en-GB"/>
        </w:rPr>
        <w:t xml:space="preserve">to consider two </w:t>
      </w:r>
      <w:r w:rsidR="00350ADC">
        <w:rPr>
          <w:lang w:val="en-GB"/>
        </w:rPr>
        <w:t xml:space="preserve">main </w:t>
      </w:r>
      <w:r w:rsidR="004652CC">
        <w:rPr>
          <w:lang w:val="en-GB"/>
        </w:rPr>
        <w:t>scenarios</w:t>
      </w:r>
      <w:r w:rsidR="004F084E">
        <w:rPr>
          <w:lang w:val="en-GB"/>
        </w:rPr>
        <w:t xml:space="preserve"> from which one is addressing the lower end of the delay, and other one is addressing the higher end of the delay</w:t>
      </w:r>
      <w:r w:rsidR="00F0402B">
        <w:rPr>
          <w:lang w:val="en-GB"/>
        </w:rPr>
        <w:t>.</w:t>
      </w:r>
      <w:r w:rsidR="00350ADC">
        <w:rPr>
          <w:lang w:val="en-GB"/>
        </w:rPr>
        <w:t xml:space="preserve"> Both of the main scenarios can be further refined with details of </w:t>
      </w:r>
      <w:r w:rsidR="008A413C">
        <w:rPr>
          <w:lang w:val="en-GB"/>
        </w:rPr>
        <w:t xml:space="preserve">the delay components. Scenario 1 considers Active TCI state switch delay for LTM, and the second one is scenario where the interruption delay is less than L3 HO. </w:t>
      </w:r>
      <w:r w:rsidR="008D391B">
        <w:rPr>
          <w:lang w:val="en-GB"/>
        </w:rPr>
        <w:t xml:space="preserve"> </w:t>
      </w:r>
      <w:r w:rsidR="004652CC">
        <w:rPr>
          <w:lang w:val="en-GB"/>
        </w:rPr>
        <w:t xml:space="preserve">LTM delay components should be defined in a way that allows requirements to be specified flexibly in between these two scenarios. </w:t>
      </w:r>
      <w:r w:rsidR="008D391B">
        <w:rPr>
          <w:lang w:val="en-GB"/>
        </w:rPr>
        <w:t>Therefore,</w:t>
      </w:r>
      <w:r w:rsidR="00261B09">
        <w:rPr>
          <w:lang w:val="en-GB"/>
        </w:rPr>
        <w:t xml:space="preserve"> </w:t>
      </w:r>
      <w:r w:rsidR="00B97CB7">
        <w:rPr>
          <w:lang w:val="en-GB"/>
        </w:rPr>
        <w:t xml:space="preserve">at least </w:t>
      </w:r>
      <w:r w:rsidR="00261B09">
        <w:rPr>
          <w:lang w:val="en-GB"/>
        </w:rPr>
        <w:t xml:space="preserve">the following LTM scenarios should be supported. </w:t>
      </w:r>
    </w:p>
    <w:p w14:paraId="3903D3E6" w14:textId="77777777" w:rsidR="004652CC" w:rsidRPr="00940B79" w:rsidRDefault="004652CC" w:rsidP="004652CC">
      <w:pPr>
        <w:pStyle w:val="ListParagraph"/>
        <w:numPr>
          <w:ilvl w:val="0"/>
          <w:numId w:val="43"/>
        </w:numPr>
        <w:rPr>
          <w:lang w:val="en-GB"/>
        </w:rPr>
      </w:pPr>
      <w:r w:rsidRPr="00940B79">
        <w:rPr>
          <w:lang w:val="en-GB"/>
        </w:rPr>
        <w:t xml:space="preserve">Scenario 1: Active TCI state switch for LTM </w:t>
      </w:r>
    </w:p>
    <w:p w14:paraId="62E4FB2A" w14:textId="77777777" w:rsidR="004652CC" w:rsidRDefault="004652CC" w:rsidP="004652CC">
      <w:pPr>
        <w:pStyle w:val="ListParagraph"/>
        <w:numPr>
          <w:ilvl w:val="0"/>
          <w:numId w:val="43"/>
        </w:numPr>
        <w:rPr>
          <w:lang w:val="en-GB"/>
        </w:rPr>
      </w:pPr>
      <w:r w:rsidRPr="00940B79">
        <w:rPr>
          <w:lang w:val="en-GB"/>
        </w:rPr>
        <w:t xml:space="preserve">Scenario 2: Interruption time less than L3 HO </w:t>
      </w:r>
    </w:p>
    <w:p w14:paraId="06F056A2" w14:textId="12A09D69" w:rsidR="00177CA0" w:rsidRDefault="00177CA0" w:rsidP="00261B09">
      <w:pPr>
        <w:pStyle w:val="RAN4proposal"/>
        <w:rPr>
          <w:lang w:val="en-GB"/>
        </w:rPr>
      </w:pPr>
      <w:bookmarkStart w:id="5" w:name="_Toc127564186"/>
      <w:r>
        <w:t xml:space="preserve">RAN4 to define </w:t>
      </w:r>
      <w:r w:rsidR="00F0218B">
        <w:t xml:space="preserve">at least </w:t>
      </w:r>
      <w:r w:rsidR="00261B09">
        <w:t xml:space="preserve">two interruption delay scenarios. </w:t>
      </w:r>
      <w:r w:rsidR="00261B09" w:rsidRPr="00940B79">
        <w:rPr>
          <w:lang w:val="en-GB"/>
        </w:rPr>
        <w:t>Scenario 1: Active TCI state switch for LTM</w:t>
      </w:r>
      <w:r w:rsidR="00261B09">
        <w:rPr>
          <w:lang w:val="en-GB"/>
        </w:rPr>
        <w:t xml:space="preserve">; </w:t>
      </w:r>
      <w:r w:rsidR="00261B09" w:rsidRPr="00940B79">
        <w:rPr>
          <w:lang w:val="en-GB"/>
        </w:rPr>
        <w:t>Scenario 2: Interruption time less than L3 HO</w:t>
      </w:r>
      <w:bookmarkEnd w:id="5"/>
      <w:r w:rsidR="00261B09" w:rsidRPr="00940B79">
        <w:rPr>
          <w:lang w:val="en-GB"/>
        </w:rPr>
        <w:t xml:space="preserve"> </w:t>
      </w:r>
    </w:p>
    <w:p w14:paraId="33613D9C" w14:textId="1A8A6B82" w:rsidR="00E6180F" w:rsidRPr="00E6180F" w:rsidRDefault="005B7AF3" w:rsidP="005B7AF3">
      <w:pPr>
        <w:pStyle w:val="RAN4H2"/>
      </w:pPr>
      <w:bookmarkStart w:id="6" w:name="_Toc126084335"/>
      <w:bookmarkStart w:id="7" w:name="_Toc126084370"/>
      <w:bookmarkStart w:id="8" w:name="_Toc126084389"/>
      <w:bookmarkStart w:id="9" w:name="_Toc126084461"/>
      <w:bookmarkEnd w:id="6"/>
      <w:bookmarkEnd w:id="7"/>
      <w:bookmarkEnd w:id="8"/>
      <w:bookmarkEnd w:id="9"/>
      <w:r>
        <w:t xml:space="preserve">Simultaneous Data Rx/Tx </w:t>
      </w:r>
    </w:p>
    <w:p w14:paraId="1992848F" w14:textId="77777777" w:rsidR="0009295A" w:rsidRDefault="0009295A" w:rsidP="005B7AF3">
      <w:pPr>
        <w:pBdr>
          <w:top w:val="single" w:sz="4" w:space="1" w:color="auto"/>
          <w:left w:val="single" w:sz="4" w:space="0" w:color="auto"/>
          <w:bottom w:val="single" w:sz="4" w:space="1" w:color="auto"/>
          <w:right w:val="single" w:sz="4" w:space="4" w:color="auto"/>
        </w:pBdr>
        <w:rPr>
          <w:rFonts w:ascii="Arial" w:hAnsi="Arial" w:cs="Arial"/>
        </w:rPr>
      </w:pPr>
      <w:r w:rsidRPr="00536D97">
        <w:rPr>
          <w:rFonts w:ascii="Arial" w:hAnsi="Arial" w:cs="Arial"/>
        </w:rPr>
        <w:t xml:space="preserve">Issue 1-2-1: Whether to consider simultaneous </w:t>
      </w:r>
      <w:r w:rsidRPr="004B27AC">
        <w:rPr>
          <w:rFonts w:ascii="Arial" w:hAnsi="Arial" w:cs="Arial"/>
          <w:highlight w:val="cyan"/>
        </w:rPr>
        <w:t>data</w:t>
      </w:r>
      <w:r w:rsidRPr="00536D97">
        <w:rPr>
          <w:rFonts w:ascii="Arial" w:hAnsi="Arial" w:cs="Arial"/>
        </w:rPr>
        <w:t xml:space="preserve"> Rx/Tx with both source cell and target cell during cell switch delay.</w:t>
      </w:r>
      <w:r>
        <w:rPr>
          <w:rFonts w:ascii="Arial" w:hAnsi="Arial" w:cs="Arial"/>
        </w:rPr>
        <w:t xml:space="preserve"> </w:t>
      </w:r>
    </w:p>
    <w:p w14:paraId="24F41188" w14:textId="54924313" w:rsidR="0009295A" w:rsidRDefault="002904AF" w:rsidP="0009295A">
      <w:r>
        <w:t xml:space="preserve">Supporting simultaneous </w:t>
      </w:r>
      <w:r w:rsidR="0009295A">
        <w:t xml:space="preserve">data Rx/Tx would need UE to either support DAPS or multi-Rx / (multi-Tx) capabilities. As discussed in RAN4 #104e and #104e-bis, DAPS-based solution for simultaneous data Rx/Tx would come with the price of high UE complexity. Furthermore, it is not recommended to mix ongoing RAN4 work items (NR_Mob_Enh2 and Multi-Rx). </w:t>
      </w:r>
      <w:r>
        <w:t>Therefore,</w:t>
      </w:r>
      <w:r w:rsidR="0009295A">
        <w:t xml:space="preserve"> we propose that within the context of Rel-18, LTM work can focus on the scenario where source and target cell data transmission </w:t>
      </w:r>
      <w:r w:rsidR="00F73CF3">
        <w:t>have</w:t>
      </w:r>
      <w:r w:rsidR="0009295A">
        <w:t xml:space="preserve"> an interruption delay starting from LTM Cell switch command. </w:t>
      </w:r>
    </w:p>
    <w:p w14:paraId="0BD0E775" w14:textId="57D0DB32" w:rsidR="003331B9" w:rsidRPr="003331B9" w:rsidRDefault="003331B9" w:rsidP="003331B9">
      <w:pPr>
        <w:pStyle w:val="RAN4proposal"/>
        <w:rPr>
          <w:bCs/>
          <w:color w:val="000000"/>
          <w:szCs w:val="24"/>
        </w:rPr>
      </w:pPr>
      <w:bookmarkStart w:id="10" w:name="_Toc127564187"/>
      <w:r>
        <w:rPr>
          <w:bCs/>
        </w:rPr>
        <w:t>Deprioritize</w:t>
      </w:r>
      <w:r>
        <w:t xml:space="preserve"> DAPS based simultaneous data Rx/Tx with both source cell and target cell</w:t>
      </w:r>
      <w:r w:rsidR="00F73CF3">
        <w:t xml:space="preserve"> during LTM switch</w:t>
      </w:r>
      <w:r w:rsidR="0059437C">
        <w:t>.</w:t>
      </w:r>
      <w:bookmarkEnd w:id="10"/>
    </w:p>
    <w:p w14:paraId="54E8250A" w14:textId="1C522183" w:rsidR="00C45C86" w:rsidRDefault="00C45C86" w:rsidP="00C45C86">
      <w:pPr>
        <w:pStyle w:val="RAN4H2"/>
        <w:rPr>
          <w:lang w:val="en-GB"/>
        </w:rPr>
      </w:pPr>
      <w:r>
        <w:rPr>
          <w:lang w:val="en-GB"/>
        </w:rPr>
        <w:t xml:space="preserve">LTM Intra-frequency and Inter-frequency support </w:t>
      </w:r>
    </w:p>
    <w:p w14:paraId="68E1D615" w14:textId="77777777" w:rsidR="00C45C86" w:rsidRPr="00536D97" w:rsidRDefault="00C45C86" w:rsidP="00C45C86">
      <w:pPr>
        <w:pBdr>
          <w:top w:val="single" w:sz="4" w:space="1" w:color="auto"/>
          <w:left w:val="single" w:sz="4" w:space="4" w:color="auto"/>
          <w:bottom w:val="single" w:sz="4" w:space="1" w:color="auto"/>
          <w:right w:val="single" w:sz="4" w:space="4" w:color="auto"/>
        </w:pBdr>
        <w:rPr>
          <w:rFonts w:ascii="Arial" w:hAnsi="Arial" w:cs="Arial"/>
        </w:rPr>
      </w:pPr>
      <w:r w:rsidRPr="00536D97">
        <w:rPr>
          <w:rFonts w:ascii="Arial" w:hAnsi="Arial" w:cs="Arial"/>
        </w:rPr>
        <w:t>Issue 1-3-1: Whether to cover inter-frequency cell switch</w:t>
      </w:r>
    </w:p>
    <w:p w14:paraId="3ADEE196" w14:textId="77777777" w:rsidR="00C45C86" w:rsidRPr="00536D97" w:rsidRDefault="00C45C86" w:rsidP="00830605">
      <w:pPr>
        <w:rPr>
          <w:rFonts w:ascii="Arial" w:hAnsi="Arial" w:cs="Arial"/>
          <w:szCs w:val="20"/>
        </w:rPr>
      </w:pPr>
      <w:r w:rsidRPr="00536D97">
        <w:t>In our last meeting, we have clarified the definition of intra/inter-frequency measurement. In RAN1, it is also agreed that:</w:t>
      </w:r>
    </w:p>
    <w:p w14:paraId="1380F7EF" w14:textId="77777777" w:rsidR="00C45C86" w:rsidRPr="00536D97" w:rsidRDefault="00C45C86" w:rsidP="00C45C86">
      <w:pPr>
        <w:pStyle w:val="paragraph"/>
        <w:spacing w:before="0" w:beforeAutospacing="0" w:after="0" w:afterAutospacing="0"/>
        <w:textAlignment w:val="baseline"/>
        <w:rPr>
          <w:rFonts w:ascii="Arial" w:hAnsi="Arial" w:cs="Arial"/>
          <w:sz w:val="20"/>
          <w:szCs w:val="20"/>
        </w:rPr>
      </w:pPr>
    </w:p>
    <w:tbl>
      <w:tblPr>
        <w:tblStyle w:val="TableGrid"/>
        <w:tblW w:w="0" w:type="auto"/>
        <w:tblLook w:val="04A0" w:firstRow="1" w:lastRow="0" w:firstColumn="1" w:lastColumn="0" w:noHBand="0" w:noVBand="1"/>
      </w:tblPr>
      <w:tblGrid>
        <w:gridCol w:w="9617"/>
      </w:tblGrid>
      <w:tr w:rsidR="00D332CD" w14:paraId="2F5686B2" w14:textId="77777777" w:rsidTr="00D332CD">
        <w:tc>
          <w:tcPr>
            <w:tcW w:w="9617" w:type="dxa"/>
          </w:tcPr>
          <w:p w14:paraId="4F16E8A0" w14:textId="0460BD21" w:rsidR="00D332CD" w:rsidRPr="00D332CD" w:rsidRDefault="00D332CD" w:rsidP="00D332CD">
            <w:pPr>
              <w:pStyle w:val="paragraph"/>
              <w:spacing w:before="0" w:beforeAutospacing="0" w:after="0" w:afterAutospacing="0"/>
              <w:textAlignment w:val="baseline"/>
              <w:rPr>
                <w:rFonts w:ascii="Arial" w:hAnsi="Arial" w:cs="Arial"/>
                <w:b/>
                <w:bCs/>
                <w:sz w:val="20"/>
                <w:szCs w:val="20"/>
              </w:rPr>
            </w:pPr>
            <w:r w:rsidRPr="00D332CD">
              <w:rPr>
                <w:rFonts w:ascii="Arial" w:hAnsi="Arial" w:cs="Arial"/>
                <w:b/>
                <w:bCs/>
                <w:sz w:val="20"/>
                <w:szCs w:val="20"/>
              </w:rPr>
              <w:t xml:space="preserve">RAN1 agreement: </w:t>
            </w:r>
          </w:p>
          <w:p w14:paraId="257A3781" w14:textId="4059C63D" w:rsidR="00D332CD" w:rsidRPr="00536D97" w:rsidRDefault="00D332CD" w:rsidP="00D332CD">
            <w:pPr>
              <w:pStyle w:val="paragraph"/>
              <w:spacing w:before="0" w:beforeAutospacing="0" w:after="0" w:afterAutospacing="0"/>
              <w:textAlignment w:val="baseline"/>
              <w:rPr>
                <w:rFonts w:ascii="Arial" w:hAnsi="Arial" w:cs="Arial"/>
                <w:sz w:val="20"/>
                <w:szCs w:val="20"/>
              </w:rPr>
            </w:pPr>
            <w:r w:rsidRPr="00536D97">
              <w:rPr>
                <w:rFonts w:ascii="Arial" w:hAnsi="Arial" w:cs="Arial"/>
                <w:sz w:val="20"/>
                <w:szCs w:val="20"/>
              </w:rPr>
              <w:lastRenderedPageBreak/>
              <w:t>For candidate cell measurement for Rel-18 LTM,  </w:t>
            </w:r>
          </w:p>
          <w:p w14:paraId="5CB0055C" w14:textId="77777777" w:rsidR="00D332CD" w:rsidRPr="00536D97" w:rsidRDefault="00D332CD" w:rsidP="00D332CD">
            <w:pPr>
              <w:pStyle w:val="Agreement"/>
              <w:rPr>
                <w:rFonts w:cs="Arial"/>
                <w:szCs w:val="20"/>
              </w:rPr>
            </w:pPr>
            <w:r w:rsidRPr="00536D97">
              <w:rPr>
                <w:rFonts w:cs="Arial"/>
                <w:szCs w:val="20"/>
              </w:rPr>
              <w:tab/>
              <w:t>SSB based L1-RSRP is supported for intra-frequency measurement </w:t>
            </w:r>
          </w:p>
          <w:p w14:paraId="67CA8EC9" w14:textId="77777777" w:rsidR="00D332CD" w:rsidRPr="00536D97" w:rsidRDefault="00D332CD" w:rsidP="00D332CD">
            <w:pPr>
              <w:pStyle w:val="Agreement"/>
              <w:rPr>
                <w:rFonts w:cs="Arial"/>
                <w:szCs w:val="20"/>
              </w:rPr>
            </w:pPr>
            <w:r w:rsidRPr="00536D97">
              <w:rPr>
                <w:rFonts w:cs="Arial"/>
                <w:szCs w:val="20"/>
              </w:rPr>
              <w:tab/>
              <w:t>SSB based L1-RSRP is supported for inter-frequency measurement from RAN1 point of view </w:t>
            </w:r>
          </w:p>
          <w:p w14:paraId="60D4923B" w14:textId="77777777" w:rsidR="00D332CD" w:rsidRPr="00536D97" w:rsidRDefault="00D332CD" w:rsidP="00D332CD">
            <w:pPr>
              <w:pStyle w:val="Agreement"/>
              <w:rPr>
                <w:rFonts w:cs="Arial"/>
                <w:szCs w:val="20"/>
              </w:rPr>
            </w:pPr>
            <w:r w:rsidRPr="00536D97">
              <w:rPr>
                <w:rFonts w:cs="Arial"/>
                <w:szCs w:val="20"/>
              </w:rPr>
              <w:tab/>
              <w:t>FFS: L1-SINR, CSI-RS based L1-RSRP </w:t>
            </w:r>
          </w:p>
          <w:p w14:paraId="699FB7AE" w14:textId="77777777" w:rsidR="00D332CD" w:rsidRPr="00D332CD" w:rsidRDefault="00D332CD" w:rsidP="00C45C86">
            <w:pPr>
              <w:rPr>
                <w:rFonts w:ascii="Arial" w:hAnsi="Arial" w:cs="Arial"/>
                <w:lang w:val="en-GB"/>
              </w:rPr>
            </w:pPr>
          </w:p>
        </w:tc>
      </w:tr>
    </w:tbl>
    <w:p w14:paraId="31EEE1CD" w14:textId="77777777" w:rsidR="00C45C86" w:rsidRPr="00536D97" w:rsidRDefault="00C45C86" w:rsidP="00C45C86">
      <w:pPr>
        <w:rPr>
          <w:rFonts w:ascii="Arial" w:hAnsi="Arial" w:cs="Arial"/>
        </w:rPr>
      </w:pPr>
    </w:p>
    <w:p w14:paraId="34593C5B" w14:textId="02046C75" w:rsidR="00C45C86" w:rsidRDefault="00FC3F27" w:rsidP="00C45C86">
      <w:r>
        <w:t>I</w:t>
      </w:r>
      <w:r w:rsidR="00C45C86" w:rsidRPr="00536D97">
        <w:t>nter-frequency measurement</w:t>
      </w:r>
      <w:r>
        <w:t xml:space="preserve">s are </w:t>
      </w:r>
      <w:r w:rsidR="00DB2B19">
        <w:t xml:space="preserve">important scenario, and it should be supported. However, to progress the discussion on various open design aspects of LTM, we should first focus on resolving the LTM </w:t>
      </w:r>
      <w:r w:rsidR="002E7706">
        <w:t xml:space="preserve">requirements for intra-frequency scenario. Therefore, for now </w:t>
      </w:r>
      <w:r w:rsidR="00C45C86" w:rsidRPr="00536D97">
        <w:t xml:space="preserve">RAN4 </w:t>
      </w:r>
      <w:r w:rsidR="002E7706">
        <w:t xml:space="preserve">should </w:t>
      </w:r>
      <w:r w:rsidR="00C45C86" w:rsidRPr="00536D97">
        <w:t>priori</w:t>
      </w:r>
      <w:r w:rsidR="00C45C86">
        <w:t>ti</w:t>
      </w:r>
      <w:r w:rsidR="00C45C86" w:rsidRPr="00536D97">
        <w:t xml:space="preserve">ze the discussion of intra-frequency related </w:t>
      </w:r>
      <w:r w:rsidR="00963611" w:rsidRPr="00536D97">
        <w:t>topic</w:t>
      </w:r>
      <w:r w:rsidR="00963611">
        <w:t xml:space="preserve"> and</w:t>
      </w:r>
      <w:r w:rsidR="002E7706">
        <w:t xml:space="preserve"> move to inter-frequency after </w:t>
      </w:r>
      <w:r w:rsidR="00471720">
        <w:t xml:space="preserve">intra-frequency is clear. </w:t>
      </w:r>
    </w:p>
    <w:p w14:paraId="5E6D4DF4" w14:textId="77777777" w:rsidR="00C45C86" w:rsidRPr="00D84649" w:rsidRDefault="00C45C86" w:rsidP="00C45C86">
      <w:pPr>
        <w:pStyle w:val="RAN4observation0"/>
      </w:pPr>
      <w:bookmarkStart w:id="11" w:name="_Toc127564188"/>
      <w:r>
        <w:t>One of the key objectives of LTM is to minimise the interruption delay (in specific scenarios).</w:t>
      </w:r>
      <w:bookmarkEnd w:id="11"/>
      <w:r>
        <w:t xml:space="preserve"> </w:t>
      </w:r>
    </w:p>
    <w:p w14:paraId="37260BFB" w14:textId="04B2A983" w:rsidR="00A803E1" w:rsidRPr="00277E04" w:rsidRDefault="00C45C86" w:rsidP="00A803E1">
      <w:pPr>
        <w:pStyle w:val="RAN4observation0"/>
      </w:pPr>
      <w:bookmarkStart w:id="12" w:name="_Toc127564189"/>
      <w:r>
        <w:t>Intra-frequency LTM interruption delay is expected to be lower than inter-frequency delay. Therefore, RAN4 should focus on defining scenarios and conditions where interruption delay can be minimised.</w:t>
      </w:r>
      <w:bookmarkEnd w:id="12"/>
      <w:r>
        <w:t xml:space="preserve">  </w:t>
      </w:r>
    </w:p>
    <w:p w14:paraId="1D9F830B" w14:textId="6F895A94" w:rsidR="00C45C86" w:rsidRPr="00C36655" w:rsidRDefault="00C45C86" w:rsidP="00C45C86">
      <w:pPr>
        <w:pStyle w:val="RAN4proposal"/>
        <w:rPr>
          <w:lang w:val="en-GB"/>
        </w:rPr>
      </w:pPr>
      <w:bookmarkStart w:id="13" w:name="_Toc127564190"/>
      <w:r>
        <w:rPr>
          <w:lang w:val="en-GB"/>
        </w:rPr>
        <w:t xml:space="preserve">RAN4 </w:t>
      </w:r>
      <w:r w:rsidRPr="00C36655">
        <w:rPr>
          <w:lang w:val="en-GB"/>
        </w:rPr>
        <w:t>to focus first on intra-frequency LTM scenarios and subsequently define inter-frequency LTM scenarios</w:t>
      </w:r>
      <w:r w:rsidR="00277E04" w:rsidRPr="00C36655">
        <w:rPr>
          <w:lang w:val="en-GB"/>
        </w:rPr>
        <w:t>.</w:t>
      </w:r>
      <w:bookmarkEnd w:id="13"/>
      <w:r w:rsidR="00277E04" w:rsidRPr="00C36655">
        <w:rPr>
          <w:lang w:val="en-GB"/>
        </w:rPr>
        <w:t xml:space="preserve"> </w:t>
      </w:r>
    </w:p>
    <w:p w14:paraId="51B5D604" w14:textId="588D0452" w:rsidR="00C45C86" w:rsidRPr="00C36655" w:rsidRDefault="00C45C86" w:rsidP="00E96B65">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Fonts w:ascii="Arial" w:hAnsi="Arial" w:cs="Arial"/>
          <w:sz w:val="20"/>
          <w:szCs w:val="20"/>
          <w:lang w:val="en-GB"/>
        </w:rPr>
      </w:pPr>
      <w:r w:rsidRPr="00C36655">
        <w:rPr>
          <w:rStyle w:val="normaltextrun"/>
          <w:rFonts w:ascii="Arial" w:hAnsi="Arial" w:cs="Arial"/>
          <w:sz w:val="20"/>
          <w:szCs w:val="20"/>
          <w:lang w:val="en-GB"/>
        </w:rPr>
        <w:t>Issue 1-3-2: Definition of inter-</w:t>
      </w:r>
      <w:r w:rsidRPr="00F71B68">
        <w:rPr>
          <w:rStyle w:val="normaltextrun"/>
          <w:rFonts w:ascii="Arial" w:hAnsi="Arial" w:cs="Arial"/>
          <w:sz w:val="20"/>
          <w:szCs w:val="20"/>
          <w:lang w:val="en-GB"/>
        </w:rPr>
        <w:t>frequency </w:t>
      </w:r>
      <w:r w:rsidRPr="00F71B68">
        <w:rPr>
          <w:rStyle w:val="normaltextrun"/>
          <w:rFonts w:ascii="Arial" w:hAnsi="Arial" w:cs="Arial"/>
          <w:sz w:val="20"/>
          <w:szCs w:val="20"/>
          <w:shd w:val="clear" w:color="auto" w:fill="FFFF00"/>
          <w:lang w:val="en-GB"/>
        </w:rPr>
        <w:t>cell switch</w:t>
      </w:r>
      <w:r w:rsidRPr="00C36655">
        <w:rPr>
          <w:rStyle w:val="eop"/>
          <w:rFonts w:ascii="Arial" w:hAnsi="Arial" w:cs="Arial"/>
          <w:sz w:val="20"/>
          <w:szCs w:val="20"/>
          <w:lang w:val="en-GB"/>
        </w:rPr>
        <w:t> </w:t>
      </w:r>
    </w:p>
    <w:p w14:paraId="5043E935" w14:textId="77777777" w:rsidR="00E96B65" w:rsidRPr="00C36655" w:rsidRDefault="00E96B65" w:rsidP="00C45C86">
      <w:pPr>
        <w:rPr>
          <w:rFonts w:ascii="Arial" w:hAnsi="Arial" w:cs="Arial"/>
        </w:rPr>
      </w:pPr>
    </w:p>
    <w:p w14:paraId="47E04573" w14:textId="70B1F2AB" w:rsidR="00C45C86" w:rsidRPr="00536D97" w:rsidRDefault="0062292E" w:rsidP="00C45C86">
      <w:r w:rsidRPr="00C36655">
        <w:t xml:space="preserve">Even if intra-frequency </w:t>
      </w:r>
      <w:r w:rsidR="00353C5B" w:rsidRPr="00C36655">
        <w:t xml:space="preserve">design is </w:t>
      </w:r>
      <w:r w:rsidRPr="00C36655">
        <w:t xml:space="preserve">prioritized over inter-frequency </w:t>
      </w:r>
      <w:r w:rsidR="00353C5B" w:rsidRPr="00C36655">
        <w:t xml:space="preserve">design, </w:t>
      </w:r>
      <w:r w:rsidR="008D6C23" w:rsidRPr="00C36655">
        <w:t xml:space="preserve">in </w:t>
      </w:r>
      <w:r w:rsidR="00C45C86" w:rsidRPr="00C36655">
        <w:t xml:space="preserve">order to be consistent with the definition of inter-frequency measurements, </w:t>
      </w:r>
      <w:r w:rsidR="00E96B65" w:rsidRPr="00C36655">
        <w:t>LTM should follow the existing RAN4 definitions. W</w:t>
      </w:r>
      <w:r w:rsidR="00C45C86" w:rsidRPr="00C36655">
        <w:t>e propose the definition of inter-frequency switch as the SSB of the target cell is of different frequency layer and of different sub carrier spacing as that of the source cell.</w:t>
      </w:r>
      <w:r w:rsidR="00C45C86" w:rsidRPr="00536D97">
        <w:t xml:space="preserve"> </w:t>
      </w:r>
    </w:p>
    <w:p w14:paraId="01D51922" w14:textId="77777777" w:rsidR="00C45C86" w:rsidRPr="00C45C86" w:rsidRDefault="00C45C86" w:rsidP="00C45C86">
      <w:pPr>
        <w:pStyle w:val="RAN4proposal"/>
      </w:pPr>
      <w:bookmarkStart w:id="14" w:name="_Toc122427969"/>
      <w:bookmarkStart w:id="15" w:name="_Toc127564191"/>
      <w:r>
        <w:t>I</w:t>
      </w:r>
      <w:r w:rsidRPr="0064768E">
        <w:t xml:space="preserve">nter-frequency cell switch </w:t>
      </w:r>
      <w:r>
        <w:t xml:space="preserve">is defined </w:t>
      </w:r>
      <w:r w:rsidRPr="0064768E">
        <w:t>as the switch from the source cell to target cell in which the SSB of the source cell is of different frequency layer and of different sub carrier spacing as that of the target cell.</w:t>
      </w:r>
      <w:bookmarkEnd w:id="14"/>
      <w:bookmarkEnd w:id="15"/>
      <w:r w:rsidRPr="0064768E">
        <w:t xml:space="preserve"> </w:t>
      </w:r>
    </w:p>
    <w:p w14:paraId="1F9301AD" w14:textId="4B27CFBB" w:rsidR="003D7EF6" w:rsidRDefault="0038157C" w:rsidP="000C540C">
      <w:pPr>
        <w:pStyle w:val="RAN4H2"/>
      </w:pPr>
      <w:r>
        <w:t xml:space="preserve">Synchronous </w:t>
      </w:r>
      <w:r w:rsidR="00226AD8">
        <w:t>vs.</w:t>
      </w:r>
      <w:r>
        <w:t xml:space="preserve"> non-synchronous definition</w:t>
      </w:r>
    </w:p>
    <w:p w14:paraId="65F0678D" w14:textId="580A5C2E" w:rsidR="00F114FF" w:rsidRPr="00645451" w:rsidRDefault="00F85A9A" w:rsidP="00F114FF">
      <w:bookmarkStart w:id="16" w:name="_Toc122427956"/>
      <w:bookmarkStart w:id="17" w:name="_Toc122427971"/>
      <w:r w:rsidRPr="00F85A9A">
        <w:t>The last meeting way forward (R4-2220403) captures the following issues:</w:t>
      </w:r>
    </w:p>
    <w:tbl>
      <w:tblPr>
        <w:tblStyle w:val="TableGrid"/>
        <w:tblW w:w="0" w:type="auto"/>
        <w:tblLook w:val="04A0" w:firstRow="1" w:lastRow="0" w:firstColumn="1" w:lastColumn="0" w:noHBand="0" w:noVBand="1"/>
      </w:tblPr>
      <w:tblGrid>
        <w:gridCol w:w="9617"/>
      </w:tblGrid>
      <w:tr w:rsidR="00D1174C" w14:paraId="63A51D97" w14:textId="77777777" w:rsidTr="00D1174C">
        <w:tc>
          <w:tcPr>
            <w:tcW w:w="9617" w:type="dxa"/>
          </w:tcPr>
          <w:p w14:paraId="0BBD5D1E" w14:textId="77777777" w:rsidR="00D1174C" w:rsidRPr="003642F9" w:rsidRDefault="00D1174C" w:rsidP="00D1174C">
            <w:pPr>
              <w:spacing w:after="120"/>
              <w:jc w:val="left"/>
              <w:rPr>
                <w:rFonts w:eastAsia="Times New Roman" w:cs="Times New Roman"/>
                <w:sz w:val="16"/>
                <w:szCs w:val="16"/>
                <w:lang w:val="en-GB" w:eastAsia="zh-CN"/>
              </w:rPr>
            </w:pPr>
            <w:r w:rsidRPr="003642F9">
              <w:rPr>
                <w:rFonts w:eastAsia="Times New Roman" w:cs="Times New Roman"/>
                <w:b/>
                <w:bCs/>
                <w:sz w:val="16"/>
                <w:szCs w:val="16"/>
                <w:u w:val="single"/>
                <w:lang w:val="en-GB" w:eastAsia="zh-CN"/>
              </w:rPr>
              <w:t>Issue 1-4-1: Whether to consider RTD of serving cell and neighbour cell larger than one CP for intra-frequencyL1-RSRP measurement</w:t>
            </w:r>
          </w:p>
          <w:p w14:paraId="7AAA09AF" w14:textId="77777777" w:rsidR="00D1174C" w:rsidRPr="003642F9" w:rsidRDefault="00D1174C" w:rsidP="00D1174C">
            <w:pPr>
              <w:spacing w:after="120"/>
              <w:ind w:left="540"/>
              <w:jc w:val="left"/>
              <w:rPr>
                <w:rFonts w:eastAsia="Times New Roman" w:cs="Times New Roman"/>
                <w:sz w:val="16"/>
                <w:szCs w:val="16"/>
                <w:lang w:val="en-GB" w:eastAsia="zh-CN"/>
              </w:rPr>
            </w:pPr>
            <w:r w:rsidRPr="003642F9">
              <w:rPr>
                <w:rFonts w:eastAsia="Times New Roman" w:cs="Times New Roman"/>
                <w:b/>
                <w:bCs/>
                <w:sz w:val="16"/>
                <w:szCs w:val="16"/>
                <w:lang w:val="en-GB" w:eastAsia="zh-CN"/>
              </w:rPr>
              <w:t xml:space="preserve">&lt; </w:t>
            </w:r>
            <w:proofErr w:type="spellStart"/>
            <w:r w:rsidRPr="003642F9">
              <w:rPr>
                <w:rFonts w:eastAsia="Times New Roman" w:cs="Times New Roman"/>
                <w:b/>
                <w:bCs/>
                <w:sz w:val="16"/>
                <w:szCs w:val="16"/>
                <w:lang w:val="en-GB" w:eastAsia="zh-CN"/>
              </w:rPr>
              <w:t>Wayforward</w:t>
            </w:r>
            <w:proofErr w:type="spellEnd"/>
            <w:r w:rsidRPr="003642F9">
              <w:rPr>
                <w:rFonts w:eastAsia="Times New Roman" w:cs="Times New Roman"/>
                <w:b/>
                <w:bCs/>
                <w:sz w:val="16"/>
                <w:szCs w:val="16"/>
                <w:lang w:val="en-GB" w:eastAsia="zh-CN"/>
              </w:rPr>
              <w:t xml:space="preserve"> &gt;</w:t>
            </w:r>
            <w:r w:rsidRPr="003642F9">
              <w:rPr>
                <w:rFonts w:eastAsia="Times New Roman" w:cs="Times New Roman"/>
                <w:sz w:val="16"/>
                <w:szCs w:val="16"/>
                <w:lang w:val="en-GB" w:eastAsia="zh-CN"/>
              </w:rPr>
              <w:t>: FFS the following options</w:t>
            </w:r>
          </w:p>
          <w:p w14:paraId="684281D6" w14:textId="77777777" w:rsidR="00D1174C" w:rsidRPr="003642F9" w:rsidRDefault="00D1174C" w:rsidP="00D1174C">
            <w:pPr>
              <w:numPr>
                <w:ilvl w:val="0"/>
                <w:numId w:val="45"/>
              </w:numPr>
              <w:spacing w:after="120"/>
              <w:jc w:val="left"/>
              <w:textAlignment w:val="center"/>
              <w:rPr>
                <w:rFonts w:ascii="Calibri" w:eastAsia="Times New Roman" w:hAnsi="Calibri" w:cs="Calibri"/>
                <w:sz w:val="18"/>
                <w:szCs w:val="18"/>
                <w:lang w:val="en-GB" w:eastAsia="zh-CN"/>
              </w:rPr>
            </w:pPr>
            <w:r w:rsidRPr="003642F9">
              <w:rPr>
                <w:rFonts w:eastAsia="Times New Roman" w:cs="Times New Roman"/>
                <w:sz w:val="16"/>
                <w:szCs w:val="16"/>
                <w:lang w:val="en-GB" w:eastAsia="zh-CN"/>
              </w:rPr>
              <w:t>Option 1 (MTK, Xiaomi, OPPO, vivo): Start the discussion from RTD of serving cell and neighbour cell within one CP for SSB based L1-RSRP measurement. FFS impact to UE complexity, measurement delay and interruptions for RTD&gt;CP.</w:t>
            </w:r>
          </w:p>
          <w:p w14:paraId="5A7BE8CD" w14:textId="77777777" w:rsidR="00D1174C" w:rsidRPr="003642F9" w:rsidRDefault="00D1174C" w:rsidP="00D1174C">
            <w:pPr>
              <w:numPr>
                <w:ilvl w:val="0"/>
                <w:numId w:val="45"/>
              </w:numPr>
              <w:spacing w:after="120"/>
              <w:jc w:val="left"/>
              <w:textAlignment w:val="center"/>
              <w:rPr>
                <w:rFonts w:ascii="Calibri" w:eastAsia="Times New Roman" w:hAnsi="Calibri" w:cs="Calibri"/>
                <w:sz w:val="18"/>
                <w:szCs w:val="18"/>
                <w:lang w:val="en-GB" w:eastAsia="zh-CN"/>
              </w:rPr>
            </w:pPr>
            <w:r w:rsidRPr="003642F9">
              <w:rPr>
                <w:rFonts w:eastAsia="Times New Roman" w:cs="Times New Roman"/>
                <w:sz w:val="16"/>
                <w:szCs w:val="16"/>
                <w:lang w:val="en-GB" w:eastAsia="zh-CN"/>
              </w:rPr>
              <w:t>Option 2 (Intel, Ericsson, QC): No need to restrict the RTD between serving cell and neighbour cell to be within CP for SSB-based L1-RSRP measurement</w:t>
            </w:r>
          </w:p>
          <w:p w14:paraId="5E9ED630" w14:textId="77777777" w:rsidR="00D1174C" w:rsidRPr="003642F9" w:rsidRDefault="00D1174C" w:rsidP="00D1174C">
            <w:pPr>
              <w:numPr>
                <w:ilvl w:val="0"/>
                <w:numId w:val="45"/>
              </w:numPr>
              <w:spacing w:after="120"/>
              <w:jc w:val="left"/>
              <w:textAlignment w:val="center"/>
              <w:rPr>
                <w:rFonts w:ascii="Calibri" w:eastAsia="Times New Roman" w:hAnsi="Calibri" w:cs="Calibri"/>
                <w:sz w:val="18"/>
                <w:szCs w:val="18"/>
                <w:lang w:val="en-GB" w:eastAsia="zh-CN"/>
              </w:rPr>
            </w:pPr>
            <w:r w:rsidRPr="003642F9">
              <w:rPr>
                <w:rFonts w:eastAsia="Times New Roman" w:cs="Times New Roman"/>
                <w:sz w:val="16"/>
                <w:szCs w:val="16"/>
                <w:lang w:val="en-GB" w:eastAsia="zh-CN"/>
              </w:rPr>
              <w:t>Option 3 (Apple): FFS after L1 measurement procedure become clearer and more stable.</w:t>
            </w:r>
          </w:p>
          <w:p w14:paraId="0E8BE7DA" w14:textId="77777777" w:rsidR="00D1174C" w:rsidRPr="003642F9" w:rsidRDefault="00D1174C" w:rsidP="00D1174C">
            <w:pPr>
              <w:numPr>
                <w:ilvl w:val="0"/>
                <w:numId w:val="45"/>
              </w:numPr>
              <w:spacing w:after="120"/>
              <w:jc w:val="left"/>
              <w:textAlignment w:val="center"/>
              <w:rPr>
                <w:rFonts w:ascii="Calibri" w:eastAsia="Times New Roman" w:hAnsi="Calibri" w:cs="Calibri"/>
                <w:sz w:val="18"/>
                <w:szCs w:val="18"/>
                <w:lang w:val="en-GB" w:eastAsia="zh-CN"/>
              </w:rPr>
            </w:pPr>
            <w:r w:rsidRPr="003642F9">
              <w:rPr>
                <w:rFonts w:eastAsia="Times New Roman" w:cs="Times New Roman"/>
                <w:sz w:val="16"/>
                <w:szCs w:val="16"/>
                <w:lang w:val="en-GB" w:eastAsia="zh-CN"/>
              </w:rPr>
              <w:t>Option 4 (CATT, vivo): depends on UE implementation</w:t>
            </w:r>
          </w:p>
          <w:p w14:paraId="284A45B4" w14:textId="77777777" w:rsidR="00D1174C" w:rsidRPr="003642F9" w:rsidRDefault="00D1174C" w:rsidP="00D1174C">
            <w:pPr>
              <w:numPr>
                <w:ilvl w:val="1"/>
                <w:numId w:val="45"/>
              </w:numPr>
              <w:spacing w:after="120"/>
              <w:jc w:val="left"/>
              <w:textAlignment w:val="center"/>
              <w:rPr>
                <w:rFonts w:ascii="Calibri" w:eastAsia="Times New Roman" w:hAnsi="Calibri" w:cs="Calibri"/>
                <w:sz w:val="18"/>
                <w:szCs w:val="18"/>
                <w:lang w:val="en-GB" w:eastAsia="zh-CN"/>
              </w:rPr>
            </w:pPr>
            <w:r w:rsidRPr="003642F9">
              <w:rPr>
                <w:rFonts w:eastAsia="Times New Roman" w:cs="Times New Roman"/>
                <w:sz w:val="16"/>
                <w:szCs w:val="16"/>
                <w:lang w:val="en-GB" w:eastAsia="zh-CN"/>
              </w:rPr>
              <w:t>FFS: Whether to relax the RTD&lt; CP restriction can be an optional capability of UE.</w:t>
            </w:r>
          </w:p>
          <w:p w14:paraId="15B1DE2D" w14:textId="50577CB8" w:rsidR="00D1174C" w:rsidRPr="00CA79E7" w:rsidRDefault="00D1174C" w:rsidP="00CA79E7">
            <w:pPr>
              <w:numPr>
                <w:ilvl w:val="0"/>
                <w:numId w:val="45"/>
              </w:numPr>
              <w:spacing w:after="120"/>
              <w:jc w:val="left"/>
              <w:textAlignment w:val="center"/>
              <w:rPr>
                <w:rFonts w:ascii="Calibri" w:eastAsia="Times New Roman" w:hAnsi="Calibri" w:cs="Calibri"/>
                <w:sz w:val="22"/>
                <w:lang w:val="en-GB" w:eastAsia="zh-CN"/>
              </w:rPr>
            </w:pPr>
            <w:r w:rsidRPr="003642F9">
              <w:rPr>
                <w:rFonts w:eastAsia="Times New Roman" w:cs="Times New Roman"/>
                <w:sz w:val="16"/>
                <w:szCs w:val="16"/>
                <w:lang w:val="en-GB" w:eastAsia="zh-CN"/>
              </w:rPr>
              <w:t xml:space="preserve">Option 5(Huawei): For SSB based L1-RSRP, discuss whether Rx time difference between serving cell and </w:t>
            </w:r>
            <w:proofErr w:type="spellStart"/>
            <w:r w:rsidRPr="003642F9">
              <w:rPr>
                <w:rFonts w:eastAsia="Times New Roman" w:cs="Times New Roman"/>
                <w:sz w:val="16"/>
                <w:szCs w:val="16"/>
                <w:lang w:val="en-GB" w:eastAsia="zh-CN"/>
              </w:rPr>
              <w:t>non serving</w:t>
            </w:r>
            <w:proofErr w:type="spellEnd"/>
            <w:r w:rsidRPr="003642F9">
              <w:rPr>
                <w:rFonts w:eastAsia="Times New Roman" w:cs="Times New Roman"/>
                <w:sz w:val="16"/>
                <w:szCs w:val="16"/>
                <w:lang w:val="en-GB" w:eastAsia="zh-CN"/>
              </w:rPr>
              <w:t xml:space="preserve"> cell is larger than [x]us. Whether UE supports out of [x]us depends on UE capability.</w:t>
            </w:r>
          </w:p>
        </w:tc>
      </w:tr>
    </w:tbl>
    <w:p w14:paraId="2C7209AA" w14:textId="77777777" w:rsidR="00F114FF" w:rsidRDefault="00F114FF" w:rsidP="00F114FF">
      <w:pPr>
        <w:rPr>
          <w:rFonts w:ascii="Arial" w:hAnsi="Arial" w:cs="Arial"/>
        </w:rPr>
      </w:pPr>
    </w:p>
    <w:p w14:paraId="32E8E79D" w14:textId="2DFE34CF" w:rsidR="002129A4" w:rsidRPr="002129A4" w:rsidRDefault="00DE6E8B" w:rsidP="002129A4">
      <w:pPr>
        <w:rPr>
          <w:lang w:val="en-GB" w:eastAsia="zh-CN"/>
        </w:rPr>
      </w:pPr>
      <w:r>
        <w:t xml:space="preserve">In the last meeting, it was discussed </w:t>
      </w:r>
      <w:r w:rsidR="009B454F">
        <w:t>whether “</w:t>
      </w:r>
      <w:r w:rsidRPr="009B454F">
        <w:rPr>
          <w:i/>
          <w:iCs/>
        </w:rPr>
        <w:t xml:space="preserve">RTD of serving cell and </w:t>
      </w:r>
      <w:proofErr w:type="spellStart"/>
      <w:r w:rsidRPr="009B454F">
        <w:rPr>
          <w:i/>
          <w:iCs/>
        </w:rPr>
        <w:t>neighbour</w:t>
      </w:r>
      <w:proofErr w:type="spellEnd"/>
      <w:r w:rsidRPr="009B454F">
        <w:rPr>
          <w:i/>
          <w:iCs/>
        </w:rPr>
        <w:t xml:space="preserve"> cell larger than one CP</w:t>
      </w:r>
      <w:r w:rsidR="00187B9B">
        <w:rPr>
          <w:i/>
          <w:iCs/>
        </w:rPr>
        <w:t>”</w:t>
      </w:r>
      <w:r>
        <w:t xml:space="preserve"> is restricted</w:t>
      </w:r>
      <w:r w:rsidR="00187B9B">
        <w:t xml:space="preserve"> to a case where RTD is smaller than one CP</w:t>
      </w:r>
      <w:r>
        <w:t xml:space="preserve">. </w:t>
      </w:r>
      <w:r w:rsidR="002129A4">
        <w:t>In FR2 scenarios, the propagation timing difference can be very short and this type of scenario would limit the LTM deployment</w:t>
      </w:r>
      <w:r w:rsidR="005872D2">
        <w:t xml:space="preserve"> scenarios</w:t>
      </w:r>
      <w:r w:rsidR="002129A4">
        <w:t xml:space="preserve">. </w:t>
      </w:r>
      <w:r w:rsidR="005872D2">
        <w:t xml:space="preserve">Therefore, from network point of view it is not desirable to have this limitation. </w:t>
      </w:r>
    </w:p>
    <w:p w14:paraId="71612948" w14:textId="5FFD6FBA" w:rsidR="002129A4" w:rsidRDefault="002129A4" w:rsidP="002129A4">
      <w:pPr>
        <w:pStyle w:val="RAN4proposal"/>
        <w:rPr>
          <w:lang w:val="en-GB" w:eastAsia="zh-CN"/>
        </w:rPr>
      </w:pPr>
      <w:bookmarkStart w:id="18" w:name="_Toc127564192"/>
      <w:r>
        <w:t>N</w:t>
      </w:r>
      <w:r>
        <w:rPr>
          <w:lang w:val="en-GB" w:eastAsia="zh-CN"/>
        </w:rPr>
        <w:t xml:space="preserve">o </w:t>
      </w:r>
      <w:r w:rsidRPr="00D1174C">
        <w:rPr>
          <w:lang w:val="en-GB" w:eastAsia="zh-CN"/>
        </w:rPr>
        <w:t>need to restrict the RTD between serving cell and neighbour cell to be within CP for SSB-based L1-RSRP measurement</w:t>
      </w:r>
      <w:bookmarkEnd w:id="18"/>
    </w:p>
    <w:p w14:paraId="2962E8C9" w14:textId="77777777" w:rsidR="00D31FD6" w:rsidRPr="00FA2B19" w:rsidRDefault="00D31FD6" w:rsidP="00FA2B19"/>
    <w:p w14:paraId="21BFDE54" w14:textId="175BF4D5" w:rsidR="00CD7492" w:rsidRPr="00EF698B" w:rsidRDefault="00CD7492" w:rsidP="00A37002">
      <w:pPr>
        <w:pStyle w:val="RAN4H1"/>
        <w:rPr>
          <w:lang w:val="en-US"/>
        </w:rPr>
      </w:pPr>
      <w:bookmarkStart w:id="19" w:name="_Toc116995848"/>
      <w:bookmarkEnd w:id="16"/>
      <w:bookmarkEnd w:id="17"/>
      <w:r w:rsidRPr="00EF698B">
        <w:rPr>
          <w:lang w:val="en-US"/>
        </w:rPr>
        <w:lastRenderedPageBreak/>
        <w:t>Conclusion</w:t>
      </w:r>
      <w:bookmarkEnd w:id="19"/>
    </w:p>
    <w:p w14:paraId="03176B14" w14:textId="3F35593A" w:rsidR="00D5270B" w:rsidRPr="00EB4663"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22C92D0D" w14:textId="05851114" w:rsidR="00837F80" w:rsidRDefault="00A4355E">
      <w:pPr>
        <w:pStyle w:val="TOC5"/>
        <w:tabs>
          <w:tab w:val="right" w:leader="dot" w:pos="9617"/>
        </w:tabs>
        <w:rPr>
          <w:rFonts w:asciiTheme="minorHAnsi" w:eastAsiaTheme="minorEastAsia" w:hAnsiTheme="minorHAnsi"/>
          <w:b w:val="0"/>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564186" w:history="1">
        <w:r w:rsidR="00837F80" w:rsidRPr="00851E0F">
          <w:rPr>
            <w:rStyle w:val="Hyperlink"/>
            <w:noProof/>
            <w:lang w:val="en-GB"/>
          </w:rPr>
          <w:t>Proposal 1:</w:t>
        </w:r>
        <w:r w:rsidR="00837F80" w:rsidRPr="00851E0F">
          <w:rPr>
            <w:rStyle w:val="Hyperlink"/>
            <w:noProof/>
          </w:rPr>
          <w:t xml:space="preserve"> RAN4 to define at least two interruption delay scenarios. </w:t>
        </w:r>
        <w:r w:rsidR="00837F80" w:rsidRPr="00851E0F">
          <w:rPr>
            <w:rStyle w:val="Hyperlink"/>
            <w:noProof/>
            <w:lang w:val="en-GB"/>
          </w:rPr>
          <w:t>Scenario 1: Active TCI state switch for LTM; Scenario 2: Interruption time less than L3 HO</w:t>
        </w:r>
      </w:hyperlink>
    </w:p>
    <w:p w14:paraId="1AD2001A" w14:textId="03B28BD5" w:rsidR="00837F80" w:rsidRDefault="00837F80">
      <w:pPr>
        <w:pStyle w:val="TOC5"/>
        <w:tabs>
          <w:tab w:val="right" w:leader="dot" w:pos="9617"/>
        </w:tabs>
        <w:rPr>
          <w:rFonts w:asciiTheme="minorHAnsi" w:eastAsiaTheme="minorEastAsia" w:hAnsiTheme="minorHAnsi"/>
          <w:b w:val="0"/>
          <w:noProof/>
          <w:sz w:val="22"/>
          <w:lang w:val="en-GB" w:eastAsia="en-GB"/>
        </w:rPr>
      </w:pPr>
      <w:hyperlink w:anchor="_Toc127564187" w:history="1">
        <w:r w:rsidRPr="00851E0F">
          <w:rPr>
            <w:rStyle w:val="Hyperlink"/>
            <w:bCs/>
            <w:noProof/>
          </w:rPr>
          <w:t>Proposal 2: Deprioritize</w:t>
        </w:r>
        <w:r w:rsidRPr="00851E0F">
          <w:rPr>
            <w:rStyle w:val="Hyperlink"/>
            <w:noProof/>
          </w:rPr>
          <w:t xml:space="preserve"> DAPS based simultaneous data Rx/Tx with both source cell and target cell during LTM switch.</w:t>
        </w:r>
      </w:hyperlink>
    </w:p>
    <w:p w14:paraId="055A97A7" w14:textId="06BF0B12" w:rsidR="00837F80" w:rsidRDefault="00837F80">
      <w:pPr>
        <w:pStyle w:val="TOC4"/>
        <w:tabs>
          <w:tab w:val="right" w:leader="dot" w:pos="9617"/>
        </w:tabs>
        <w:rPr>
          <w:rFonts w:asciiTheme="minorHAnsi" w:eastAsiaTheme="minorEastAsia" w:hAnsiTheme="minorHAnsi"/>
          <w:noProof/>
          <w:sz w:val="22"/>
          <w:lang w:val="en-GB" w:eastAsia="en-GB"/>
        </w:rPr>
      </w:pPr>
      <w:hyperlink w:anchor="_Toc127564188" w:history="1">
        <w:r w:rsidRPr="00851E0F">
          <w:rPr>
            <w:rStyle w:val="Hyperlink"/>
            <w:b/>
            <w:noProof/>
          </w:rPr>
          <w:t>Observation 1:</w:t>
        </w:r>
        <w:r w:rsidRPr="00851E0F">
          <w:rPr>
            <w:rStyle w:val="Hyperlink"/>
            <w:noProof/>
          </w:rPr>
          <w:t xml:space="preserve"> One of the key objectives of LTM is to minimise the interruption delay (in specific scenarios).</w:t>
        </w:r>
      </w:hyperlink>
    </w:p>
    <w:p w14:paraId="7F78899A" w14:textId="450A9A93" w:rsidR="00837F80" w:rsidRDefault="00837F80">
      <w:pPr>
        <w:pStyle w:val="TOC4"/>
        <w:tabs>
          <w:tab w:val="right" w:leader="dot" w:pos="9617"/>
        </w:tabs>
        <w:rPr>
          <w:rFonts w:asciiTheme="minorHAnsi" w:eastAsiaTheme="minorEastAsia" w:hAnsiTheme="minorHAnsi"/>
          <w:noProof/>
          <w:sz w:val="22"/>
          <w:lang w:val="en-GB" w:eastAsia="en-GB"/>
        </w:rPr>
      </w:pPr>
      <w:hyperlink w:anchor="_Toc127564189" w:history="1">
        <w:r w:rsidRPr="00851E0F">
          <w:rPr>
            <w:rStyle w:val="Hyperlink"/>
            <w:b/>
            <w:noProof/>
          </w:rPr>
          <w:t>Observation 2:</w:t>
        </w:r>
        <w:r w:rsidRPr="00851E0F">
          <w:rPr>
            <w:rStyle w:val="Hyperlink"/>
            <w:noProof/>
          </w:rPr>
          <w:t xml:space="preserve"> Intra-frequency LTM interruption delay is expected to be lower than inter-frequency delay. Therefore, RAN4 should focus on defining scenarios and conditions where interruption delay can be minimised.</w:t>
        </w:r>
      </w:hyperlink>
    </w:p>
    <w:p w14:paraId="4E43D207" w14:textId="1172171D" w:rsidR="00837F80" w:rsidRDefault="00837F80">
      <w:pPr>
        <w:pStyle w:val="TOC5"/>
        <w:tabs>
          <w:tab w:val="right" w:leader="dot" w:pos="9617"/>
        </w:tabs>
        <w:rPr>
          <w:rFonts w:asciiTheme="minorHAnsi" w:eastAsiaTheme="minorEastAsia" w:hAnsiTheme="minorHAnsi"/>
          <w:b w:val="0"/>
          <w:noProof/>
          <w:sz w:val="22"/>
          <w:lang w:val="en-GB" w:eastAsia="en-GB"/>
        </w:rPr>
      </w:pPr>
      <w:hyperlink w:anchor="_Toc127564190" w:history="1">
        <w:r w:rsidRPr="00851E0F">
          <w:rPr>
            <w:rStyle w:val="Hyperlink"/>
            <w:noProof/>
            <w:lang w:val="en-GB"/>
          </w:rPr>
          <w:t>Proposal 3: RAN4 to focus first on intra-frequency LTM scenarios and subsequently define inter-frequency LTM scenarios.</w:t>
        </w:r>
      </w:hyperlink>
    </w:p>
    <w:p w14:paraId="1ADD44C4" w14:textId="11A38C97" w:rsidR="00837F80" w:rsidRDefault="00837F80">
      <w:pPr>
        <w:pStyle w:val="TOC5"/>
        <w:tabs>
          <w:tab w:val="right" w:leader="dot" w:pos="9617"/>
        </w:tabs>
        <w:rPr>
          <w:rFonts w:asciiTheme="minorHAnsi" w:eastAsiaTheme="minorEastAsia" w:hAnsiTheme="minorHAnsi"/>
          <w:b w:val="0"/>
          <w:noProof/>
          <w:sz w:val="22"/>
          <w:lang w:val="en-GB" w:eastAsia="en-GB"/>
        </w:rPr>
      </w:pPr>
      <w:hyperlink w:anchor="_Toc127564191" w:history="1">
        <w:r w:rsidRPr="00851E0F">
          <w:rPr>
            <w:rStyle w:val="Hyperlink"/>
            <w:noProof/>
          </w:rPr>
          <w:t>Proposal 4: Inter-frequency cell switch is defined as the switch from the source cell to target cell in which the SSB of the source cell is of different frequency layer and of different sub carrier spacing as that of the target cell.</w:t>
        </w:r>
      </w:hyperlink>
    </w:p>
    <w:p w14:paraId="35A3CE19" w14:textId="3FD8CDD0" w:rsidR="00837F80" w:rsidRDefault="00837F80">
      <w:pPr>
        <w:pStyle w:val="TOC5"/>
        <w:tabs>
          <w:tab w:val="right" w:leader="dot" w:pos="9617"/>
        </w:tabs>
        <w:rPr>
          <w:rFonts w:asciiTheme="minorHAnsi" w:eastAsiaTheme="minorEastAsia" w:hAnsiTheme="minorHAnsi"/>
          <w:b w:val="0"/>
          <w:noProof/>
          <w:sz w:val="22"/>
          <w:lang w:val="en-GB" w:eastAsia="en-GB"/>
        </w:rPr>
      </w:pPr>
      <w:hyperlink w:anchor="_Toc127564192" w:history="1">
        <w:r w:rsidRPr="00851E0F">
          <w:rPr>
            <w:rStyle w:val="Hyperlink"/>
            <w:noProof/>
            <w:lang w:val="en-GB" w:eastAsia="zh-CN"/>
          </w:rPr>
          <w:t>Proposal 5:</w:t>
        </w:r>
        <w:r w:rsidRPr="00851E0F">
          <w:rPr>
            <w:rStyle w:val="Hyperlink"/>
            <w:noProof/>
          </w:rPr>
          <w:t xml:space="preserve"> N</w:t>
        </w:r>
        <w:r w:rsidRPr="00851E0F">
          <w:rPr>
            <w:rStyle w:val="Hyperlink"/>
            <w:noProof/>
            <w:lang w:val="en-GB" w:eastAsia="zh-CN"/>
          </w:rPr>
          <w:t>o need to restrict the RTD between serving cell and neighbour cell to be within CP for SSB-based L1-RSRP measurement</w:t>
        </w:r>
      </w:hyperlink>
    </w:p>
    <w:p w14:paraId="54A5987E" w14:textId="68266614" w:rsidR="00815C42" w:rsidRDefault="00A4355E" w:rsidP="006209DB">
      <w:pPr>
        <w:rPr>
          <w:noProof/>
        </w:rPr>
      </w:pPr>
      <w:r>
        <w:rPr>
          <w:noProof/>
        </w:rPr>
        <w:fldChar w:fldCharType="end"/>
      </w:r>
      <w:bookmarkStart w:id="20" w:name="_Toc116995849"/>
    </w:p>
    <w:bookmarkEnd w:id="20"/>
    <w:p w14:paraId="01716068" w14:textId="207B9EDF" w:rsidR="00815C42" w:rsidRPr="00FB1F20" w:rsidRDefault="00815C42" w:rsidP="00FB1F20">
      <w:pPr>
        <w:rPr>
          <w:rFonts w:ascii="Arial" w:eastAsia="SimSun" w:hAnsi="Arial" w:cs="Times New Roman"/>
          <w:noProof/>
          <w:sz w:val="36"/>
          <w:szCs w:val="20"/>
          <w:lang w:val="en-GB"/>
        </w:rPr>
      </w:pPr>
    </w:p>
    <w:p w14:paraId="7BC1C2FF" w14:textId="77777777" w:rsidR="0060543D" w:rsidRDefault="0060543D" w:rsidP="000040DC">
      <w:pPr>
        <w:ind w:right="-22"/>
        <w:rPr>
          <w:highlight w:val="yellow"/>
        </w:rPr>
      </w:pPr>
    </w:p>
    <w:p w14:paraId="07EB959D"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0C29" w14:textId="77777777" w:rsidR="00165F3F" w:rsidRDefault="00165F3F" w:rsidP="00001C9B">
      <w:pPr>
        <w:spacing w:after="0" w:line="240" w:lineRule="auto"/>
      </w:pPr>
      <w:r>
        <w:separator/>
      </w:r>
    </w:p>
  </w:endnote>
  <w:endnote w:type="continuationSeparator" w:id="0">
    <w:p w14:paraId="7790C8DA" w14:textId="77777777" w:rsidR="00165F3F" w:rsidRDefault="00165F3F" w:rsidP="00001C9B">
      <w:pPr>
        <w:spacing w:after="0" w:line="240" w:lineRule="auto"/>
      </w:pPr>
      <w:r>
        <w:continuationSeparator/>
      </w:r>
    </w:p>
  </w:endnote>
  <w:endnote w:type="continuationNotice" w:id="1">
    <w:p w14:paraId="3EE01C6D" w14:textId="77777777" w:rsidR="00165F3F" w:rsidRDefault="00165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Jost Medium">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101F7" w14:textId="77777777" w:rsidR="00165F3F" w:rsidRDefault="00165F3F" w:rsidP="00001C9B">
      <w:pPr>
        <w:spacing w:after="0" w:line="240" w:lineRule="auto"/>
      </w:pPr>
      <w:r>
        <w:separator/>
      </w:r>
    </w:p>
  </w:footnote>
  <w:footnote w:type="continuationSeparator" w:id="0">
    <w:p w14:paraId="64AAE5DF" w14:textId="77777777" w:rsidR="00165F3F" w:rsidRDefault="00165F3F" w:rsidP="00001C9B">
      <w:pPr>
        <w:spacing w:after="0" w:line="240" w:lineRule="auto"/>
      </w:pPr>
      <w:r>
        <w:continuationSeparator/>
      </w:r>
    </w:p>
  </w:footnote>
  <w:footnote w:type="continuationNotice" w:id="1">
    <w:p w14:paraId="6ED09EA0" w14:textId="77777777" w:rsidR="00165F3F" w:rsidRDefault="00165F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0009"/>
    <w:multiLevelType w:val="hybridMultilevel"/>
    <w:tmpl w:val="EE360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B71FA"/>
    <w:multiLevelType w:val="hybridMultilevel"/>
    <w:tmpl w:val="ACD4BE4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 w15:restartNumberingAfterBreak="0">
    <w:nsid w:val="021D4858"/>
    <w:multiLevelType w:val="multilevel"/>
    <w:tmpl w:val="57389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C438A"/>
    <w:multiLevelType w:val="multilevel"/>
    <w:tmpl w:val="79ECF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EE0136"/>
    <w:multiLevelType w:val="hybridMultilevel"/>
    <w:tmpl w:val="35E88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36F57"/>
    <w:multiLevelType w:val="multilevel"/>
    <w:tmpl w:val="94724A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8975FA"/>
    <w:multiLevelType w:val="hybridMultilevel"/>
    <w:tmpl w:val="8580F2BC"/>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94909"/>
    <w:multiLevelType w:val="multilevel"/>
    <w:tmpl w:val="36A27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573F69"/>
    <w:multiLevelType w:val="hybridMultilevel"/>
    <w:tmpl w:val="C88C2A8A"/>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111A7"/>
    <w:multiLevelType w:val="hybridMultilevel"/>
    <w:tmpl w:val="875E888E"/>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3F29BE"/>
    <w:multiLevelType w:val="multilevel"/>
    <w:tmpl w:val="32961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1D6AC0"/>
    <w:multiLevelType w:val="hybridMultilevel"/>
    <w:tmpl w:val="14A0BAEA"/>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92EC5"/>
    <w:multiLevelType w:val="hybridMultilevel"/>
    <w:tmpl w:val="0882C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344F56"/>
    <w:multiLevelType w:val="hybridMultilevel"/>
    <w:tmpl w:val="962E11A0"/>
    <w:lvl w:ilvl="0" w:tplc="D87CCA38">
      <w:numFmt w:val="bullet"/>
      <w:lvlText w:val="-"/>
      <w:lvlJc w:val="left"/>
      <w:pPr>
        <w:ind w:left="766" w:hanging="360"/>
      </w:pPr>
      <w:rPr>
        <w:rFonts w:ascii="Times New Roman" w:eastAsiaTheme="minorHAnsi" w:hAnsi="Times New Roman"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36191A35"/>
    <w:multiLevelType w:val="hybridMultilevel"/>
    <w:tmpl w:val="846C8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F63019"/>
    <w:multiLevelType w:val="multilevel"/>
    <w:tmpl w:val="C718A21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285026"/>
    <w:multiLevelType w:val="hybridMultilevel"/>
    <w:tmpl w:val="4622F43A"/>
    <w:lvl w:ilvl="0" w:tplc="2390C3BA">
      <w:start w:val="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D218EA"/>
    <w:multiLevelType w:val="hybridMultilevel"/>
    <w:tmpl w:val="D442A0B8"/>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525E7C"/>
    <w:multiLevelType w:val="multilevel"/>
    <w:tmpl w:val="0A2476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BD525A"/>
    <w:multiLevelType w:val="hybridMultilevel"/>
    <w:tmpl w:val="1AAEF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1C433B"/>
    <w:multiLevelType w:val="multilevel"/>
    <w:tmpl w:val="F296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68305B"/>
    <w:multiLevelType w:val="hybridMultilevel"/>
    <w:tmpl w:val="A3C08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A626AD8A"/>
    <w:lvl w:ilvl="0" w:tplc="BF30363A">
      <w:start w:val="1"/>
      <w:numFmt w:val="decimal"/>
      <w:pStyle w:val="RAN4Observation"/>
      <w:suff w:val="space"/>
      <w:lvlText w:val="Observation %1:"/>
      <w:lvlJc w:val="left"/>
      <w:pPr>
        <w:ind w:left="1778" w:hanging="360"/>
      </w:pPr>
      <w:rPr>
        <w:rFonts w:ascii="Times New Roman" w:hAnsi="Times New Roman" w:hint="default"/>
        <w:b/>
        <w:i w:val="0"/>
        <w:color w:val="auto"/>
        <w:sz w:val="20"/>
      </w:rPr>
    </w:lvl>
    <w:lvl w:ilvl="1" w:tplc="FBD84328">
      <w:numFmt w:val="bullet"/>
      <w:lvlText w:val="-"/>
      <w:lvlJc w:val="left"/>
      <w:pPr>
        <w:ind w:left="2498" w:hanging="360"/>
      </w:pPr>
      <w:rPr>
        <w:rFonts w:ascii="Times New Roman" w:eastAsiaTheme="minorHAnsi" w:hAnsi="Times New Roman" w:cs="Times New Roman" w:hint="default"/>
      </w:r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4" w15:restartNumberingAfterBreak="0">
    <w:nsid w:val="47E010F3"/>
    <w:multiLevelType w:val="multilevel"/>
    <w:tmpl w:val="7818A66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8F34FA8"/>
    <w:multiLevelType w:val="hybridMultilevel"/>
    <w:tmpl w:val="2AC64160"/>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4C4D51"/>
    <w:multiLevelType w:val="hybridMultilevel"/>
    <w:tmpl w:val="ACD86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15B4C"/>
    <w:multiLevelType w:val="multilevel"/>
    <w:tmpl w:val="9EBAF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F02EA6"/>
    <w:multiLevelType w:val="multilevel"/>
    <w:tmpl w:val="A32A1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034FD5"/>
    <w:multiLevelType w:val="hybridMultilevel"/>
    <w:tmpl w:val="B3BA7F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4371194"/>
    <w:multiLevelType w:val="multilevel"/>
    <w:tmpl w:val="3560E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902D5B"/>
    <w:multiLevelType w:val="multilevel"/>
    <w:tmpl w:val="4C640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277646"/>
    <w:multiLevelType w:val="multilevel"/>
    <w:tmpl w:val="80605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5C217B"/>
    <w:multiLevelType w:val="multilevel"/>
    <w:tmpl w:val="36F815B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A08041D"/>
    <w:multiLevelType w:val="multilevel"/>
    <w:tmpl w:val="E888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1F5A60"/>
    <w:multiLevelType w:val="hybridMultilevel"/>
    <w:tmpl w:val="A5BA6EC8"/>
    <w:lvl w:ilvl="0" w:tplc="D87CCA3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F30FFF"/>
    <w:multiLevelType w:val="multilevel"/>
    <w:tmpl w:val="E4C263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1" w15:restartNumberingAfterBreak="0">
    <w:nsid w:val="70A662D0"/>
    <w:multiLevelType w:val="multilevel"/>
    <w:tmpl w:val="23F4B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5110AD"/>
    <w:multiLevelType w:val="multilevel"/>
    <w:tmpl w:val="D73A4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A47A56"/>
    <w:multiLevelType w:val="multilevel"/>
    <w:tmpl w:val="0C0A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732D6F"/>
    <w:multiLevelType w:val="hybridMultilevel"/>
    <w:tmpl w:val="65922BE6"/>
    <w:lvl w:ilvl="0" w:tplc="6F8CA7EA">
      <w:start w:val="1"/>
      <w:numFmt w:val="bullet"/>
      <w:lvlText w:val=""/>
      <w:lvlJc w:val="left"/>
      <w:pPr>
        <w:tabs>
          <w:tab w:val="num" w:pos="720"/>
        </w:tabs>
        <w:ind w:left="720" w:hanging="360"/>
      </w:pPr>
      <w:rPr>
        <w:rFonts w:ascii="Wingdings" w:hAnsi="Wingdings" w:hint="default"/>
      </w:rPr>
    </w:lvl>
    <w:lvl w:ilvl="1" w:tplc="65DE5A08">
      <w:start w:val="1"/>
      <w:numFmt w:val="bullet"/>
      <w:lvlText w:val=""/>
      <w:lvlJc w:val="left"/>
      <w:pPr>
        <w:tabs>
          <w:tab w:val="num" w:pos="1440"/>
        </w:tabs>
        <w:ind w:left="1440" w:hanging="360"/>
      </w:pPr>
      <w:rPr>
        <w:rFonts w:ascii="Wingdings" w:hAnsi="Wingdings" w:hint="default"/>
      </w:rPr>
    </w:lvl>
    <w:lvl w:ilvl="2" w:tplc="7AD49C98">
      <w:numFmt w:val="bullet"/>
      <w:lvlText w:val="•"/>
      <w:lvlJc w:val="left"/>
      <w:pPr>
        <w:tabs>
          <w:tab w:val="num" w:pos="2160"/>
        </w:tabs>
        <w:ind w:left="2160" w:hanging="360"/>
      </w:pPr>
      <w:rPr>
        <w:rFonts w:ascii="Arial" w:hAnsi="Arial" w:hint="default"/>
      </w:rPr>
    </w:lvl>
    <w:lvl w:ilvl="3" w:tplc="F572BDAA" w:tentative="1">
      <w:start w:val="1"/>
      <w:numFmt w:val="bullet"/>
      <w:lvlText w:val=""/>
      <w:lvlJc w:val="left"/>
      <w:pPr>
        <w:tabs>
          <w:tab w:val="num" w:pos="2880"/>
        </w:tabs>
        <w:ind w:left="2880" w:hanging="360"/>
      </w:pPr>
      <w:rPr>
        <w:rFonts w:ascii="Wingdings" w:hAnsi="Wingdings" w:hint="default"/>
      </w:rPr>
    </w:lvl>
    <w:lvl w:ilvl="4" w:tplc="B662409A" w:tentative="1">
      <w:start w:val="1"/>
      <w:numFmt w:val="bullet"/>
      <w:lvlText w:val=""/>
      <w:lvlJc w:val="left"/>
      <w:pPr>
        <w:tabs>
          <w:tab w:val="num" w:pos="3600"/>
        </w:tabs>
        <w:ind w:left="3600" w:hanging="360"/>
      </w:pPr>
      <w:rPr>
        <w:rFonts w:ascii="Wingdings" w:hAnsi="Wingdings" w:hint="default"/>
      </w:rPr>
    </w:lvl>
    <w:lvl w:ilvl="5" w:tplc="A51E18B8" w:tentative="1">
      <w:start w:val="1"/>
      <w:numFmt w:val="bullet"/>
      <w:lvlText w:val=""/>
      <w:lvlJc w:val="left"/>
      <w:pPr>
        <w:tabs>
          <w:tab w:val="num" w:pos="4320"/>
        </w:tabs>
        <w:ind w:left="4320" w:hanging="360"/>
      </w:pPr>
      <w:rPr>
        <w:rFonts w:ascii="Wingdings" w:hAnsi="Wingdings" w:hint="default"/>
      </w:rPr>
    </w:lvl>
    <w:lvl w:ilvl="6" w:tplc="90EE85F2" w:tentative="1">
      <w:start w:val="1"/>
      <w:numFmt w:val="bullet"/>
      <w:lvlText w:val=""/>
      <w:lvlJc w:val="left"/>
      <w:pPr>
        <w:tabs>
          <w:tab w:val="num" w:pos="5040"/>
        </w:tabs>
        <w:ind w:left="5040" w:hanging="360"/>
      </w:pPr>
      <w:rPr>
        <w:rFonts w:ascii="Wingdings" w:hAnsi="Wingdings" w:hint="default"/>
      </w:rPr>
    </w:lvl>
    <w:lvl w:ilvl="7" w:tplc="08D2DEDC" w:tentative="1">
      <w:start w:val="1"/>
      <w:numFmt w:val="bullet"/>
      <w:lvlText w:val=""/>
      <w:lvlJc w:val="left"/>
      <w:pPr>
        <w:tabs>
          <w:tab w:val="num" w:pos="5760"/>
        </w:tabs>
        <w:ind w:left="5760" w:hanging="360"/>
      </w:pPr>
      <w:rPr>
        <w:rFonts w:ascii="Wingdings" w:hAnsi="Wingdings" w:hint="default"/>
      </w:rPr>
    </w:lvl>
    <w:lvl w:ilvl="8" w:tplc="17D0ED0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E74E0"/>
    <w:multiLevelType w:val="hybridMultilevel"/>
    <w:tmpl w:val="14E85AAE"/>
    <w:lvl w:ilvl="0" w:tplc="D87CCA38">
      <w:numFmt w:val="bullet"/>
      <w:lvlText w:val="-"/>
      <w:lvlJc w:val="left"/>
      <w:pPr>
        <w:ind w:left="789" w:hanging="360"/>
      </w:pPr>
      <w:rPr>
        <w:rFonts w:ascii="Times New Roman" w:eastAsiaTheme="minorHAnsi" w:hAnsi="Times New Roman" w:cs="Times New Roman"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46" w15:restartNumberingAfterBreak="0">
    <w:nsid w:val="7DC8271E"/>
    <w:multiLevelType w:val="hybridMultilevel"/>
    <w:tmpl w:val="CD64EBBE"/>
    <w:lvl w:ilvl="0" w:tplc="71483C58">
      <w:start w:val="1"/>
      <w:numFmt w:val="bullet"/>
      <w:lvlText w:val="•"/>
      <w:lvlJc w:val="left"/>
      <w:pPr>
        <w:tabs>
          <w:tab w:val="num" w:pos="720"/>
        </w:tabs>
        <w:ind w:left="720" w:hanging="360"/>
      </w:pPr>
      <w:rPr>
        <w:rFonts w:ascii="Arial" w:hAnsi="Arial" w:hint="default"/>
      </w:rPr>
    </w:lvl>
    <w:lvl w:ilvl="1" w:tplc="7C96EB98" w:tentative="1">
      <w:start w:val="1"/>
      <w:numFmt w:val="bullet"/>
      <w:lvlText w:val="•"/>
      <w:lvlJc w:val="left"/>
      <w:pPr>
        <w:tabs>
          <w:tab w:val="num" w:pos="1440"/>
        </w:tabs>
        <w:ind w:left="1440" w:hanging="360"/>
      </w:pPr>
      <w:rPr>
        <w:rFonts w:ascii="Arial" w:hAnsi="Arial" w:hint="default"/>
      </w:rPr>
    </w:lvl>
    <w:lvl w:ilvl="2" w:tplc="ED1622C2">
      <w:start w:val="1"/>
      <w:numFmt w:val="bullet"/>
      <w:lvlText w:val="•"/>
      <w:lvlJc w:val="left"/>
      <w:pPr>
        <w:tabs>
          <w:tab w:val="num" w:pos="2160"/>
        </w:tabs>
        <w:ind w:left="2160" w:hanging="360"/>
      </w:pPr>
      <w:rPr>
        <w:rFonts w:ascii="Arial" w:hAnsi="Arial" w:hint="default"/>
      </w:rPr>
    </w:lvl>
    <w:lvl w:ilvl="3" w:tplc="C86C7524" w:tentative="1">
      <w:start w:val="1"/>
      <w:numFmt w:val="bullet"/>
      <w:lvlText w:val="•"/>
      <w:lvlJc w:val="left"/>
      <w:pPr>
        <w:tabs>
          <w:tab w:val="num" w:pos="2880"/>
        </w:tabs>
        <w:ind w:left="2880" w:hanging="360"/>
      </w:pPr>
      <w:rPr>
        <w:rFonts w:ascii="Arial" w:hAnsi="Arial" w:hint="default"/>
      </w:rPr>
    </w:lvl>
    <w:lvl w:ilvl="4" w:tplc="46DCE70A" w:tentative="1">
      <w:start w:val="1"/>
      <w:numFmt w:val="bullet"/>
      <w:lvlText w:val="•"/>
      <w:lvlJc w:val="left"/>
      <w:pPr>
        <w:tabs>
          <w:tab w:val="num" w:pos="3600"/>
        </w:tabs>
        <w:ind w:left="3600" w:hanging="360"/>
      </w:pPr>
      <w:rPr>
        <w:rFonts w:ascii="Arial" w:hAnsi="Arial" w:hint="default"/>
      </w:rPr>
    </w:lvl>
    <w:lvl w:ilvl="5" w:tplc="18A24AB6" w:tentative="1">
      <w:start w:val="1"/>
      <w:numFmt w:val="bullet"/>
      <w:lvlText w:val="•"/>
      <w:lvlJc w:val="left"/>
      <w:pPr>
        <w:tabs>
          <w:tab w:val="num" w:pos="4320"/>
        </w:tabs>
        <w:ind w:left="4320" w:hanging="360"/>
      </w:pPr>
      <w:rPr>
        <w:rFonts w:ascii="Arial" w:hAnsi="Arial" w:hint="default"/>
      </w:rPr>
    </w:lvl>
    <w:lvl w:ilvl="6" w:tplc="998E7CA2" w:tentative="1">
      <w:start w:val="1"/>
      <w:numFmt w:val="bullet"/>
      <w:lvlText w:val="•"/>
      <w:lvlJc w:val="left"/>
      <w:pPr>
        <w:tabs>
          <w:tab w:val="num" w:pos="5040"/>
        </w:tabs>
        <w:ind w:left="5040" w:hanging="360"/>
      </w:pPr>
      <w:rPr>
        <w:rFonts w:ascii="Arial" w:hAnsi="Arial" w:hint="default"/>
      </w:rPr>
    </w:lvl>
    <w:lvl w:ilvl="7" w:tplc="CF88419E" w:tentative="1">
      <w:start w:val="1"/>
      <w:numFmt w:val="bullet"/>
      <w:lvlText w:val="•"/>
      <w:lvlJc w:val="left"/>
      <w:pPr>
        <w:tabs>
          <w:tab w:val="num" w:pos="5760"/>
        </w:tabs>
        <w:ind w:left="5760" w:hanging="360"/>
      </w:pPr>
      <w:rPr>
        <w:rFonts w:ascii="Arial" w:hAnsi="Arial" w:hint="default"/>
      </w:rPr>
    </w:lvl>
    <w:lvl w:ilvl="8" w:tplc="B3A43EFA"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3"/>
  </w:num>
  <w:num w:numId="3">
    <w:abstractNumId w:val="27"/>
  </w:num>
  <w:num w:numId="4">
    <w:abstractNumId w:val="36"/>
  </w:num>
  <w:num w:numId="5">
    <w:abstractNumId w:val="35"/>
  </w:num>
  <w:num w:numId="6">
    <w:abstractNumId w:val="5"/>
  </w:num>
  <w:num w:numId="7">
    <w:abstractNumId w:val="40"/>
  </w:num>
  <w:num w:numId="8">
    <w:abstractNumId w:val="16"/>
  </w:num>
  <w:num w:numId="9">
    <w:abstractNumId w:val="1"/>
  </w:num>
  <w:num w:numId="10">
    <w:abstractNumId w:val="22"/>
  </w:num>
  <w:num w:numId="11">
    <w:abstractNumId w:val="44"/>
  </w:num>
  <w:num w:numId="12">
    <w:abstractNumId w:val="46"/>
  </w:num>
  <w:num w:numId="13">
    <w:abstractNumId w:val="13"/>
  </w:num>
  <w:num w:numId="14">
    <w:abstractNumId w:val="0"/>
  </w:num>
  <w:num w:numId="15">
    <w:abstractNumId w:val="30"/>
  </w:num>
  <w:num w:numId="16">
    <w:abstractNumId w:val="3"/>
  </w:num>
  <w:num w:numId="17">
    <w:abstractNumId w:val="34"/>
  </w:num>
  <w:num w:numId="18">
    <w:abstractNumId w:val="2"/>
  </w:num>
  <w:num w:numId="19">
    <w:abstractNumId w:val="8"/>
  </w:num>
  <w:num w:numId="20">
    <w:abstractNumId w:val="43"/>
  </w:num>
  <w:num w:numId="21">
    <w:abstractNumId w:val="28"/>
  </w:num>
  <w:num w:numId="22">
    <w:abstractNumId w:val="19"/>
  </w:num>
  <w:num w:numId="23">
    <w:abstractNumId w:val="33"/>
  </w:num>
  <w:num w:numId="24">
    <w:abstractNumId w:val="21"/>
  </w:num>
  <w:num w:numId="25">
    <w:abstractNumId w:val="37"/>
  </w:num>
  <w:num w:numId="26">
    <w:abstractNumId w:val="41"/>
  </w:num>
  <w:num w:numId="27">
    <w:abstractNumId w:val="11"/>
  </w:num>
  <w:num w:numId="28">
    <w:abstractNumId w:val="32"/>
  </w:num>
  <w:num w:numId="29">
    <w:abstractNumId w:val="42"/>
  </w:num>
  <w:num w:numId="30">
    <w:abstractNumId w:val="4"/>
  </w:num>
  <w:num w:numId="31">
    <w:abstractNumId w:val="20"/>
  </w:num>
  <w:num w:numId="32">
    <w:abstractNumId w:val="7"/>
  </w:num>
  <w:num w:numId="33">
    <w:abstractNumId w:val="9"/>
  </w:num>
  <w:num w:numId="34">
    <w:abstractNumId w:val="18"/>
  </w:num>
  <w:num w:numId="35">
    <w:abstractNumId w:val="14"/>
  </w:num>
  <w:num w:numId="36">
    <w:abstractNumId w:val="10"/>
  </w:num>
  <w:num w:numId="37">
    <w:abstractNumId w:val="45"/>
  </w:num>
  <w:num w:numId="38">
    <w:abstractNumId w:val="12"/>
  </w:num>
  <w:num w:numId="39">
    <w:abstractNumId w:val="38"/>
  </w:num>
  <w:num w:numId="40">
    <w:abstractNumId w:val="25"/>
  </w:num>
  <w:num w:numId="41">
    <w:abstractNumId w:val="17"/>
  </w:num>
  <w:num w:numId="42">
    <w:abstractNumId w:val="15"/>
  </w:num>
  <w:num w:numId="43">
    <w:abstractNumId w:val="26"/>
  </w:num>
  <w:num w:numId="44">
    <w:abstractNumId w:val="31"/>
  </w:num>
  <w:num w:numId="45">
    <w:abstractNumId w:val="24"/>
  </w:num>
  <w:num w:numId="46">
    <w:abstractNumId w:val="6"/>
  </w:num>
  <w:num w:numId="47">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066F3"/>
    <w:rsid w:val="00001C9B"/>
    <w:rsid w:val="000021D9"/>
    <w:rsid w:val="000028B6"/>
    <w:rsid w:val="000040DC"/>
    <w:rsid w:val="00010736"/>
    <w:rsid w:val="00010DDE"/>
    <w:rsid w:val="000151EF"/>
    <w:rsid w:val="00021A96"/>
    <w:rsid w:val="00022A44"/>
    <w:rsid w:val="000239F5"/>
    <w:rsid w:val="000259A9"/>
    <w:rsid w:val="000269A2"/>
    <w:rsid w:val="00027C9A"/>
    <w:rsid w:val="00027EE1"/>
    <w:rsid w:val="00030098"/>
    <w:rsid w:val="0003331C"/>
    <w:rsid w:val="00033D30"/>
    <w:rsid w:val="00074540"/>
    <w:rsid w:val="00074EC5"/>
    <w:rsid w:val="000806B0"/>
    <w:rsid w:val="000838D2"/>
    <w:rsid w:val="0008612A"/>
    <w:rsid w:val="00086AF7"/>
    <w:rsid w:val="00090E18"/>
    <w:rsid w:val="0009295A"/>
    <w:rsid w:val="00094829"/>
    <w:rsid w:val="000A10BC"/>
    <w:rsid w:val="000A5C64"/>
    <w:rsid w:val="000B0056"/>
    <w:rsid w:val="000C17B6"/>
    <w:rsid w:val="000C2257"/>
    <w:rsid w:val="000C3C7B"/>
    <w:rsid w:val="000C540C"/>
    <w:rsid w:val="000C7694"/>
    <w:rsid w:val="000D066C"/>
    <w:rsid w:val="000D0F93"/>
    <w:rsid w:val="000D24E8"/>
    <w:rsid w:val="000D2F01"/>
    <w:rsid w:val="000D4F3E"/>
    <w:rsid w:val="000D6154"/>
    <w:rsid w:val="000F17FF"/>
    <w:rsid w:val="000F2CB6"/>
    <w:rsid w:val="000F6BFB"/>
    <w:rsid w:val="00102399"/>
    <w:rsid w:val="00102C9F"/>
    <w:rsid w:val="00106416"/>
    <w:rsid w:val="00110481"/>
    <w:rsid w:val="00110DC1"/>
    <w:rsid w:val="0011187E"/>
    <w:rsid w:val="001127C9"/>
    <w:rsid w:val="00112B60"/>
    <w:rsid w:val="00115577"/>
    <w:rsid w:val="00115B88"/>
    <w:rsid w:val="00123EB3"/>
    <w:rsid w:val="00131DE4"/>
    <w:rsid w:val="00132F6A"/>
    <w:rsid w:val="00133913"/>
    <w:rsid w:val="00136C8A"/>
    <w:rsid w:val="00140221"/>
    <w:rsid w:val="001407D3"/>
    <w:rsid w:val="00140BD4"/>
    <w:rsid w:val="00143367"/>
    <w:rsid w:val="00150773"/>
    <w:rsid w:val="0015480E"/>
    <w:rsid w:val="00162CD9"/>
    <w:rsid w:val="00163738"/>
    <w:rsid w:val="001642FC"/>
    <w:rsid w:val="0016496B"/>
    <w:rsid w:val="00165F3F"/>
    <w:rsid w:val="00170918"/>
    <w:rsid w:val="00173310"/>
    <w:rsid w:val="001743E2"/>
    <w:rsid w:val="001745F8"/>
    <w:rsid w:val="001766FD"/>
    <w:rsid w:val="00176F3D"/>
    <w:rsid w:val="00177CA0"/>
    <w:rsid w:val="001838CF"/>
    <w:rsid w:val="00185608"/>
    <w:rsid w:val="001868EE"/>
    <w:rsid w:val="00187B9B"/>
    <w:rsid w:val="00193BBF"/>
    <w:rsid w:val="00194C03"/>
    <w:rsid w:val="001A3BA4"/>
    <w:rsid w:val="001A6D1F"/>
    <w:rsid w:val="001A6E62"/>
    <w:rsid w:val="001A7A3A"/>
    <w:rsid w:val="001B73E9"/>
    <w:rsid w:val="001C1606"/>
    <w:rsid w:val="001C5AA6"/>
    <w:rsid w:val="001C7174"/>
    <w:rsid w:val="001D5816"/>
    <w:rsid w:val="001E1B28"/>
    <w:rsid w:val="001E30F6"/>
    <w:rsid w:val="001F4D10"/>
    <w:rsid w:val="00202E90"/>
    <w:rsid w:val="00207034"/>
    <w:rsid w:val="002129A4"/>
    <w:rsid w:val="00217EE5"/>
    <w:rsid w:val="00222631"/>
    <w:rsid w:val="00223CAA"/>
    <w:rsid w:val="00226AD8"/>
    <w:rsid w:val="00231161"/>
    <w:rsid w:val="00235F5C"/>
    <w:rsid w:val="0023623C"/>
    <w:rsid w:val="0023758B"/>
    <w:rsid w:val="00240B42"/>
    <w:rsid w:val="00257FA3"/>
    <w:rsid w:val="00261B09"/>
    <w:rsid w:val="00261C53"/>
    <w:rsid w:val="00261D97"/>
    <w:rsid w:val="00262191"/>
    <w:rsid w:val="00263E4E"/>
    <w:rsid w:val="00266A0C"/>
    <w:rsid w:val="002709D2"/>
    <w:rsid w:val="00273AA9"/>
    <w:rsid w:val="00277B56"/>
    <w:rsid w:val="00277E04"/>
    <w:rsid w:val="002803F2"/>
    <w:rsid w:val="0028314B"/>
    <w:rsid w:val="002846D4"/>
    <w:rsid w:val="002904AF"/>
    <w:rsid w:val="00294673"/>
    <w:rsid w:val="002949B5"/>
    <w:rsid w:val="00297E1B"/>
    <w:rsid w:val="002A19F5"/>
    <w:rsid w:val="002A34F3"/>
    <w:rsid w:val="002A7266"/>
    <w:rsid w:val="002B4922"/>
    <w:rsid w:val="002C06C2"/>
    <w:rsid w:val="002C22C3"/>
    <w:rsid w:val="002C2D19"/>
    <w:rsid w:val="002C3A20"/>
    <w:rsid w:val="002D049C"/>
    <w:rsid w:val="002D0A30"/>
    <w:rsid w:val="002D10FA"/>
    <w:rsid w:val="002D4C55"/>
    <w:rsid w:val="002E4AEB"/>
    <w:rsid w:val="002E6DED"/>
    <w:rsid w:val="002E7706"/>
    <w:rsid w:val="002F00C6"/>
    <w:rsid w:val="002F7506"/>
    <w:rsid w:val="00300956"/>
    <w:rsid w:val="00304B54"/>
    <w:rsid w:val="00307252"/>
    <w:rsid w:val="003072FE"/>
    <w:rsid w:val="00310253"/>
    <w:rsid w:val="00311731"/>
    <w:rsid w:val="003143BC"/>
    <w:rsid w:val="00317187"/>
    <w:rsid w:val="00322B0B"/>
    <w:rsid w:val="00323D05"/>
    <w:rsid w:val="0032499A"/>
    <w:rsid w:val="003256DF"/>
    <w:rsid w:val="00325C1C"/>
    <w:rsid w:val="003331B9"/>
    <w:rsid w:val="00333413"/>
    <w:rsid w:val="003341F7"/>
    <w:rsid w:val="0033637D"/>
    <w:rsid w:val="003418D9"/>
    <w:rsid w:val="00341BE0"/>
    <w:rsid w:val="00343722"/>
    <w:rsid w:val="003454B2"/>
    <w:rsid w:val="00346712"/>
    <w:rsid w:val="00347FEC"/>
    <w:rsid w:val="00350ADC"/>
    <w:rsid w:val="00351E45"/>
    <w:rsid w:val="00353769"/>
    <w:rsid w:val="00353C5B"/>
    <w:rsid w:val="0035545A"/>
    <w:rsid w:val="00355D93"/>
    <w:rsid w:val="00356F45"/>
    <w:rsid w:val="003642F9"/>
    <w:rsid w:val="00364A6A"/>
    <w:rsid w:val="00366601"/>
    <w:rsid w:val="00366B74"/>
    <w:rsid w:val="00373AC8"/>
    <w:rsid w:val="00375C37"/>
    <w:rsid w:val="0038157C"/>
    <w:rsid w:val="003952D3"/>
    <w:rsid w:val="00395DC6"/>
    <w:rsid w:val="00396401"/>
    <w:rsid w:val="003A4C61"/>
    <w:rsid w:val="003A4FD1"/>
    <w:rsid w:val="003A710A"/>
    <w:rsid w:val="003B1B45"/>
    <w:rsid w:val="003B659E"/>
    <w:rsid w:val="003B7A6F"/>
    <w:rsid w:val="003C275E"/>
    <w:rsid w:val="003C2E86"/>
    <w:rsid w:val="003C6AC0"/>
    <w:rsid w:val="003D5134"/>
    <w:rsid w:val="003D7EF6"/>
    <w:rsid w:val="003E58DF"/>
    <w:rsid w:val="003F3A72"/>
    <w:rsid w:val="003F43EC"/>
    <w:rsid w:val="003F5E0C"/>
    <w:rsid w:val="003F6D5B"/>
    <w:rsid w:val="003F79C1"/>
    <w:rsid w:val="00400FB3"/>
    <w:rsid w:val="00401045"/>
    <w:rsid w:val="004038BD"/>
    <w:rsid w:val="00404C4C"/>
    <w:rsid w:val="00407D70"/>
    <w:rsid w:val="0041369B"/>
    <w:rsid w:val="0041423F"/>
    <w:rsid w:val="00414BC3"/>
    <w:rsid w:val="00414F81"/>
    <w:rsid w:val="004159A3"/>
    <w:rsid w:val="00415E2A"/>
    <w:rsid w:val="00416C4C"/>
    <w:rsid w:val="00420DF9"/>
    <w:rsid w:val="00423273"/>
    <w:rsid w:val="00424E94"/>
    <w:rsid w:val="00427C48"/>
    <w:rsid w:val="0043195F"/>
    <w:rsid w:val="004338ED"/>
    <w:rsid w:val="00433FE2"/>
    <w:rsid w:val="00436A0F"/>
    <w:rsid w:val="00437150"/>
    <w:rsid w:val="0043750A"/>
    <w:rsid w:val="00437620"/>
    <w:rsid w:val="00446ACE"/>
    <w:rsid w:val="00447D91"/>
    <w:rsid w:val="00447E14"/>
    <w:rsid w:val="004520C3"/>
    <w:rsid w:val="00452DFD"/>
    <w:rsid w:val="004652CC"/>
    <w:rsid w:val="00471720"/>
    <w:rsid w:val="004732E9"/>
    <w:rsid w:val="00477B42"/>
    <w:rsid w:val="00477FA1"/>
    <w:rsid w:val="004854BB"/>
    <w:rsid w:val="004875AF"/>
    <w:rsid w:val="00492176"/>
    <w:rsid w:val="00494802"/>
    <w:rsid w:val="00494C0C"/>
    <w:rsid w:val="00494F9C"/>
    <w:rsid w:val="00496606"/>
    <w:rsid w:val="004A193F"/>
    <w:rsid w:val="004A1FB6"/>
    <w:rsid w:val="004A2160"/>
    <w:rsid w:val="004A41AC"/>
    <w:rsid w:val="004A61A4"/>
    <w:rsid w:val="004B27AC"/>
    <w:rsid w:val="004C0486"/>
    <w:rsid w:val="004C7464"/>
    <w:rsid w:val="004C7DE7"/>
    <w:rsid w:val="004D43AB"/>
    <w:rsid w:val="004D6C64"/>
    <w:rsid w:val="004E5E66"/>
    <w:rsid w:val="004E7ADB"/>
    <w:rsid w:val="004F084E"/>
    <w:rsid w:val="00500E8D"/>
    <w:rsid w:val="00503B4D"/>
    <w:rsid w:val="00504EE9"/>
    <w:rsid w:val="005063DC"/>
    <w:rsid w:val="005066F3"/>
    <w:rsid w:val="0050679A"/>
    <w:rsid w:val="00506CA0"/>
    <w:rsid w:val="005124B6"/>
    <w:rsid w:val="00520700"/>
    <w:rsid w:val="00521576"/>
    <w:rsid w:val="00522E6A"/>
    <w:rsid w:val="00523E6C"/>
    <w:rsid w:val="005250E6"/>
    <w:rsid w:val="005255C3"/>
    <w:rsid w:val="00525C79"/>
    <w:rsid w:val="00542D23"/>
    <w:rsid w:val="0054442C"/>
    <w:rsid w:val="00547AAE"/>
    <w:rsid w:val="00550285"/>
    <w:rsid w:val="005514A1"/>
    <w:rsid w:val="00556509"/>
    <w:rsid w:val="0056096D"/>
    <w:rsid w:val="005609BF"/>
    <w:rsid w:val="005613C5"/>
    <w:rsid w:val="00562492"/>
    <w:rsid w:val="005645E5"/>
    <w:rsid w:val="00565819"/>
    <w:rsid w:val="0057241D"/>
    <w:rsid w:val="00572A20"/>
    <w:rsid w:val="00575640"/>
    <w:rsid w:val="00583131"/>
    <w:rsid w:val="005836F8"/>
    <w:rsid w:val="005869A1"/>
    <w:rsid w:val="005870DC"/>
    <w:rsid w:val="005872D2"/>
    <w:rsid w:val="005918FA"/>
    <w:rsid w:val="00592A86"/>
    <w:rsid w:val="0059437C"/>
    <w:rsid w:val="005A029A"/>
    <w:rsid w:val="005A2834"/>
    <w:rsid w:val="005A4018"/>
    <w:rsid w:val="005A4CD8"/>
    <w:rsid w:val="005B0BCD"/>
    <w:rsid w:val="005B4801"/>
    <w:rsid w:val="005B7AF3"/>
    <w:rsid w:val="005C0F55"/>
    <w:rsid w:val="005C23A4"/>
    <w:rsid w:val="005C6D49"/>
    <w:rsid w:val="005C7535"/>
    <w:rsid w:val="005D0969"/>
    <w:rsid w:val="005D0D8B"/>
    <w:rsid w:val="005D1CDF"/>
    <w:rsid w:val="005D2BB7"/>
    <w:rsid w:val="005E0ECA"/>
    <w:rsid w:val="005E3E9A"/>
    <w:rsid w:val="005E61A8"/>
    <w:rsid w:val="005F6419"/>
    <w:rsid w:val="005F75DE"/>
    <w:rsid w:val="0060543D"/>
    <w:rsid w:val="006104DD"/>
    <w:rsid w:val="006130B5"/>
    <w:rsid w:val="00617400"/>
    <w:rsid w:val="006209DB"/>
    <w:rsid w:val="0062292E"/>
    <w:rsid w:val="00632D29"/>
    <w:rsid w:val="0063765D"/>
    <w:rsid w:val="00637DD3"/>
    <w:rsid w:val="00641CE3"/>
    <w:rsid w:val="00641E70"/>
    <w:rsid w:val="00645451"/>
    <w:rsid w:val="0064768E"/>
    <w:rsid w:val="00647D78"/>
    <w:rsid w:val="006530B5"/>
    <w:rsid w:val="006625A8"/>
    <w:rsid w:val="0066386F"/>
    <w:rsid w:val="006642FE"/>
    <w:rsid w:val="00664950"/>
    <w:rsid w:val="006651F6"/>
    <w:rsid w:val="00665FEE"/>
    <w:rsid w:val="00673B9E"/>
    <w:rsid w:val="00677B15"/>
    <w:rsid w:val="006804AB"/>
    <w:rsid w:val="0068115E"/>
    <w:rsid w:val="00683220"/>
    <w:rsid w:val="00687FA0"/>
    <w:rsid w:val="006904BE"/>
    <w:rsid w:val="00690D2A"/>
    <w:rsid w:val="00695E06"/>
    <w:rsid w:val="006A3C11"/>
    <w:rsid w:val="006B16BF"/>
    <w:rsid w:val="006B515A"/>
    <w:rsid w:val="006B5F2C"/>
    <w:rsid w:val="006B63FB"/>
    <w:rsid w:val="006B7010"/>
    <w:rsid w:val="006B7080"/>
    <w:rsid w:val="006C1AB7"/>
    <w:rsid w:val="006C2506"/>
    <w:rsid w:val="006C3095"/>
    <w:rsid w:val="006D0E72"/>
    <w:rsid w:val="006D1E1C"/>
    <w:rsid w:val="006D2B88"/>
    <w:rsid w:val="006D38AF"/>
    <w:rsid w:val="006E1151"/>
    <w:rsid w:val="006E12FE"/>
    <w:rsid w:val="006E3018"/>
    <w:rsid w:val="006E6311"/>
    <w:rsid w:val="006F5819"/>
    <w:rsid w:val="00700C1B"/>
    <w:rsid w:val="00701E33"/>
    <w:rsid w:val="00705299"/>
    <w:rsid w:val="00711AD2"/>
    <w:rsid w:val="007123E5"/>
    <w:rsid w:val="007145FF"/>
    <w:rsid w:val="00714ECC"/>
    <w:rsid w:val="00715182"/>
    <w:rsid w:val="00715B2A"/>
    <w:rsid w:val="00723F67"/>
    <w:rsid w:val="00724187"/>
    <w:rsid w:val="007243D4"/>
    <w:rsid w:val="00730015"/>
    <w:rsid w:val="0073129D"/>
    <w:rsid w:val="00731588"/>
    <w:rsid w:val="00740B01"/>
    <w:rsid w:val="0074200D"/>
    <w:rsid w:val="00744208"/>
    <w:rsid w:val="007450F1"/>
    <w:rsid w:val="00746EC2"/>
    <w:rsid w:val="00751515"/>
    <w:rsid w:val="007536F2"/>
    <w:rsid w:val="00754750"/>
    <w:rsid w:val="0076176C"/>
    <w:rsid w:val="007626B7"/>
    <w:rsid w:val="00762BE0"/>
    <w:rsid w:val="00773101"/>
    <w:rsid w:val="00773CF2"/>
    <w:rsid w:val="00774261"/>
    <w:rsid w:val="00775A24"/>
    <w:rsid w:val="00777579"/>
    <w:rsid w:val="00777E35"/>
    <w:rsid w:val="0078212B"/>
    <w:rsid w:val="00784DF6"/>
    <w:rsid w:val="00785232"/>
    <w:rsid w:val="00787FF4"/>
    <w:rsid w:val="00792991"/>
    <w:rsid w:val="007A1B9D"/>
    <w:rsid w:val="007A2725"/>
    <w:rsid w:val="007A3A1B"/>
    <w:rsid w:val="007A4F3A"/>
    <w:rsid w:val="007A77BE"/>
    <w:rsid w:val="007B0C8B"/>
    <w:rsid w:val="007B186C"/>
    <w:rsid w:val="007B2844"/>
    <w:rsid w:val="007C063C"/>
    <w:rsid w:val="007C0D54"/>
    <w:rsid w:val="007C1696"/>
    <w:rsid w:val="007C3ED0"/>
    <w:rsid w:val="007C47D1"/>
    <w:rsid w:val="007C5971"/>
    <w:rsid w:val="007C78ED"/>
    <w:rsid w:val="007D120E"/>
    <w:rsid w:val="007D24DF"/>
    <w:rsid w:val="007D4618"/>
    <w:rsid w:val="007D4AD6"/>
    <w:rsid w:val="007E195F"/>
    <w:rsid w:val="007E36A9"/>
    <w:rsid w:val="007E4486"/>
    <w:rsid w:val="007E7179"/>
    <w:rsid w:val="007F46AB"/>
    <w:rsid w:val="007F54B9"/>
    <w:rsid w:val="007F793B"/>
    <w:rsid w:val="0080656A"/>
    <w:rsid w:val="00806A76"/>
    <w:rsid w:val="00807EB1"/>
    <w:rsid w:val="00811C9D"/>
    <w:rsid w:val="008157DF"/>
    <w:rsid w:val="00815C42"/>
    <w:rsid w:val="00816C80"/>
    <w:rsid w:val="00830605"/>
    <w:rsid w:val="00832509"/>
    <w:rsid w:val="00835C60"/>
    <w:rsid w:val="00837F80"/>
    <w:rsid w:val="00840AE5"/>
    <w:rsid w:val="00841BCD"/>
    <w:rsid w:val="008455C8"/>
    <w:rsid w:val="00846221"/>
    <w:rsid w:val="00847DFD"/>
    <w:rsid w:val="00851A8E"/>
    <w:rsid w:val="00851D1A"/>
    <w:rsid w:val="0085365B"/>
    <w:rsid w:val="00857AD6"/>
    <w:rsid w:val="008635F4"/>
    <w:rsid w:val="00870B9C"/>
    <w:rsid w:val="008753D8"/>
    <w:rsid w:val="00876844"/>
    <w:rsid w:val="008826C1"/>
    <w:rsid w:val="00883DFD"/>
    <w:rsid w:val="008931F7"/>
    <w:rsid w:val="0089680E"/>
    <w:rsid w:val="008A0103"/>
    <w:rsid w:val="008A1BF7"/>
    <w:rsid w:val="008A246B"/>
    <w:rsid w:val="008A413C"/>
    <w:rsid w:val="008A5B0E"/>
    <w:rsid w:val="008B0961"/>
    <w:rsid w:val="008B56AC"/>
    <w:rsid w:val="008C0906"/>
    <w:rsid w:val="008C0F44"/>
    <w:rsid w:val="008C35FB"/>
    <w:rsid w:val="008C479B"/>
    <w:rsid w:val="008C6769"/>
    <w:rsid w:val="008C72EF"/>
    <w:rsid w:val="008D391B"/>
    <w:rsid w:val="008D5135"/>
    <w:rsid w:val="008D6A8E"/>
    <w:rsid w:val="008D6C23"/>
    <w:rsid w:val="008E2693"/>
    <w:rsid w:val="008F35ED"/>
    <w:rsid w:val="008F5414"/>
    <w:rsid w:val="008F7B99"/>
    <w:rsid w:val="0090091A"/>
    <w:rsid w:val="009042BD"/>
    <w:rsid w:val="0090633E"/>
    <w:rsid w:val="00914FB9"/>
    <w:rsid w:val="00923EF3"/>
    <w:rsid w:val="0092501B"/>
    <w:rsid w:val="00932CE5"/>
    <w:rsid w:val="00936159"/>
    <w:rsid w:val="00937146"/>
    <w:rsid w:val="00937430"/>
    <w:rsid w:val="00940B79"/>
    <w:rsid w:val="00944AB6"/>
    <w:rsid w:val="00951BD4"/>
    <w:rsid w:val="009610F0"/>
    <w:rsid w:val="00963611"/>
    <w:rsid w:val="00971681"/>
    <w:rsid w:val="00977E1D"/>
    <w:rsid w:val="009836DB"/>
    <w:rsid w:val="009840DC"/>
    <w:rsid w:val="009A22ED"/>
    <w:rsid w:val="009A4277"/>
    <w:rsid w:val="009A7999"/>
    <w:rsid w:val="009B027A"/>
    <w:rsid w:val="009B0573"/>
    <w:rsid w:val="009B2B85"/>
    <w:rsid w:val="009B454F"/>
    <w:rsid w:val="009B5A17"/>
    <w:rsid w:val="009B7B4B"/>
    <w:rsid w:val="009B7C21"/>
    <w:rsid w:val="009C0C11"/>
    <w:rsid w:val="009C321B"/>
    <w:rsid w:val="009D0B55"/>
    <w:rsid w:val="009D42D4"/>
    <w:rsid w:val="009D4B22"/>
    <w:rsid w:val="009E594A"/>
    <w:rsid w:val="009F1BD8"/>
    <w:rsid w:val="009F6AA8"/>
    <w:rsid w:val="00A023D5"/>
    <w:rsid w:val="00A04992"/>
    <w:rsid w:val="00A05926"/>
    <w:rsid w:val="00A07450"/>
    <w:rsid w:val="00A12CCC"/>
    <w:rsid w:val="00A147AA"/>
    <w:rsid w:val="00A20AD8"/>
    <w:rsid w:val="00A21D71"/>
    <w:rsid w:val="00A22171"/>
    <w:rsid w:val="00A222F2"/>
    <w:rsid w:val="00A22B78"/>
    <w:rsid w:val="00A25AE5"/>
    <w:rsid w:val="00A37002"/>
    <w:rsid w:val="00A420E3"/>
    <w:rsid w:val="00A4284C"/>
    <w:rsid w:val="00A429B9"/>
    <w:rsid w:val="00A42AC8"/>
    <w:rsid w:val="00A4355E"/>
    <w:rsid w:val="00A44E96"/>
    <w:rsid w:val="00A45E4B"/>
    <w:rsid w:val="00A47573"/>
    <w:rsid w:val="00A60F23"/>
    <w:rsid w:val="00A666E9"/>
    <w:rsid w:val="00A70F69"/>
    <w:rsid w:val="00A7544C"/>
    <w:rsid w:val="00A76714"/>
    <w:rsid w:val="00A80249"/>
    <w:rsid w:val="00A803E1"/>
    <w:rsid w:val="00A90412"/>
    <w:rsid w:val="00A929F1"/>
    <w:rsid w:val="00A92BCD"/>
    <w:rsid w:val="00A92D02"/>
    <w:rsid w:val="00A934A8"/>
    <w:rsid w:val="00A93CD5"/>
    <w:rsid w:val="00A97813"/>
    <w:rsid w:val="00AA1B0E"/>
    <w:rsid w:val="00AA47B6"/>
    <w:rsid w:val="00AB0BF3"/>
    <w:rsid w:val="00AC163B"/>
    <w:rsid w:val="00AC1851"/>
    <w:rsid w:val="00AC5CA7"/>
    <w:rsid w:val="00AC6058"/>
    <w:rsid w:val="00AD7CF3"/>
    <w:rsid w:val="00AE0F52"/>
    <w:rsid w:val="00AE2BA5"/>
    <w:rsid w:val="00AE56B1"/>
    <w:rsid w:val="00AE594B"/>
    <w:rsid w:val="00AE5B34"/>
    <w:rsid w:val="00AE6A96"/>
    <w:rsid w:val="00AE6D09"/>
    <w:rsid w:val="00AE7649"/>
    <w:rsid w:val="00AF7A7C"/>
    <w:rsid w:val="00B01CB7"/>
    <w:rsid w:val="00B15003"/>
    <w:rsid w:val="00B2309F"/>
    <w:rsid w:val="00B24C3C"/>
    <w:rsid w:val="00B265D9"/>
    <w:rsid w:val="00B275B1"/>
    <w:rsid w:val="00B31CA2"/>
    <w:rsid w:val="00B35D50"/>
    <w:rsid w:val="00B36753"/>
    <w:rsid w:val="00B408B6"/>
    <w:rsid w:val="00B542DA"/>
    <w:rsid w:val="00B73862"/>
    <w:rsid w:val="00B73F43"/>
    <w:rsid w:val="00B7681B"/>
    <w:rsid w:val="00B839F8"/>
    <w:rsid w:val="00B90BD4"/>
    <w:rsid w:val="00B97CB7"/>
    <w:rsid w:val="00BA0B1B"/>
    <w:rsid w:val="00BA19E2"/>
    <w:rsid w:val="00BA6B66"/>
    <w:rsid w:val="00BA6E48"/>
    <w:rsid w:val="00BA7BF7"/>
    <w:rsid w:val="00BC135E"/>
    <w:rsid w:val="00BC136C"/>
    <w:rsid w:val="00BC2BB9"/>
    <w:rsid w:val="00BC5383"/>
    <w:rsid w:val="00BE0355"/>
    <w:rsid w:val="00BE0AF6"/>
    <w:rsid w:val="00BE1E12"/>
    <w:rsid w:val="00BE1F03"/>
    <w:rsid w:val="00BE58A7"/>
    <w:rsid w:val="00BF0CCB"/>
    <w:rsid w:val="00BF1633"/>
    <w:rsid w:val="00BF1976"/>
    <w:rsid w:val="00BF2218"/>
    <w:rsid w:val="00BF675A"/>
    <w:rsid w:val="00C031A5"/>
    <w:rsid w:val="00C0426B"/>
    <w:rsid w:val="00C045DF"/>
    <w:rsid w:val="00C06272"/>
    <w:rsid w:val="00C06E62"/>
    <w:rsid w:val="00C14A4C"/>
    <w:rsid w:val="00C162CB"/>
    <w:rsid w:val="00C17468"/>
    <w:rsid w:val="00C23629"/>
    <w:rsid w:val="00C2421C"/>
    <w:rsid w:val="00C26D43"/>
    <w:rsid w:val="00C27476"/>
    <w:rsid w:val="00C338B3"/>
    <w:rsid w:val="00C33E00"/>
    <w:rsid w:val="00C35E9A"/>
    <w:rsid w:val="00C3636C"/>
    <w:rsid w:val="00C36655"/>
    <w:rsid w:val="00C37998"/>
    <w:rsid w:val="00C424F9"/>
    <w:rsid w:val="00C42C0E"/>
    <w:rsid w:val="00C45C86"/>
    <w:rsid w:val="00C46548"/>
    <w:rsid w:val="00C50E78"/>
    <w:rsid w:val="00C5152E"/>
    <w:rsid w:val="00C51B02"/>
    <w:rsid w:val="00C52927"/>
    <w:rsid w:val="00C53E7D"/>
    <w:rsid w:val="00C574D5"/>
    <w:rsid w:val="00C57F86"/>
    <w:rsid w:val="00C65FCD"/>
    <w:rsid w:val="00C6687E"/>
    <w:rsid w:val="00C67C6F"/>
    <w:rsid w:val="00C71986"/>
    <w:rsid w:val="00C73F32"/>
    <w:rsid w:val="00C744CC"/>
    <w:rsid w:val="00C8703F"/>
    <w:rsid w:val="00C87462"/>
    <w:rsid w:val="00C91B2D"/>
    <w:rsid w:val="00C95678"/>
    <w:rsid w:val="00CA180C"/>
    <w:rsid w:val="00CA6715"/>
    <w:rsid w:val="00CA79E7"/>
    <w:rsid w:val="00CB0DC8"/>
    <w:rsid w:val="00CB1A26"/>
    <w:rsid w:val="00CB22B2"/>
    <w:rsid w:val="00CC0A58"/>
    <w:rsid w:val="00CC226B"/>
    <w:rsid w:val="00CC3700"/>
    <w:rsid w:val="00CC3C92"/>
    <w:rsid w:val="00CC3EE2"/>
    <w:rsid w:val="00CD0CC8"/>
    <w:rsid w:val="00CD3E6A"/>
    <w:rsid w:val="00CD4381"/>
    <w:rsid w:val="00CD7492"/>
    <w:rsid w:val="00CD7692"/>
    <w:rsid w:val="00CE3A6B"/>
    <w:rsid w:val="00CE58AA"/>
    <w:rsid w:val="00CF274F"/>
    <w:rsid w:val="00CF54BD"/>
    <w:rsid w:val="00D00211"/>
    <w:rsid w:val="00D00E5A"/>
    <w:rsid w:val="00D01229"/>
    <w:rsid w:val="00D0294E"/>
    <w:rsid w:val="00D06309"/>
    <w:rsid w:val="00D10EEE"/>
    <w:rsid w:val="00D1174C"/>
    <w:rsid w:val="00D20F2A"/>
    <w:rsid w:val="00D215EB"/>
    <w:rsid w:val="00D24437"/>
    <w:rsid w:val="00D25B4E"/>
    <w:rsid w:val="00D31936"/>
    <w:rsid w:val="00D31FD6"/>
    <w:rsid w:val="00D332CD"/>
    <w:rsid w:val="00D351EA"/>
    <w:rsid w:val="00D35850"/>
    <w:rsid w:val="00D35AA9"/>
    <w:rsid w:val="00D40288"/>
    <w:rsid w:val="00D40659"/>
    <w:rsid w:val="00D43403"/>
    <w:rsid w:val="00D45325"/>
    <w:rsid w:val="00D45621"/>
    <w:rsid w:val="00D51185"/>
    <w:rsid w:val="00D51B87"/>
    <w:rsid w:val="00D5270B"/>
    <w:rsid w:val="00D55D9A"/>
    <w:rsid w:val="00D56CBB"/>
    <w:rsid w:val="00D56CC2"/>
    <w:rsid w:val="00D62E71"/>
    <w:rsid w:val="00D6430D"/>
    <w:rsid w:val="00D64D2E"/>
    <w:rsid w:val="00D66188"/>
    <w:rsid w:val="00D72E0C"/>
    <w:rsid w:val="00D731F6"/>
    <w:rsid w:val="00D740CA"/>
    <w:rsid w:val="00D76220"/>
    <w:rsid w:val="00D84649"/>
    <w:rsid w:val="00D85728"/>
    <w:rsid w:val="00D91C50"/>
    <w:rsid w:val="00D93677"/>
    <w:rsid w:val="00D95481"/>
    <w:rsid w:val="00DA6259"/>
    <w:rsid w:val="00DA7547"/>
    <w:rsid w:val="00DA7B48"/>
    <w:rsid w:val="00DB0D80"/>
    <w:rsid w:val="00DB2B19"/>
    <w:rsid w:val="00DB46B2"/>
    <w:rsid w:val="00DB4740"/>
    <w:rsid w:val="00DC7A13"/>
    <w:rsid w:val="00DE202F"/>
    <w:rsid w:val="00DE4CD7"/>
    <w:rsid w:val="00DE6E8B"/>
    <w:rsid w:val="00DE7A38"/>
    <w:rsid w:val="00DF2997"/>
    <w:rsid w:val="00E06964"/>
    <w:rsid w:val="00E10BC4"/>
    <w:rsid w:val="00E10C54"/>
    <w:rsid w:val="00E12665"/>
    <w:rsid w:val="00E1415D"/>
    <w:rsid w:val="00E154E8"/>
    <w:rsid w:val="00E3069D"/>
    <w:rsid w:val="00E31CA0"/>
    <w:rsid w:val="00E323E9"/>
    <w:rsid w:val="00E34018"/>
    <w:rsid w:val="00E3437C"/>
    <w:rsid w:val="00E36AD8"/>
    <w:rsid w:val="00E377FB"/>
    <w:rsid w:val="00E437D2"/>
    <w:rsid w:val="00E52424"/>
    <w:rsid w:val="00E55751"/>
    <w:rsid w:val="00E60033"/>
    <w:rsid w:val="00E6180F"/>
    <w:rsid w:val="00E72036"/>
    <w:rsid w:val="00E7484A"/>
    <w:rsid w:val="00E75569"/>
    <w:rsid w:val="00E77BE7"/>
    <w:rsid w:val="00E813D5"/>
    <w:rsid w:val="00E82C33"/>
    <w:rsid w:val="00E83BC4"/>
    <w:rsid w:val="00E844B7"/>
    <w:rsid w:val="00E96B65"/>
    <w:rsid w:val="00EA2311"/>
    <w:rsid w:val="00EB4663"/>
    <w:rsid w:val="00EC179F"/>
    <w:rsid w:val="00EC2D8A"/>
    <w:rsid w:val="00EC7BC3"/>
    <w:rsid w:val="00ED3222"/>
    <w:rsid w:val="00ED7600"/>
    <w:rsid w:val="00EF450B"/>
    <w:rsid w:val="00EF6073"/>
    <w:rsid w:val="00EF698B"/>
    <w:rsid w:val="00F0218B"/>
    <w:rsid w:val="00F02951"/>
    <w:rsid w:val="00F0402B"/>
    <w:rsid w:val="00F04FEB"/>
    <w:rsid w:val="00F114FF"/>
    <w:rsid w:val="00F1362C"/>
    <w:rsid w:val="00F14D59"/>
    <w:rsid w:val="00F26369"/>
    <w:rsid w:val="00F2724F"/>
    <w:rsid w:val="00F325BB"/>
    <w:rsid w:val="00F3386F"/>
    <w:rsid w:val="00F3684B"/>
    <w:rsid w:val="00F40B60"/>
    <w:rsid w:val="00F414F1"/>
    <w:rsid w:val="00F44020"/>
    <w:rsid w:val="00F44346"/>
    <w:rsid w:val="00F4552F"/>
    <w:rsid w:val="00F508B8"/>
    <w:rsid w:val="00F5168A"/>
    <w:rsid w:val="00F572FF"/>
    <w:rsid w:val="00F6036F"/>
    <w:rsid w:val="00F6371C"/>
    <w:rsid w:val="00F643BB"/>
    <w:rsid w:val="00F71B68"/>
    <w:rsid w:val="00F72341"/>
    <w:rsid w:val="00F72CB1"/>
    <w:rsid w:val="00F73CF3"/>
    <w:rsid w:val="00F75D72"/>
    <w:rsid w:val="00F8215E"/>
    <w:rsid w:val="00F824F5"/>
    <w:rsid w:val="00F85A9A"/>
    <w:rsid w:val="00F9374D"/>
    <w:rsid w:val="00F9394A"/>
    <w:rsid w:val="00F95022"/>
    <w:rsid w:val="00F9697B"/>
    <w:rsid w:val="00FA0BB0"/>
    <w:rsid w:val="00FA260C"/>
    <w:rsid w:val="00FA2B19"/>
    <w:rsid w:val="00FA4D9C"/>
    <w:rsid w:val="00FB0685"/>
    <w:rsid w:val="00FB1775"/>
    <w:rsid w:val="00FB1CE4"/>
    <w:rsid w:val="00FB1F20"/>
    <w:rsid w:val="00FC29B9"/>
    <w:rsid w:val="00FC3F27"/>
    <w:rsid w:val="00FC6114"/>
    <w:rsid w:val="00FC6FD3"/>
    <w:rsid w:val="00FC7121"/>
    <w:rsid w:val="00FD5A94"/>
    <w:rsid w:val="00FD6C62"/>
    <w:rsid w:val="00FD7D3F"/>
    <w:rsid w:val="00FE2079"/>
    <w:rsid w:val="00FE305C"/>
    <w:rsid w:val="00FE4CAD"/>
    <w:rsid w:val="00FE6AC8"/>
    <w:rsid w:val="00FF0301"/>
    <w:rsid w:val="00FF65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33E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E45"/>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Jost Medium" w:hAnsi="Jost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Doc-text2Char">
    <w:name w:val="Doc-text2 Char"/>
    <w:link w:val="Doc-text2"/>
    <w:qFormat/>
    <w:rsid w:val="006E3018"/>
    <w:rPr>
      <w:rFonts w:ascii="Arial" w:eastAsia="MS Mincho" w:hAnsi="Arial"/>
      <w:szCs w:val="24"/>
    </w:rPr>
  </w:style>
  <w:style w:type="paragraph" w:customStyle="1" w:styleId="Doc-text2">
    <w:name w:val="Doc-text2"/>
    <w:basedOn w:val="Normal"/>
    <w:link w:val="Doc-text2Char"/>
    <w:qFormat/>
    <w:rsid w:val="006E3018"/>
    <w:pPr>
      <w:tabs>
        <w:tab w:val="left" w:pos="1622"/>
      </w:tabs>
      <w:spacing w:after="0" w:line="240" w:lineRule="auto"/>
      <w:ind w:left="1622" w:hanging="363"/>
    </w:pPr>
    <w:rPr>
      <w:rFonts w:ascii="Arial" w:eastAsia="MS Mincho" w:hAnsi="Arial"/>
      <w:sz w:val="22"/>
      <w:szCs w:val="24"/>
    </w:rPr>
  </w:style>
  <w:style w:type="paragraph" w:customStyle="1" w:styleId="Agreement">
    <w:name w:val="Agreement"/>
    <w:basedOn w:val="Normal"/>
    <w:next w:val="Doc-text2"/>
    <w:qFormat/>
    <w:rsid w:val="006E3018"/>
    <w:pPr>
      <w:numPr>
        <w:numId w:val="7"/>
      </w:numPr>
      <w:spacing w:before="60" w:after="0" w:line="240" w:lineRule="auto"/>
    </w:pPr>
    <w:rPr>
      <w:rFonts w:ascii="Arial" w:eastAsia="MS Mincho" w:hAnsi="Arial" w:cs="Times New Roman"/>
      <w:b/>
      <w:szCs w:val="24"/>
      <w:lang w:val="en-GB" w:eastAsia="en-GB"/>
    </w:rPr>
  </w:style>
  <w:style w:type="paragraph" w:customStyle="1" w:styleId="paragraph">
    <w:name w:val="paragraph"/>
    <w:basedOn w:val="Normal"/>
    <w:rsid w:val="006E3018"/>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6E3018"/>
  </w:style>
  <w:style w:type="character" w:customStyle="1" w:styleId="eop">
    <w:name w:val="eop"/>
    <w:basedOn w:val="DefaultParagraphFont"/>
    <w:rsid w:val="006E3018"/>
  </w:style>
  <w:style w:type="paragraph" w:styleId="NoSpacing">
    <w:name w:val="No Spacing"/>
    <w:uiPriority w:val="1"/>
    <w:qFormat/>
    <w:rsid w:val="006E3018"/>
    <w:pPr>
      <w:spacing w:after="0" w:line="240" w:lineRule="auto"/>
    </w:pPr>
    <w:rPr>
      <w:rFonts w:ascii="Times New Roman" w:hAnsi="Times New Roman"/>
      <w:sz w:val="20"/>
      <w:lang w:val="en-GB"/>
    </w:rPr>
  </w:style>
  <w:style w:type="paragraph" w:styleId="Revision">
    <w:name w:val="Revision"/>
    <w:hidden/>
    <w:uiPriority w:val="99"/>
    <w:semiHidden/>
    <w:rsid w:val="003454B2"/>
    <w:pPr>
      <w:spacing w:after="0" w:line="240" w:lineRule="auto"/>
    </w:pPr>
    <w:rPr>
      <w:rFonts w:ascii="Times New Roman" w:hAnsi="Times New Roman"/>
      <w:sz w:val="20"/>
    </w:rPr>
  </w:style>
  <w:style w:type="paragraph" w:styleId="Header">
    <w:name w:val="header"/>
    <w:basedOn w:val="Normal"/>
    <w:link w:val="HeaderChar"/>
    <w:uiPriority w:val="99"/>
    <w:unhideWhenUsed/>
    <w:rsid w:val="00F643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43BB"/>
    <w:rPr>
      <w:rFonts w:ascii="Times New Roman" w:hAnsi="Times New Roman"/>
      <w:sz w:val="20"/>
    </w:rPr>
  </w:style>
  <w:style w:type="paragraph" w:styleId="Footer">
    <w:name w:val="footer"/>
    <w:basedOn w:val="Normal"/>
    <w:link w:val="FooterChar"/>
    <w:uiPriority w:val="99"/>
    <w:unhideWhenUsed/>
    <w:rsid w:val="00F643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43BB"/>
    <w:rPr>
      <w:rFonts w:ascii="Times New Roman" w:hAnsi="Times New Roman"/>
      <w:sz w:val="20"/>
    </w:rPr>
  </w:style>
  <w:style w:type="paragraph" w:customStyle="1" w:styleId="B1">
    <w:name w:val="B1"/>
    <w:basedOn w:val="List"/>
    <w:link w:val="B1Char"/>
    <w:qFormat/>
    <w:rsid w:val="00E77BE7"/>
    <w:pPr>
      <w:spacing w:after="180"/>
      <w:ind w:left="568" w:hanging="284"/>
      <w:contextualSpacing w:val="0"/>
    </w:pPr>
    <w:rPr>
      <w:rFonts w:eastAsia="Malgun Gothic" w:cs="Times New Roman"/>
      <w:szCs w:val="20"/>
      <w:lang w:val="en-GB"/>
    </w:rPr>
  </w:style>
  <w:style w:type="character" w:customStyle="1" w:styleId="B1Char">
    <w:name w:val="B1 Char"/>
    <w:link w:val="B1"/>
    <w:qFormat/>
    <w:rsid w:val="00E77BE7"/>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77BE7"/>
    <w:pPr>
      <w:ind w:left="283" w:hanging="283"/>
      <w:contextualSpacing/>
    </w:pPr>
  </w:style>
  <w:style w:type="character" w:styleId="Mention">
    <w:name w:val="Mention"/>
    <w:basedOn w:val="DefaultParagraphFont"/>
    <w:uiPriority w:val="99"/>
    <w:unhideWhenUsed/>
    <w:rsid w:val="0057241D"/>
    <w:rPr>
      <w:color w:val="2B579A"/>
      <w:shd w:val="clear" w:color="auto" w:fill="E1DFDD"/>
    </w:rPr>
  </w:style>
  <w:style w:type="paragraph" w:styleId="NormalWeb">
    <w:name w:val="Normal (Web)"/>
    <w:basedOn w:val="Normal"/>
    <w:uiPriority w:val="99"/>
    <w:semiHidden/>
    <w:unhideWhenUsed/>
    <w:rsid w:val="002D049C"/>
    <w:pPr>
      <w:spacing w:before="100" w:beforeAutospacing="1" w:after="100" w:afterAutospacing="1" w:line="240" w:lineRule="auto"/>
      <w:jc w:val="left"/>
    </w:pPr>
    <w:rPr>
      <w:rFonts w:eastAsia="Times New Roman" w:cs="Times New Roman"/>
      <w:sz w:val="24"/>
      <w:szCs w:val="24"/>
      <w:lang w:eastAsia="zh-CN"/>
    </w:rPr>
  </w:style>
  <w:style w:type="character" w:customStyle="1" w:styleId="B2Char">
    <w:name w:val="B2 Char"/>
    <w:link w:val="B2"/>
    <w:qFormat/>
    <w:locked/>
    <w:rsid w:val="00EC179F"/>
    <w:rPr>
      <w:rFonts w:eastAsiaTheme="minorEastAsia"/>
      <w:lang w:eastAsia="zh-CN"/>
    </w:rPr>
  </w:style>
  <w:style w:type="paragraph" w:customStyle="1" w:styleId="B2">
    <w:name w:val="B2"/>
    <w:basedOn w:val="List2"/>
    <w:link w:val="B2Char"/>
    <w:rsid w:val="00EC179F"/>
    <w:pPr>
      <w:spacing w:line="256" w:lineRule="auto"/>
      <w:ind w:left="851" w:hanging="284"/>
      <w:contextualSpacing w:val="0"/>
      <w:jc w:val="left"/>
    </w:pPr>
    <w:rPr>
      <w:rFonts w:asciiTheme="minorHAnsi" w:eastAsiaTheme="minorEastAsia" w:hAnsiTheme="minorHAnsi"/>
      <w:sz w:val="22"/>
      <w:lang w:eastAsia="zh-CN"/>
    </w:rPr>
  </w:style>
  <w:style w:type="paragraph" w:styleId="List2">
    <w:name w:val="List 2"/>
    <w:basedOn w:val="Normal"/>
    <w:uiPriority w:val="99"/>
    <w:semiHidden/>
    <w:unhideWhenUsed/>
    <w:rsid w:val="00EC179F"/>
    <w:pPr>
      <w:ind w:left="566" w:hanging="283"/>
      <w:contextualSpacing/>
    </w:pPr>
  </w:style>
  <w:style w:type="character" w:customStyle="1" w:styleId="ui-provider">
    <w:name w:val="ui-provider"/>
    <w:basedOn w:val="DefaultParagraphFont"/>
    <w:rsid w:val="00C51B02"/>
  </w:style>
  <w:style w:type="paragraph" w:customStyle="1" w:styleId="a">
    <w:name w:val="正文首段"/>
    <w:basedOn w:val="Normal"/>
    <w:qFormat/>
    <w:rsid w:val="003331B9"/>
    <w:pPr>
      <w:widowControl w:val="0"/>
      <w:spacing w:before="60" w:after="60" w:line="288" w:lineRule="auto"/>
    </w:pPr>
    <w:rPr>
      <w:rFonts w:eastAsia="Times New Roman" w:cs="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60259">
      <w:bodyDiv w:val="1"/>
      <w:marLeft w:val="0"/>
      <w:marRight w:val="0"/>
      <w:marTop w:val="0"/>
      <w:marBottom w:val="0"/>
      <w:divBdr>
        <w:top w:val="none" w:sz="0" w:space="0" w:color="auto"/>
        <w:left w:val="none" w:sz="0" w:space="0" w:color="auto"/>
        <w:bottom w:val="none" w:sz="0" w:space="0" w:color="auto"/>
        <w:right w:val="none" w:sz="0" w:space="0" w:color="auto"/>
      </w:divBdr>
    </w:div>
    <w:div w:id="221402676">
      <w:bodyDiv w:val="1"/>
      <w:marLeft w:val="0"/>
      <w:marRight w:val="0"/>
      <w:marTop w:val="0"/>
      <w:marBottom w:val="0"/>
      <w:divBdr>
        <w:top w:val="none" w:sz="0" w:space="0" w:color="auto"/>
        <w:left w:val="none" w:sz="0" w:space="0" w:color="auto"/>
        <w:bottom w:val="none" w:sz="0" w:space="0" w:color="auto"/>
        <w:right w:val="none" w:sz="0" w:space="0" w:color="auto"/>
      </w:divBdr>
    </w:div>
    <w:div w:id="261956683">
      <w:bodyDiv w:val="1"/>
      <w:marLeft w:val="0"/>
      <w:marRight w:val="0"/>
      <w:marTop w:val="0"/>
      <w:marBottom w:val="0"/>
      <w:divBdr>
        <w:top w:val="none" w:sz="0" w:space="0" w:color="auto"/>
        <w:left w:val="none" w:sz="0" w:space="0" w:color="auto"/>
        <w:bottom w:val="none" w:sz="0" w:space="0" w:color="auto"/>
        <w:right w:val="none" w:sz="0" w:space="0" w:color="auto"/>
      </w:divBdr>
    </w:div>
    <w:div w:id="276177969">
      <w:bodyDiv w:val="1"/>
      <w:marLeft w:val="0"/>
      <w:marRight w:val="0"/>
      <w:marTop w:val="0"/>
      <w:marBottom w:val="0"/>
      <w:divBdr>
        <w:top w:val="none" w:sz="0" w:space="0" w:color="auto"/>
        <w:left w:val="none" w:sz="0" w:space="0" w:color="auto"/>
        <w:bottom w:val="none" w:sz="0" w:space="0" w:color="auto"/>
        <w:right w:val="none" w:sz="0" w:space="0" w:color="auto"/>
      </w:divBdr>
    </w:div>
    <w:div w:id="354427074">
      <w:bodyDiv w:val="1"/>
      <w:marLeft w:val="0"/>
      <w:marRight w:val="0"/>
      <w:marTop w:val="0"/>
      <w:marBottom w:val="0"/>
      <w:divBdr>
        <w:top w:val="none" w:sz="0" w:space="0" w:color="auto"/>
        <w:left w:val="none" w:sz="0" w:space="0" w:color="auto"/>
        <w:bottom w:val="none" w:sz="0" w:space="0" w:color="auto"/>
        <w:right w:val="none" w:sz="0" w:space="0" w:color="auto"/>
      </w:divBdr>
    </w:div>
    <w:div w:id="443548567">
      <w:bodyDiv w:val="1"/>
      <w:marLeft w:val="0"/>
      <w:marRight w:val="0"/>
      <w:marTop w:val="0"/>
      <w:marBottom w:val="0"/>
      <w:divBdr>
        <w:top w:val="none" w:sz="0" w:space="0" w:color="auto"/>
        <w:left w:val="none" w:sz="0" w:space="0" w:color="auto"/>
        <w:bottom w:val="none" w:sz="0" w:space="0" w:color="auto"/>
        <w:right w:val="none" w:sz="0" w:space="0" w:color="auto"/>
      </w:divBdr>
    </w:div>
    <w:div w:id="578248802">
      <w:bodyDiv w:val="1"/>
      <w:marLeft w:val="0"/>
      <w:marRight w:val="0"/>
      <w:marTop w:val="0"/>
      <w:marBottom w:val="0"/>
      <w:divBdr>
        <w:top w:val="none" w:sz="0" w:space="0" w:color="auto"/>
        <w:left w:val="none" w:sz="0" w:space="0" w:color="auto"/>
        <w:bottom w:val="none" w:sz="0" w:space="0" w:color="auto"/>
        <w:right w:val="none" w:sz="0" w:space="0" w:color="auto"/>
      </w:divBdr>
    </w:div>
    <w:div w:id="639114221">
      <w:bodyDiv w:val="1"/>
      <w:marLeft w:val="0"/>
      <w:marRight w:val="0"/>
      <w:marTop w:val="0"/>
      <w:marBottom w:val="0"/>
      <w:divBdr>
        <w:top w:val="none" w:sz="0" w:space="0" w:color="auto"/>
        <w:left w:val="none" w:sz="0" w:space="0" w:color="auto"/>
        <w:bottom w:val="none" w:sz="0" w:space="0" w:color="auto"/>
        <w:right w:val="none" w:sz="0" w:space="0" w:color="auto"/>
      </w:divBdr>
    </w:div>
    <w:div w:id="677581467">
      <w:bodyDiv w:val="1"/>
      <w:marLeft w:val="0"/>
      <w:marRight w:val="0"/>
      <w:marTop w:val="0"/>
      <w:marBottom w:val="0"/>
      <w:divBdr>
        <w:top w:val="none" w:sz="0" w:space="0" w:color="auto"/>
        <w:left w:val="none" w:sz="0" w:space="0" w:color="auto"/>
        <w:bottom w:val="none" w:sz="0" w:space="0" w:color="auto"/>
        <w:right w:val="none" w:sz="0" w:space="0" w:color="auto"/>
      </w:divBdr>
    </w:div>
    <w:div w:id="733553181">
      <w:bodyDiv w:val="1"/>
      <w:marLeft w:val="0"/>
      <w:marRight w:val="0"/>
      <w:marTop w:val="0"/>
      <w:marBottom w:val="0"/>
      <w:divBdr>
        <w:top w:val="none" w:sz="0" w:space="0" w:color="auto"/>
        <w:left w:val="none" w:sz="0" w:space="0" w:color="auto"/>
        <w:bottom w:val="none" w:sz="0" w:space="0" w:color="auto"/>
        <w:right w:val="none" w:sz="0" w:space="0" w:color="auto"/>
      </w:divBdr>
    </w:div>
    <w:div w:id="819544596">
      <w:bodyDiv w:val="1"/>
      <w:marLeft w:val="0"/>
      <w:marRight w:val="0"/>
      <w:marTop w:val="0"/>
      <w:marBottom w:val="0"/>
      <w:divBdr>
        <w:top w:val="none" w:sz="0" w:space="0" w:color="auto"/>
        <w:left w:val="none" w:sz="0" w:space="0" w:color="auto"/>
        <w:bottom w:val="none" w:sz="0" w:space="0" w:color="auto"/>
        <w:right w:val="none" w:sz="0" w:space="0" w:color="auto"/>
      </w:divBdr>
    </w:div>
    <w:div w:id="899829577">
      <w:bodyDiv w:val="1"/>
      <w:marLeft w:val="0"/>
      <w:marRight w:val="0"/>
      <w:marTop w:val="0"/>
      <w:marBottom w:val="0"/>
      <w:divBdr>
        <w:top w:val="none" w:sz="0" w:space="0" w:color="auto"/>
        <w:left w:val="none" w:sz="0" w:space="0" w:color="auto"/>
        <w:bottom w:val="none" w:sz="0" w:space="0" w:color="auto"/>
        <w:right w:val="none" w:sz="0" w:space="0" w:color="auto"/>
      </w:divBdr>
    </w:div>
    <w:div w:id="999162584">
      <w:bodyDiv w:val="1"/>
      <w:marLeft w:val="0"/>
      <w:marRight w:val="0"/>
      <w:marTop w:val="0"/>
      <w:marBottom w:val="0"/>
      <w:divBdr>
        <w:top w:val="none" w:sz="0" w:space="0" w:color="auto"/>
        <w:left w:val="none" w:sz="0" w:space="0" w:color="auto"/>
        <w:bottom w:val="none" w:sz="0" w:space="0" w:color="auto"/>
        <w:right w:val="none" w:sz="0" w:space="0" w:color="auto"/>
      </w:divBdr>
    </w:div>
    <w:div w:id="1077871788">
      <w:bodyDiv w:val="1"/>
      <w:marLeft w:val="0"/>
      <w:marRight w:val="0"/>
      <w:marTop w:val="0"/>
      <w:marBottom w:val="0"/>
      <w:divBdr>
        <w:top w:val="none" w:sz="0" w:space="0" w:color="auto"/>
        <w:left w:val="none" w:sz="0" w:space="0" w:color="auto"/>
        <w:bottom w:val="none" w:sz="0" w:space="0" w:color="auto"/>
        <w:right w:val="none" w:sz="0" w:space="0" w:color="auto"/>
      </w:divBdr>
    </w:div>
    <w:div w:id="1091243589">
      <w:bodyDiv w:val="1"/>
      <w:marLeft w:val="0"/>
      <w:marRight w:val="0"/>
      <w:marTop w:val="0"/>
      <w:marBottom w:val="0"/>
      <w:divBdr>
        <w:top w:val="none" w:sz="0" w:space="0" w:color="auto"/>
        <w:left w:val="none" w:sz="0" w:space="0" w:color="auto"/>
        <w:bottom w:val="none" w:sz="0" w:space="0" w:color="auto"/>
        <w:right w:val="none" w:sz="0" w:space="0" w:color="auto"/>
      </w:divBdr>
    </w:div>
    <w:div w:id="1096252176">
      <w:bodyDiv w:val="1"/>
      <w:marLeft w:val="0"/>
      <w:marRight w:val="0"/>
      <w:marTop w:val="0"/>
      <w:marBottom w:val="0"/>
      <w:divBdr>
        <w:top w:val="none" w:sz="0" w:space="0" w:color="auto"/>
        <w:left w:val="none" w:sz="0" w:space="0" w:color="auto"/>
        <w:bottom w:val="none" w:sz="0" w:space="0" w:color="auto"/>
        <w:right w:val="none" w:sz="0" w:space="0" w:color="auto"/>
      </w:divBdr>
    </w:div>
    <w:div w:id="1249653875">
      <w:bodyDiv w:val="1"/>
      <w:marLeft w:val="0"/>
      <w:marRight w:val="0"/>
      <w:marTop w:val="0"/>
      <w:marBottom w:val="0"/>
      <w:divBdr>
        <w:top w:val="none" w:sz="0" w:space="0" w:color="auto"/>
        <w:left w:val="none" w:sz="0" w:space="0" w:color="auto"/>
        <w:bottom w:val="none" w:sz="0" w:space="0" w:color="auto"/>
        <w:right w:val="none" w:sz="0" w:space="0" w:color="auto"/>
      </w:divBdr>
    </w:div>
    <w:div w:id="1531145944">
      <w:bodyDiv w:val="1"/>
      <w:marLeft w:val="0"/>
      <w:marRight w:val="0"/>
      <w:marTop w:val="0"/>
      <w:marBottom w:val="0"/>
      <w:divBdr>
        <w:top w:val="none" w:sz="0" w:space="0" w:color="auto"/>
        <w:left w:val="none" w:sz="0" w:space="0" w:color="auto"/>
        <w:bottom w:val="none" w:sz="0" w:space="0" w:color="auto"/>
        <w:right w:val="none" w:sz="0" w:space="0" w:color="auto"/>
      </w:divBdr>
    </w:div>
    <w:div w:id="1617636578">
      <w:bodyDiv w:val="1"/>
      <w:marLeft w:val="0"/>
      <w:marRight w:val="0"/>
      <w:marTop w:val="0"/>
      <w:marBottom w:val="0"/>
      <w:divBdr>
        <w:top w:val="none" w:sz="0" w:space="0" w:color="auto"/>
        <w:left w:val="none" w:sz="0" w:space="0" w:color="auto"/>
        <w:bottom w:val="none" w:sz="0" w:space="0" w:color="auto"/>
        <w:right w:val="none" w:sz="0" w:space="0" w:color="auto"/>
      </w:divBdr>
    </w:div>
    <w:div w:id="1676228348">
      <w:bodyDiv w:val="1"/>
      <w:marLeft w:val="0"/>
      <w:marRight w:val="0"/>
      <w:marTop w:val="0"/>
      <w:marBottom w:val="0"/>
      <w:divBdr>
        <w:top w:val="none" w:sz="0" w:space="0" w:color="auto"/>
        <w:left w:val="none" w:sz="0" w:space="0" w:color="auto"/>
        <w:bottom w:val="none" w:sz="0" w:space="0" w:color="auto"/>
        <w:right w:val="none" w:sz="0" w:space="0" w:color="auto"/>
      </w:divBdr>
    </w:div>
    <w:div w:id="1677658904">
      <w:bodyDiv w:val="1"/>
      <w:marLeft w:val="0"/>
      <w:marRight w:val="0"/>
      <w:marTop w:val="0"/>
      <w:marBottom w:val="0"/>
      <w:divBdr>
        <w:top w:val="none" w:sz="0" w:space="0" w:color="auto"/>
        <w:left w:val="none" w:sz="0" w:space="0" w:color="auto"/>
        <w:bottom w:val="none" w:sz="0" w:space="0" w:color="auto"/>
        <w:right w:val="none" w:sz="0" w:space="0" w:color="auto"/>
      </w:divBdr>
      <w:divsChild>
        <w:div w:id="208227529">
          <w:marLeft w:val="1166"/>
          <w:marRight w:val="0"/>
          <w:marTop w:val="0"/>
          <w:marBottom w:val="160"/>
          <w:divBdr>
            <w:top w:val="none" w:sz="0" w:space="0" w:color="auto"/>
            <w:left w:val="none" w:sz="0" w:space="0" w:color="auto"/>
            <w:bottom w:val="none" w:sz="0" w:space="0" w:color="auto"/>
            <w:right w:val="none" w:sz="0" w:space="0" w:color="auto"/>
          </w:divBdr>
        </w:div>
        <w:div w:id="1002778438">
          <w:marLeft w:val="1181"/>
          <w:marRight w:val="0"/>
          <w:marTop w:val="0"/>
          <w:marBottom w:val="120"/>
          <w:divBdr>
            <w:top w:val="none" w:sz="0" w:space="0" w:color="auto"/>
            <w:left w:val="none" w:sz="0" w:space="0" w:color="auto"/>
            <w:bottom w:val="none" w:sz="0" w:space="0" w:color="auto"/>
            <w:right w:val="none" w:sz="0" w:space="0" w:color="auto"/>
          </w:divBdr>
        </w:div>
        <w:div w:id="1632129206">
          <w:marLeft w:val="1181"/>
          <w:marRight w:val="0"/>
          <w:marTop w:val="0"/>
          <w:marBottom w:val="120"/>
          <w:divBdr>
            <w:top w:val="none" w:sz="0" w:space="0" w:color="auto"/>
            <w:left w:val="none" w:sz="0" w:space="0" w:color="auto"/>
            <w:bottom w:val="none" w:sz="0" w:space="0" w:color="auto"/>
            <w:right w:val="none" w:sz="0" w:space="0" w:color="auto"/>
          </w:divBdr>
        </w:div>
        <w:div w:id="1737166997">
          <w:marLeft w:val="1181"/>
          <w:marRight w:val="0"/>
          <w:marTop w:val="0"/>
          <w:marBottom w:val="120"/>
          <w:divBdr>
            <w:top w:val="none" w:sz="0" w:space="0" w:color="auto"/>
            <w:left w:val="none" w:sz="0" w:space="0" w:color="auto"/>
            <w:bottom w:val="none" w:sz="0" w:space="0" w:color="auto"/>
            <w:right w:val="none" w:sz="0" w:space="0" w:color="auto"/>
          </w:divBdr>
        </w:div>
        <w:div w:id="1826820153">
          <w:marLeft w:val="1181"/>
          <w:marRight w:val="0"/>
          <w:marTop w:val="0"/>
          <w:marBottom w:val="120"/>
          <w:divBdr>
            <w:top w:val="none" w:sz="0" w:space="0" w:color="auto"/>
            <w:left w:val="none" w:sz="0" w:space="0" w:color="auto"/>
            <w:bottom w:val="none" w:sz="0" w:space="0" w:color="auto"/>
            <w:right w:val="none" w:sz="0" w:space="0" w:color="auto"/>
          </w:divBdr>
        </w:div>
      </w:divsChild>
    </w:div>
    <w:div w:id="1741750449">
      <w:bodyDiv w:val="1"/>
      <w:marLeft w:val="0"/>
      <w:marRight w:val="0"/>
      <w:marTop w:val="0"/>
      <w:marBottom w:val="0"/>
      <w:divBdr>
        <w:top w:val="none" w:sz="0" w:space="0" w:color="auto"/>
        <w:left w:val="none" w:sz="0" w:space="0" w:color="auto"/>
        <w:bottom w:val="none" w:sz="0" w:space="0" w:color="auto"/>
        <w:right w:val="none" w:sz="0" w:space="0" w:color="auto"/>
      </w:divBdr>
    </w:div>
    <w:div w:id="1797330629">
      <w:bodyDiv w:val="1"/>
      <w:marLeft w:val="0"/>
      <w:marRight w:val="0"/>
      <w:marTop w:val="0"/>
      <w:marBottom w:val="0"/>
      <w:divBdr>
        <w:top w:val="none" w:sz="0" w:space="0" w:color="auto"/>
        <w:left w:val="none" w:sz="0" w:space="0" w:color="auto"/>
        <w:bottom w:val="none" w:sz="0" w:space="0" w:color="auto"/>
        <w:right w:val="none" w:sz="0" w:space="0" w:color="auto"/>
      </w:divBdr>
    </w:div>
    <w:div w:id="1825581125">
      <w:bodyDiv w:val="1"/>
      <w:marLeft w:val="0"/>
      <w:marRight w:val="0"/>
      <w:marTop w:val="0"/>
      <w:marBottom w:val="0"/>
      <w:divBdr>
        <w:top w:val="none" w:sz="0" w:space="0" w:color="auto"/>
        <w:left w:val="none" w:sz="0" w:space="0" w:color="auto"/>
        <w:bottom w:val="none" w:sz="0" w:space="0" w:color="auto"/>
        <w:right w:val="none" w:sz="0" w:space="0" w:color="auto"/>
      </w:divBdr>
    </w:div>
    <w:div w:id="1868978958">
      <w:bodyDiv w:val="1"/>
      <w:marLeft w:val="0"/>
      <w:marRight w:val="0"/>
      <w:marTop w:val="0"/>
      <w:marBottom w:val="0"/>
      <w:divBdr>
        <w:top w:val="none" w:sz="0" w:space="0" w:color="auto"/>
        <w:left w:val="none" w:sz="0" w:space="0" w:color="auto"/>
        <w:bottom w:val="none" w:sz="0" w:space="0" w:color="auto"/>
        <w:right w:val="none" w:sz="0" w:space="0" w:color="auto"/>
      </w:divBdr>
      <w:divsChild>
        <w:div w:id="375206228">
          <w:marLeft w:val="1181"/>
          <w:marRight w:val="0"/>
          <w:marTop w:val="0"/>
          <w:marBottom w:val="120"/>
          <w:divBdr>
            <w:top w:val="none" w:sz="0" w:space="0" w:color="auto"/>
            <w:left w:val="none" w:sz="0" w:space="0" w:color="auto"/>
            <w:bottom w:val="none" w:sz="0" w:space="0" w:color="auto"/>
            <w:right w:val="none" w:sz="0" w:space="0" w:color="auto"/>
          </w:divBdr>
        </w:div>
        <w:div w:id="546575951">
          <w:marLeft w:val="1181"/>
          <w:marRight w:val="0"/>
          <w:marTop w:val="0"/>
          <w:marBottom w:val="120"/>
          <w:divBdr>
            <w:top w:val="none" w:sz="0" w:space="0" w:color="auto"/>
            <w:left w:val="none" w:sz="0" w:space="0" w:color="auto"/>
            <w:bottom w:val="none" w:sz="0" w:space="0" w:color="auto"/>
            <w:right w:val="none" w:sz="0" w:space="0" w:color="auto"/>
          </w:divBdr>
        </w:div>
        <w:div w:id="1267152647">
          <w:marLeft w:val="1181"/>
          <w:marRight w:val="0"/>
          <w:marTop w:val="0"/>
          <w:marBottom w:val="120"/>
          <w:divBdr>
            <w:top w:val="none" w:sz="0" w:space="0" w:color="auto"/>
            <w:left w:val="none" w:sz="0" w:space="0" w:color="auto"/>
            <w:bottom w:val="none" w:sz="0" w:space="0" w:color="auto"/>
            <w:right w:val="none" w:sz="0" w:space="0" w:color="auto"/>
          </w:divBdr>
        </w:div>
        <w:div w:id="1791321679">
          <w:marLeft w:val="1181"/>
          <w:marRight w:val="0"/>
          <w:marTop w:val="0"/>
          <w:marBottom w:val="120"/>
          <w:divBdr>
            <w:top w:val="none" w:sz="0" w:space="0" w:color="auto"/>
            <w:left w:val="none" w:sz="0" w:space="0" w:color="auto"/>
            <w:bottom w:val="none" w:sz="0" w:space="0" w:color="auto"/>
            <w:right w:val="none" w:sz="0" w:space="0" w:color="auto"/>
          </w:divBdr>
        </w:div>
        <w:div w:id="1956012773">
          <w:marLeft w:val="1166"/>
          <w:marRight w:val="0"/>
          <w:marTop w:val="0"/>
          <w:marBottom w:val="160"/>
          <w:divBdr>
            <w:top w:val="none" w:sz="0" w:space="0" w:color="auto"/>
            <w:left w:val="none" w:sz="0" w:space="0" w:color="auto"/>
            <w:bottom w:val="none" w:sz="0" w:space="0" w:color="auto"/>
            <w:right w:val="none" w:sz="0" w:space="0" w:color="auto"/>
          </w:divBdr>
        </w:div>
      </w:divsChild>
    </w:div>
    <w:div w:id="1904870734">
      <w:bodyDiv w:val="1"/>
      <w:marLeft w:val="0"/>
      <w:marRight w:val="0"/>
      <w:marTop w:val="0"/>
      <w:marBottom w:val="0"/>
      <w:divBdr>
        <w:top w:val="none" w:sz="0" w:space="0" w:color="auto"/>
        <w:left w:val="none" w:sz="0" w:space="0" w:color="auto"/>
        <w:bottom w:val="none" w:sz="0" w:space="0" w:color="auto"/>
        <w:right w:val="none" w:sz="0" w:space="0" w:color="auto"/>
      </w:divBdr>
    </w:div>
    <w:div w:id="2014793988">
      <w:bodyDiv w:val="1"/>
      <w:marLeft w:val="0"/>
      <w:marRight w:val="0"/>
      <w:marTop w:val="0"/>
      <w:marBottom w:val="0"/>
      <w:divBdr>
        <w:top w:val="none" w:sz="0" w:space="0" w:color="auto"/>
        <w:left w:val="none" w:sz="0" w:space="0" w:color="auto"/>
        <w:bottom w:val="none" w:sz="0" w:space="0" w:color="auto"/>
        <w:right w:val="none" w:sz="0" w:space="0" w:color="auto"/>
      </w:divBdr>
    </w:div>
    <w:div w:id="2036104749">
      <w:bodyDiv w:val="1"/>
      <w:marLeft w:val="0"/>
      <w:marRight w:val="0"/>
      <w:marTop w:val="0"/>
      <w:marBottom w:val="0"/>
      <w:divBdr>
        <w:top w:val="none" w:sz="0" w:space="0" w:color="auto"/>
        <w:left w:val="none" w:sz="0" w:space="0" w:color="auto"/>
        <w:bottom w:val="none" w:sz="0" w:space="0" w:color="auto"/>
        <w:right w:val="none" w:sz="0" w:space="0" w:color="auto"/>
      </w:divBdr>
    </w:div>
    <w:div w:id="211886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5/Docs/R4-222040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5AIRPNAIUNRU-1328258698-19888</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https://nokia.sharepoint.com/sites/c5g/5gradio/_layouts/15/DocIdRedir.aspx?ID=5AIRPNAIUNRU-1328258698-19888</Url>
      <Description>5AIRPNAIUNRU-1328258698-19888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B8FA1A-13B8-4CE7-9FCB-68110421FB06}">
  <ds:schemaRefs>
    <ds:schemaRef ds:uri="http://schemas.microsoft.com/sharepoint/events"/>
  </ds:schemaRefs>
</ds:datastoreItem>
</file>

<file path=customXml/itemProps2.xml><?xml version="1.0" encoding="utf-8"?>
<ds:datastoreItem xmlns:ds="http://schemas.openxmlformats.org/officeDocument/2006/customXml" ds:itemID="{E83F986E-EF1E-4603-A3F7-53B3C01B2053}">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92C9B209-B5A8-4F59-BD88-FF14B845E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20A900-F6E8-46FF-973A-99C738DD8B44}">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BAF702A0-A38C-4569-B76A-5168C978FC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2023-02-17T22:02:00Z</dcterms:created>
  <dcterms:modified xsi:type="dcterms:W3CDTF">2023-02-17T22:09:00Z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01d90f38-0fe3-412a-a8dd-42228b549370</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