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AEF9" w14:textId="20900F92" w:rsidR="004A4802" w:rsidRPr="00A412D5" w:rsidRDefault="004A4802" w:rsidP="004A4802">
      <w:pPr>
        <w:pStyle w:val="3GPPHeader"/>
        <w:spacing w:after="0"/>
      </w:pPr>
      <w:r w:rsidRPr="00DE5DDF">
        <w:t>3GPP TSG-RAN4 Meeting #</w:t>
      </w:r>
      <w:r w:rsidR="00631481">
        <w:t>10</w:t>
      </w:r>
      <w:r w:rsidR="00FE3C96">
        <w:t>6</w:t>
      </w:r>
      <w:r>
        <w:tab/>
      </w:r>
      <w:r w:rsidR="00FE3C96" w:rsidRPr="00FE3C96">
        <w:t>R4-2300107</w:t>
      </w:r>
    </w:p>
    <w:p w14:paraId="765E1C96" w14:textId="3AC5B9A4" w:rsidR="007F357C" w:rsidRPr="00B23518" w:rsidRDefault="00684977" w:rsidP="007F357C">
      <w:pPr>
        <w:pStyle w:val="Header"/>
        <w:tabs>
          <w:tab w:val="right" w:pos="9781"/>
          <w:tab w:val="right" w:pos="13323"/>
        </w:tabs>
        <w:outlineLvl w:val="0"/>
        <w:rPr>
          <w:rFonts w:eastAsia="SimSun" w:cs="Arial"/>
          <w:b w:val="0"/>
          <w:sz w:val="24"/>
          <w:szCs w:val="24"/>
          <w:lang w:eastAsia="zh-CN"/>
        </w:rPr>
      </w:pPr>
      <w:r>
        <w:fldChar w:fldCharType="begin"/>
      </w:r>
      <w:r>
        <w:instrText xml:space="preserve"> DOCPROPERTY  Location  \* MERGEFORMAT </w:instrText>
      </w:r>
      <w:r>
        <w:fldChar w:fldCharType="separate"/>
      </w:r>
      <w:r w:rsidR="00FE3C96">
        <w:rPr>
          <w:sz w:val="24"/>
        </w:rPr>
        <w:t>Athens</w:t>
      </w:r>
      <w:r>
        <w:rPr>
          <w:sz w:val="24"/>
        </w:rPr>
        <w:fldChar w:fldCharType="end"/>
      </w:r>
      <w:r w:rsidR="00785450">
        <w:rPr>
          <w:sz w:val="24"/>
        </w:rPr>
        <w:t xml:space="preserve">, </w:t>
      </w:r>
      <w:r w:rsidR="00FE3C96">
        <w:rPr>
          <w:sz w:val="24"/>
        </w:rPr>
        <w:t>Greec</w:t>
      </w:r>
      <w:r w:rsidR="00785450">
        <w:rPr>
          <w:sz w:val="24"/>
        </w:rPr>
        <w:t xml:space="preserve">, </w:t>
      </w:r>
      <w:r>
        <w:fldChar w:fldCharType="begin"/>
      </w:r>
      <w:r>
        <w:instrText xml:space="preserve"> DOCPROPERTY  StartDate  \* MERGEFORMAT </w:instrText>
      </w:r>
      <w:r>
        <w:fldChar w:fldCharType="separate"/>
      </w:r>
      <w:r w:rsidR="00FE3C96">
        <w:rPr>
          <w:sz w:val="24"/>
        </w:rPr>
        <w:t>27</w:t>
      </w:r>
      <w:r w:rsidR="00785450" w:rsidRPr="00FE3C96">
        <w:rPr>
          <w:sz w:val="24"/>
          <w:vertAlign w:val="superscript"/>
        </w:rPr>
        <w:t>th</w:t>
      </w:r>
      <w:r w:rsidR="00785450" w:rsidRPr="00BA51D9">
        <w:rPr>
          <w:sz w:val="24"/>
        </w:rPr>
        <w:t xml:space="preserve"> </w:t>
      </w:r>
      <w:r w:rsidR="00FE3C96">
        <w:rPr>
          <w:sz w:val="24"/>
        </w:rPr>
        <w:t>Feb</w:t>
      </w:r>
      <w:r w:rsidR="00785450" w:rsidRPr="00BA51D9">
        <w:rPr>
          <w:sz w:val="24"/>
        </w:rPr>
        <w:t xml:space="preserve"> 202</w:t>
      </w:r>
      <w:r w:rsidR="00FE3C96">
        <w:rPr>
          <w:sz w:val="24"/>
        </w:rPr>
        <w:t>3</w:t>
      </w:r>
      <w:r>
        <w:rPr>
          <w:sz w:val="24"/>
        </w:rPr>
        <w:fldChar w:fldCharType="end"/>
      </w:r>
      <w:r w:rsidR="00785450">
        <w:rPr>
          <w:sz w:val="24"/>
        </w:rPr>
        <w:t xml:space="preserve"> </w:t>
      </w:r>
      <w:r w:rsidR="00FE3C96">
        <w:rPr>
          <w:sz w:val="24"/>
        </w:rPr>
        <w:t>–</w:t>
      </w:r>
      <w:r w:rsidR="00785450">
        <w:rPr>
          <w:sz w:val="24"/>
        </w:rPr>
        <w:t xml:space="preserve"> </w:t>
      </w:r>
      <w:r>
        <w:fldChar w:fldCharType="begin"/>
      </w:r>
      <w:r>
        <w:instrText xml:space="preserve"> DOCPROPERTY  EndDate  \* MERGEFORMAT </w:instrText>
      </w:r>
      <w:r>
        <w:fldChar w:fldCharType="separate"/>
      </w:r>
      <w:r w:rsidR="00FE3C96">
        <w:rPr>
          <w:sz w:val="24"/>
        </w:rPr>
        <w:t>3</w:t>
      </w:r>
      <w:r w:rsidR="00FE3C96" w:rsidRPr="00FE3C96">
        <w:rPr>
          <w:sz w:val="24"/>
          <w:vertAlign w:val="superscript"/>
        </w:rPr>
        <w:t>rd</w:t>
      </w:r>
      <w:r w:rsidR="00785450" w:rsidRPr="00BA51D9">
        <w:rPr>
          <w:sz w:val="24"/>
        </w:rPr>
        <w:t xml:space="preserve"> </w:t>
      </w:r>
      <w:r w:rsidR="00FE3C96">
        <w:rPr>
          <w:sz w:val="24"/>
        </w:rPr>
        <w:t>Mar</w:t>
      </w:r>
      <w:r w:rsidR="00785450" w:rsidRPr="00BA51D9">
        <w:rPr>
          <w:sz w:val="24"/>
        </w:rPr>
        <w:t xml:space="preserve"> 202</w:t>
      </w:r>
      <w:r w:rsidR="00FE3C96">
        <w:rPr>
          <w:sz w:val="24"/>
        </w:rPr>
        <w:t>3</w:t>
      </w:r>
      <w:r>
        <w:rPr>
          <w:sz w:val="24"/>
        </w:rPr>
        <w:fldChar w:fldCharType="end"/>
      </w:r>
    </w:p>
    <w:p w14:paraId="6DBA1303" w14:textId="77777777" w:rsidR="00DB3907" w:rsidRPr="00E53F32" w:rsidRDefault="00DB3907" w:rsidP="00DB3907">
      <w:pPr>
        <w:pStyle w:val="Footer"/>
      </w:pPr>
    </w:p>
    <w:p w14:paraId="16783F2C" w14:textId="3F89E4E8" w:rsidR="00DB3907" w:rsidRPr="00EC7FFD" w:rsidRDefault="00DB3907" w:rsidP="0E2E4A4E">
      <w:pPr>
        <w:tabs>
          <w:tab w:val="left" w:pos="1985"/>
        </w:tabs>
        <w:rPr>
          <w:rFonts w:ascii="Arial" w:hAnsi="Arial"/>
          <w:sz w:val="24"/>
          <w:szCs w:val="24"/>
        </w:rPr>
      </w:pPr>
      <w:r w:rsidRPr="0E2E4A4E">
        <w:rPr>
          <w:rFonts w:ascii="Arial" w:hAnsi="Arial"/>
          <w:b/>
          <w:bCs/>
          <w:sz w:val="24"/>
          <w:szCs w:val="24"/>
        </w:rPr>
        <w:t>Agenda item:</w:t>
      </w:r>
      <w:r>
        <w:tab/>
      </w:r>
      <w:r w:rsidR="00FE3C96">
        <w:rPr>
          <w:rFonts w:ascii="Arial" w:hAnsi="Arial"/>
          <w:sz w:val="24"/>
          <w:szCs w:val="24"/>
        </w:rPr>
        <w:t>9</w:t>
      </w:r>
      <w:r w:rsidR="00785450">
        <w:rPr>
          <w:rFonts w:ascii="Arial" w:hAnsi="Arial"/>
          <w:sz w:val="24"/>
          <w:szCs w:val="24"/>
        </w:rPr>
        <w:t>.2.</w:t>
      </w:r>
      <w:r w:rsidR="00FE3C96">
        <w:rPr>
          <w:rFonts w:ascii="Arial" w:hAnsi="Arial"/>
          <w:sz w:val="24"/>
          <w:szCs w:val="24"/>
        </w:rPr>
        <w:t>3</w:t>
      </w:r>
      <w:r w:rsidR="00785450">
        <w:rPr>
          <w:rFonts w:ascii="Arial" w:hAnsi="Arial"/>
          <w:sz w:val="24"/>
          <w:szCs w:val="24"/>
        </w:rPr>
        <w:t>.1</w:t>
      </w:r>
    </w:p>
    <w:p w14:paraId="1E1C2FD0" w14:textId="6B9393E4" w:rsidR="00DB3907" w:rsidRPr="00EC7FFD" w:rsidRDefault="00DB3907" w:rsidP="00DB3907">
      <w:pPr>
        <w:tabs>
          <w:tab w:val="left" w:pos="1985"/>
        </w:tabs>
        <w:rPr>
          <w:rFonts w:ascii="Arial" w:hAnsi="Arial"/>
          <w:sz w:val="24"/>
        </w:rPr>
      </w:pPr>
      <w:r w:rsidRPr="00EC7FFD">
        <w:rPr>
          <w:rFonts w:ascii="Arial" w:hAnsi="Arial"/>
          <w:b/>
          <w:sz w:val="24"/>
        </w:rPr>
        <w:t xml:space="preserve">Source: </w:t>
      </w:r>
      <w:r w:rsidRPr="00EC7FFD">
        <w:rPr>
          <w:rFonts w:ascii="Arial" w:hAnsi="Arial"/>
          <w:b/>
          <w:sz w:val="24"/>
        </w:rPr>
        <w:tab/>
      </w:r>
      <w:r w:rsidR="004A4802" w:rsidRPr="004A4802">
        <w:rPr>
          <w:rFonts w:ascii="Arial" w:hAnsi="Arial"/>
          <w:sz w:val="24"/>
        </w:rPr>
        <w:t>Nokia, Nokia Shanghai Bell</w:t>
      </w:r>
    </w:p>
    <w:p w14:paraId="3A62F436" w14:textId="383F97B8" w:rsidR="00717421" w:rsidRPr="00EC7FFD" w:rsidRDefault="00DB3907" w:rsidP="0E2E4A4E">
      <w:pPr>
        <w:tabs>
          <w:tab w:val="left" w:pos="1985"/>
        </w:tabs>
        <w:ind w:left="1980" w:hanging="1980"/>
        <w:rPr>
          <w:rFonts w:ascii="Arial" w:hAnsi="Arial"/>
          <w:sz w:val="24"/>
          <w:szCs w:val="24"/>
        </w:rPr>
      </w:pPr>
      <w:r w:rsidRPr="0E2E4A4E">
        <w:rPr>
          <w:rFonts w:ascii="Arial" w:hAnsi="Arial"/>
          <w:b/>
          <w:bCs/>
          <w:sz w:val="24"/>
          <w:szCs w:val="24"/>
        </w:rPr>
        <w:t>Title:</w:t>
      </w:r>
      <w:r w:rsidRPr="0E2E4A4E">
        <w:rPr>
          <w:rFonts w:ascii="Arial" w:hAnsi="Arial"/>
          <w:sz w:val="24"/>
          <w:szCs w:val="24"/>
        </w:rPr>
        <w:t xml:space="preserve"> </w:t>
      </w:r>
      <w:r>
        <w:tab/>
      </w:r>
      <w:r w:rsidR="00FE3C96" w:rsidRPr="00FE3C96">
        <w:rPr>
          <w:rFonts w:ascii="Arial" w:hAnsi="Arial"/>
          <w:sz w:val="24"/>
          <w:szCs w:val="24"/>
        </w:rPr>
        <w:t>Potential issue on semi-full-duplex CA for CA_n5-n8</w:t>
      </w:r>
      <w:r w:rsidR="00631481">
        <w:rPr>
          <w:rFonts w:ascii="Arial" w:hAnsi="Arial"/>
          <w:sz w:val="24"/>
          <w:szCs w:val="24"/>
        </w:rPr>
        <w:t xml:space="preserve"> </w:t>
      </w:r>
    </w:p>
    <w:p w14:paraId="013F978F" w14:textId="120767AC" w:rsidR="00DB3907" w:rsidRDefault="00DB3907" w:rsidP="00DB3907">
      <w:pPr>
        <w:tabs>
          <w:tab w:val="left" w:pos="1985"/>
        </w:tabs>
        <w:ind w:left="1980" w:hanging="1980"/>
        <w:rPr>
          <w:rFonts w:ascii="Arial" w:hAnsi="Arial"/>
          <w:sz w:val="24"/>
        </w:rPr>
      </w:pPr>
      <w:r w:rsidRPr="00EC7FFD">
        <w:rPr>
          <w:rFonts w:ascii="Arial" w:hAnsi="Arial"/>
          <w:b/>
          <w:sz w:val="24"/>
        </w:rPr>
        <w:t>Document for:</w:t>
      </w:r>
      <w:r w:rsidR="00FF76CE" w:rsidRPr="00EC7FFD">
        <w:rPr>
          <w:rFonts w:ascii="Arial" w:hAnsi="Arial"/>
          <w:sz w:val="24"/>
        </w:rPr>
        <w:tab/>
      </w:r>
      <w:r w:rsidR="009D4E19">
        <w:rPr>
          <w:rFonts w:ascii="Arial" w:hAnsi="Arial"/>
          <w:sz w:val="24"/>
        </w:rPr>
        <w:t>Approval</w:t>
      </w:r>
      <w:r w:rsidR="0091349A">
        <w:rPr>
          <w:rFonts w:ascii="Arial" w:hAnsi="Arial"/>
          <w:sz w:val="24"/>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29D311B1" w14:textId="47536556" w:rsidR="00631481" w:rsidRDefault="00F74253" w:rsidP="002200B5">
      <w:r>
        <w:t>RAN4#10</w:t>
      </w:r>
      <w:r w:rsidR="00FE3C96">
        <w:t>5</w:t>
      </w:r>
      <w:r>
        <w:t xml:space="preserve"> </w:t>
      </w:r>
      <w:r w:rsidR="00372B91">
        <w:t>approved WF of [1]</w:t>
      </w:r>
      <w:r w:rsidR="00E3098A">
        <w:t xml:space="preserve">, where </w:t>
      </w:r>
      <w:r w:rsidR="00631481">
        <w:t>a following WF was captured.</w:t>
      </w:r>
    </w:p>
    <w:p w14:paraId="5E697741" w14:textId="77777777" w:rsidR="00631481" w:rsidRDefault="00631481" w:rsidP="00631481">
      <w:pPr>
        <w:rPr>
          <w:rFonts w:ascii="Arial" w:hAnsi="Arial" w:cs="Arial"/>
          <w:b/>
          <w:u w:val="single"/>
        </w:rPr>
      </w:pPr>
      <w:r>
        <w:rPr>
          <w:rFonts w:ascii="Arial" w:hAnsi="Arial" w:cs="Arial"/>
          <w:b/>
          <w:u w:val="single"/>
          <w:lang w:eastAsia="ko-KR"/>
        </w:rPr>
        <w:t>Issue 2-</w:t>
      </w:r>
      <w:r>
        <w:rPr>
          <w:rFonts w:ascii="Arial" w:hAnsi="Arial" w:cs="Arial"/>
          <w:b/>
          <w:u w:val="single"/>
        </w:rPr>
        <w:t>5</w:t>
      </w:r>
      <w:r>
        <w:rPr>
          <w:rFonts w:ascii="Arial" w:hAnsi="Arial" w:cs="Arial"/>
          <w:b/>
          <w:u w:val="single"/>
          <w:lang w:eastAsia="ko-KR"/>
        </w:rPr>
        <w:t xml:space="preserve">: </w:t>
      </w:r>
      <w:r>
        <w:rPr>
          <w:rFonts w:ascii="Arial" w:hAnsi="Arial" w:cs="Arial"/>
          <w:b/>
          <w:u w:val="single"/>
        </w:rPr>
        <w:t>Possible solutions for CA_n5-n8</w:t>
      </w:r>
    </w:p>
    <w:p w14:paraId="0F10E018" w14:textId="77777777" w:rsidR="00631481" w:rsidRDefault="00631481" w:rsidP="00631481">
      <w:pPr>
        <w:pStyle w:val="ListParagraph"/>
        <w:numPr>
          <w:ilvl w:val="0"/>
          <w:numId w:val="41"/>
        </w:numPr>
        <w:overflowPunct/>
        <w:autoSpaceDE/>
        <w:autoSpaceDN/>
        <w:adjustRightInd/>
        <w:spacing w:after="120"/>
        <w:ind w:left="720"/>
        <w:contextualSpacing w:val="0"/>
        <w:textAlignment w:val="auto"/>
        <w:rPr>
          <w:rFonts w:ascii="Arial" w:hAnsi="Arial" w:cs="Arial"/>
        </w:rPr>
      </w:pPr>
      <w:r>
        <w:rPr>
          <w:rFonts w:ascii="Arial" w:hAnsi="Arial" w:cs="Arial"/>
        </w:rPr>
        <w:t>Proposals</w:t>
      </w:r>
    </w:p>
    <w:p w14:paraId="1571A647" w14:textId="77777777" w:rsidR="00631481" w:rsidRDefault="00631481" w:rsidP="00631481">
      <w:pPr>
        <w:pStyle w:val="ListParagraph"/>
        <w:numPr>
          <w:ilvl w:val="1"/>
          <w:numId w:val="41"/>
        </w:numPr>
        <w:overflowPunct/>
        <w:autoSpaceDE/>
        <w:autoSpaceDN/>
        <w:adjustRightInd/>
        <w:spacing w:after="120"/>
        <w:ind w:left="1440"/>
        <w:contextualSpacing w:val="0"/>
        <w:textAlignment w:val="auto"/>
        <w:rPr>
          <w:rFonts w:ascii="Arial" w:eastAsia="SimSun" w:hAnsi="Arial" w:cs="Arial"/>
          <w:szCs w:val="24"/>
        </w:rPr>
      </w:pPr>
      <w:r>
        <w:rPr>
          <w:rFonts w:ascii="Arial" w:eastAsia="SimSun" w:hAnsi="Arial" w:cs="Arial"/>
          <w:szCs w:val="24"/>
        </w:rPr>
        <w:t>Option 1: n8 Tx restricted RBs</w:t>
      </w:r>
    </w:p>
    <w:p w14:paraId="4404B60D" w14:textId="77777777" w:rsidR="00631481" w:rsidRDefault="00631481" w:rsidP="00631481">
      <w:pPr>
        <w:pStyle w:val="ListParagraph"/>
        <w:numPr>
          <w:ilvl w:val="1"/>
          <w:numId w:val="41"/>
        </w:numPr>
        <w:overflowPunct/>
        <w:autoSpaceDE/>
        <w:autoSpaceDN/>
        <w:adjustRightInd/>
        <w:spacing w:after="120"/>
        <w:ind w:left="1440"/>
        <w:contextualSpacing w:val="0"/>
        <w:textAlignment w:val="auto"/>
        <w:rPr>
          <w:rFonts w:ascii="Arial" w:eastAsia="SimSun" w:hAnsi="Arial" w:cs="Arial"/>
          <w:szCs w:val="24"/>
        </w:rPr>
      </w:pPr>
      <w:r>
        <w:rPr>
          <w:rFonts w:ascii="Arial" w:eastAsia="SimSun" w:hAnsi="Arial" w:cs="Arial"/>
          <w:szCs w:val="24"/>
        </w:rPr>
        <w:t>Option 2: n8 TX power reduction</w:t>
      </w:r>
    </w:p>
    <w:p w14:paraId="03C8FCC6" w14:textId="77777777" w:rsidR="00631481" w:rsidRDefault="00631481" w:rsidP="00631481">
      <w:pPr>
        <w:pStyle w:val="ListParagraph"/>
        <w:numPr>
          <w:ilvl w:val="1"/>
          <w:numId w:val="41"/>
        </w:numPr>
        <w:overflowPunct/>
        <w:autoSpaceDE/>
        <w:autoSpaceDN/>
        <w:adjustRightInd/>
        <w:spacing w:after="120"/>
        <w:ind w:left="1440"/>
        <w:contextualSpacing w:val="0"/>
        <w:textAlignment w:val="auto"/>
        <w:rPr>
          <w:rFonts w:ascii="Arial" w:eastAsia="SimSun" w:hAnsi="Arial" w:cs="Arial"/>
          <w:szCs w:val="24"/>
        </w:rPr>
      </w:pPr>
      <w:r>
        <w:rPr>
          <w:rFonts w:ascii="Arial" w:eastAsia="SimSun" w:hAnsi="Arial" w:cs="Arial"/>
          <w:szCs w:val="24"/>
        </w:rPr>
        <w:t>Option 3: non-simultaneous Rx/Tx between n5 DL and n8 UL</w:t>
      </w:r>
    </w:p>
    <w:p w14:paraId="5095E88F" w14:textId="77777777" w:rsidR="00631481" w:rsidRDefault="00631481" w:rsidP="00631481">
      <w:pPr>
        <w:pStyle w:val="ListParagraph"/>
        <w:numPr>
          <w:ilvl w:val="1"/>
          <w:numId w:val="41"/>
        </w:numPr>
        <w:overflowPunct/>
        <w:autoSpaceDE/>
        <w:autoSpaceDN/>
        <w:adjustRightInd/>
        <w:spacing w:after="120"/>
        <w:ind w:left="1440"/>
        <w:contextualSpacing w:val="0"/>
        <w:textAlignment w:val="auto"/>
        <w:rPr>
          <w:rFonts w:ascii="Arial" w:eastAsia="SimSun" w:hAnsi="Arial" w:cs="Arial"/>
          <w:szCs w:val="24"/>
        </w:rPr>
      </w:pPr>
      <w:r>
        <w:rPr>
          <w:rFonts w:ascii="Arial" w:eastAsia="SimSun" w:hAnsi="Arial" w:cs="Arial"/>
          <w:szCs w:val="24"/>
        </w:rPr>
        <w:t>Option 4: restrict the UL configuration is only in n5 for 1UL/2DL NR CA_n5-n8</w:t>
      </w:r>
    </w:p>
    <w:p w14:paraId="21905E96" w14:textId="77777777" w:rsidR="00631481" w:rsidRPr="00631481" w:rsidRDefault="00631481" w:rsidP="00631481">
      <w:pPr>
        <w:pStyle w:val="ListParagraph"/>
        <w:numPr>
          <w:ilvl w:val="0"/>
          <w:numId w:val="41"/>
        </w:numPr>
        <w:overflowPunct/>
        <w:autoSpaceDE/>
        <w:autoSpaceDN/>
        <w:adjustRightInd/>
        <w:spacing w:after="120"/>
        <w:ind w:left="720"/>
        <w:contextualSpacing w:val="0"/>
        <w:textAlignment w:val="auto"/>
        <w:rPr>
          <w:rFonts w:ascii="Arial" w:hAnsi="Arial" w:cs="Arial"/>
        </w:rPr>
      </w:pPr>
      <w:r w:rsidRPr="00631481">
        <w:rPr>
          <w:rFonts w:ascii="Arial" w:hAnsi="Arial" w:cs="Arial" w:hint="eastAsia"/>
        </w:rPr>
        <w:t>A</w:t>
      </w:r>
      <w:r w:rsidRPr="00631481">
        <w:rPr>
          <w:rFonts w:ascii="Arial" w:hAnsi="Arial" w:cs="Arial"/>
        </w:rPr>
        <w:t>greements</w:t>
      </w:r>
    </w:p>
    <w:p w14:paraId="3A8955EB" w14:textId="77777777" w:rsidR="00631481" w:rsidRPr="00631481" w:rsidRDefault="00631481" w:rsidP="00631481">
      <w:pPr>
        <w:pStyle w:val="ListParagraph"/>
        <w:widowControl w:val="0"/>
        <w:numPr>
          <w:ilvl w:val="2"/>
          <w:numId w:val="41"/>
        </w:numPr>
        <w:overflowPunct/>
        <w:autoSpaceDE/>
        <w:autoSpaceDN/>
        <w:adjustRightInd/>
        <w:spacing w:after="0"/>
        <w:contextualSpacing w:val="0"/>
        <w:jc w:val="both"/>
        <w:textAlignment w:val="auto"/>
        <w:rPr>
          <w:rFonts w:ascii="Arial" w:hAnsi="Arial" w:cs="Arial"/>
        </w:rPr>
      </w:pPr>
      <w:proofErr w:type="gramStart"/>
      <w:r w:rsidRPr="00631481">
        <w:rPr>
          <w:rFonts w:ascii="Arial" w:hAnsi="Arial" w:cs="Arial"/>
        </w:rPr>
        <w:t>All of</w:t>
      </w:r>
      <w:proofErr w:type="gramEnd"/>
      <w:r w:rsidRPr="00631481">
        <w:rPr>
          <w:rFonts w:ascii="Arial" w:hAnsi="Arial" w:cs="Arial"/>
        </w:rPr>
        <w:t xml:space="preserve"> the solutions can be candidates at current stage. The detail solution for the corresponding RF architecture can be analyzed and discussed in future meetings.</w:t>
      </w:r>
    </w:p>
    <w:p w14:paraId="41B1DF67" w14:textId="77777777" w:rsidR="00631481" w:rsidRPr="00631481" w:rsidRDefault="00631481" w:rsidP="00631481">
      <w:pPr>
        <w:pStyle w:val="ListParagraph"/>
        <w:widowControl w:val="0"/>
        <w:numPr>
          <w:ilvl w:val="2"/>
          <w:numId w:val="41"/>
        </w:numPr>
        <w:overflowPunct/>
        <w:autoSpaceDE/>
        <w:autoSpaceDN/>
        <w:adjustRightInd/>
        <w:spacing w:after="0"/>
        <w:contextualSpacing w:val="0"/>
        <w:jc w:val="both"/>
        <w:textAlignment w:val="auto"/>
        <w:rPr>
          <w:rFonts w:ascii="Arial" w:hAnsi="Arial" w:cs="Arial"/>
        </w:rPr>
      </w:pPr>
      <w:r w:rsidRPr="00631481">
        <w:rPr>
          <w:rFonts w:ascii="Arial" w:hAnsi="Arial" w:cs="Arial"/>
        </w:rPr>
        <w:t>The above solutions are for full filters of n5/n8.</w:t>
      </w:r>
    </w:p>
    <w:p w14:paraId="294CC60C" w14:textId="309C3E02" w:rsidR="004A4802" w:rsidRDefault="00372B91" w:rsidP="00372B91">
      <w:pPr>
        <w:spacing w:before="120" w:after="240"/>
      </w:pPr>
      <w:r>
        <w:t xml:space="preserve">This contribution shares </w:t>
      </w:r>
      <w:r w:rsidR="00E3098A">
        <w:t xml:space="preserve">our views on </w:t>
      </w:r>
      <w:r w:rsidR="00FE3C96">
        <w:t xml:space="preserve">specifically </w:t>
      </w:r>
      <w:r w:rsidR="00631481">
        <w:t>Option 3</w:t>
      </w:r>
      <w:r w:rsidR="00E3098A">
        <w:t xml:space="preserve">. </w:t>
      </w:r>
    </w:p>
    <w:p w14:paraId="10F6602E" w14:textId="7E11E293" w:rsidR="007E1E78" w:rsidRDefault="00FE3C96" w:rsidP="0099327E">
      <w:pPr>
        <w:pStyle w:val="Heading1"/>
        <w:tabs>
          <w:tab w:val="clear" w:pos="432"/>
          <w:tab w:val="num" w:pos="522"/>
        </w:tabs>
        <w:ind w:left="522" w:hanging="522"/>
        <w:rPr>
          <w:lang w:val="en-US"/>
        </w:rPr>
      </w:pPr>
      <w:r>
        <w:rPr>
          <w:lang w:val="en-US"/>
        </w:rPr>
        <w:t>Discussion</w:t>
      </w:r>
    </w:p>
    <w:p w14:paraId="49B149CA" w14:textId="4BF16082" w:rsidR="0020296D" w:rsidRDefault="00FE3C96" w:rsidP="00E33E8E">
      <w:pPr>
        <w:jc w:val="both"/>
      </w:pPr>
      <w:r>
        <w:t xml:space="preserve">Regarding Option 1, </w:t>
      </w:r>
      <w:r w:rsidR="0020296D">
        <w:t>in our understanding, this solution may help co-channel interference from n8 Tx interference into n5 DL channel, while it cannot resolve blocking problem due to n8 Tx power into n5 receiver at all.</w:t>
      </w:r>
    </w:p>
    <w:p w14:paraId="38679E88" w14:textId="77777777" w:rsidR="00DE1E90" w:rsidRDefault="0020296D" w:rsidP="00E33E8E">
      <w:pPr>
        <w:jc w:val="both"/>
      </w:pPr>
      <w:r>
        <w:t xml:space="preserve">With respect to Option 2, this would require significant amount of power reduction to reduce co-channel interference from n8 Tx interference into n5 DL channel as well as blocking problem due to n8 Tx power into n5 receiver. </w:t>
      </w:r>
      <w:r w:rsidR="00DE1E90">
        <w:t>Though applying Option 1 &amp; 2 together would enable n5 DL to work during n8 UL transmission more than applying one of them, restriction on n8 UL would be too much so that it may not be practically work.</w:t>
      </w:r>
    </w:p>
    <w:p w14:paraId="64512AE5" w14:textId="0C8504D0" w:rsidR="00E33E8E" w:rsidRDefault="00DE1E90" w:rsidP="00E33E8E">
      <w:pPr>
        <w:jc w:val="both"/>
      </w:pPr>
      <w:r>
        <w:t>For Option 3, the option is captured in Figure 1.</w:t>
      </w:r>
    </w:p>
    <w:p w14:paraId="777BAE56" w14:textId="77777777" w:rsidR="00DE1E90" w:rsidRPr="00A15F1F" w:rsidRDefault="00DE1E90" w:rsidP="00DE1E90">
      <w:pPr>
        <w:jc w:val="center"/>
        <w:rPr>
          <w:rFonts w:ascii="Arial" w:hAnsi="Arial" w:cs="Arial"/>
          <w:b/>
          <w:sz w:val="20"/>
          <w:szCs w:val="20"/>
        </w:rPr>
      </w:pPr>
      <w:r w:rsidRPr="007D6523">
        <w:rPr>
          <w:rFonts w:ascii="Arial" w:hAnsi="Arial" w:cs="Arial"/>
          <w:b/>
          <w:noProof/>
          <w:sz w:val="20"/>
          <w:szCs w:val="20"/>
          <w:lang w:eastAsia="zh-CN"/>
        </w:rPr>
        <w:lastRenderedPageBreak/>
        <w:drawing>
          <wp:inline distT="0" distB="0" distL="0" distR="0" wp14:anchorId="424403F7" wp14:editId="2C70079B">
            <wp:extent cx="4368030" cy="2764168"/>
            <wp:effectExtent l="19050" t="19050" r="13970" b="171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73316" cy="2767513"/>
                    </a:xfrm>
                    <a:prstGeom prst="rect">
                      <a:avLst/>
                    </a:prstGeom>
                    <a:ln>
                      <a:solidFill>
                        <a:schemeClr val="tx1"/>
                      </a:solidFill>
                    </a:ln>
                  </pic:spPr>
                </pic:pic>
              </a:graphicData>
            </a:graphic>
          </wp:inline>
        </w:drawing>
      </w:r>
    </w:p>
    <w:p w14:paraId="3E5E49DA" w14:textId="4135A97E" w:rsidR="00DE1E90" w:rsidRPr="00DE1E90" w:rsidRDefault="00DE1E90" w:rsidP="00DE1E90">
      <w:pPr>
        <w:spacing w:after="120"/>
        <w:jc w:val="center"/>
        <w:rPr>
          <w:rFonts w:ascii="Arial" w:hAnsi="Arial" w:cs="Arial"/>
          <w:b/>
          <w:i/>
          <w:iCs/>
          <w:sz w:val="18"/>
          <w:szCs w:val="18"/>
        </w:rPr>
      </w:pPr>
      <w:r w:rsidRPr="00DE1E90">
        <w:rPr>
          <w:rFonts w:ascii="Arial" w:hAnsi="Arial" w:cs="Arial"/>
          <w:b/>
          <w:sz w:val="18"/>
          <w:szCs w:val="18"/>
        </w:rPr>
        <w:t xml:space="preserve">Figure 1: Possible </w:t>
      </w:r>
      <w:r w:rsidRPr="00DE1E90">
        <w:rPr>
          <w:rFonts w:ascii="Arial" w:hAnsi="Arial" w:cs="Arial"/>
          <w:b/>
          <w:bCs/>
          <w:sz w:val="18"/>
          <w:szCs w:val="18"/>
        </w:rPr>
        <w:t>CA_n5-n8 UE architecture and operation diagram for semi-full-duplex CA</w:t>
      </w:r>
      <w:r w:rsidRPr="00DE1E90">
        <w:rPr>
          <w:rFonts w:ascii="Arial" w:hAnsi="Arial" w:cs="Arial"/>
          <w:b/>
          <w:sz w:val="18"/>
          <w:szCs w:val="18"/>
        </w:rPr>
        <w:t xml:space="preserve"> (</w:t>
      </w:r>
      <w:r w:rsidRPr="00DE1E90">
        <w:rPr>
          <w:rFonts w:ascii="Arial" w:hAnsi="Arial" w:cs="Arial"/>
          <w:b/>
          <w:sz w:val="12"/>
          <w:szCs w:val="12"/>
        </w:rPr>
        <w:t>From Figure 2-2 in TR38.872</w:t>
      </w:r>
      <w:r w:rsidRPr="00DE1E90">
        <w:rPr>
          <w:rFonts w:ascii="Arial" w:hAnsi="Arial" w:cs="Arial"/>
          <w:b/>
          <w:sz w:val="18"/>
          <w:szCs w:val="18"/>
        </w:rPr>
        <w:t>)</w:t>
      </w:r>
    </w:p>
    <w:p w14:paraId="3AE8290D" w14:textId="7723CB7D" w:rsidR="00DE1E90" w:rsidRDefault="00DE1E90" w:rsidP="00E33E8E">
      <w:pPr>
        <w:jc w:val="both"/>
      </w:pPr>
      <w:r>
        <w:t xml:space="preserve">We shared our view on this option in [2], where we raised an issue that the number of UL is more than that of DL. During RAN4#105, we received a comment </w:t>
      </w:r>
      <w:proofErr w:type="gramStart"/>
      <w:r>
        <w:t>that actually, e.g.</w:t>
      </w:r>
      <w:proofErr w:type="gramEnd"/>
      <w:r>
        <w:t xml:space="preserve">, TDD-FDD CA with simultaneous Rx-Tx, can have such a situation as </w:t>
      </w:r>
      <w:r w:rsidR="000E52D1">
        <w:t>illustrated in Figure 2.</w:t>
      </w:r>
    </w:p>
    <w:p w14:paraId="33426D34" w14:textId="7C775868" w:rsidR="000E52D1" w:rsidRDefault="000E52D1" w:rsidP="000E52D1">
      <w:pPr>
        <w:jc w:val="center"/>
      </w:pPr>
      <w:r>
        <w:rPr>
          <w:noProof/>
        </w:rPr>
        <w:drawing>
          <wp:inline distT="0" distB="0" distL="0" distR="0" wp14:anchorId="5EC2AA90" wp14:editId="3CFA5FB8">
            <wp:extent cx="2843530" cy="1395095"/>
            <wp:effectExtent l="19050" t="19050" r="13970" b="146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43530" cy="1395095"/>
                    </a:xfrm>
                    <a:prstGeom prst="rect">
                      <a:avLst/>
                    </a:prstGeom>
                    <a:noFill/>
                    <a:ln>
                      <a:solidFill>
                        <a:schemeClr val="tx1"/>
                      </a:solidFill>
                    </a:ln>
                  </pic:spPr>
                </pic:pic>
              </a:graphicData>
            </a:graphic>
          </wp:inline>
        </w:drawing>
      </w:r>
    </w:p>
    <w:p w14:paraId="77126D5A" w14:textId="5B40AFDB" w:rsidR="000E52D1" w:rsidRPr="00DE1E90" w:rsidRDefault="000E52D1" w:rsidP="000E52D1">
      <w:pPr>
        <w:spacing w:after="120"/>
        <w:jc w:val="center"/>
        <w:rPr>
          <w:rFonts w:ascii="Arial" w:hAnsi="Arial" w:cs="Arial"/>
          <w:b/>
          <w:i/>
          <w:iCs/>
          <w:sz w:val="18"/>
          <w:szCs w:val="18"/>
        </w:rPr>
      </w:pPr>
      <w:r w:rsidRPr="00DE1E90">
        <w:rPr>
          <w:rFonts w:ascii="Arial" w:hAnsi="Arial" w:cs="Arial"/>
          <w:b/>
          <w:sz w:val="18"/>
          <w:szCs w:val="18"/>
        </w:rPr>
        <w:t xml:space="preserve">Figure </w:t>
      </w:r>
      <w:r>
        <w:rPr>
          <w:rFonts w:ascii="Arial" w:hAnsi="Arial" w:cs="Arial"/>
          <w:b/>
          <w:sz w:val="18"/>
          <w:szCs w:val="18"/>
        </w:rPr>
        <w:t>2</w:t>
      </w:r>
      <w:r w:rsidRPr="00DE1E90">
        <w:rPr>
          <w:rFonts w:ascii="Arial" w:hAnsi="Arial" w:cs="Arial"/>
          <w:b/>
          <w:sz w:val="18"/>
          <w:szCs w:val="18"/>
        </w:rPr>
        <w:t xml:space="preserve">: </w:t>
      </w:r>
      <w:r>
        <w:rPr>
          <w:rFonts w:ascii="Arial" w:hAnsi="Arial" w:cs="Arial"/>
          <w:b/>
          <w:sz w:val="18"/>
          <w:szCs w:val="18"/>
        </w:rPr>
        <w:t>UL FDD-TDD CA with simultaneous Rx-Tx</w:t>
      </w:r>
    </w:p>
    <w:p w14:paraId="001362A2" w14:textId="1ECC2708" w:rsidR="000E52D1" w:rsidRDefault="000E52D1" w:rsidP="00E33E8E">
      <w:pPr>
        <w:jc w:val="both"/>
      </w:pPr>
      <w:r>
        <w:t xml:space="preserve">The comment is valid in terms of relationship between the number of UL and DL </w:t>
      </w:r>
      <w:r w:rsidR="00684977">
        <w:rPr>
          <w:lang w:val="en-GB"/>
        </w:rPr>
        <w:t>scheduled, but a serving cell always requires DL configuration to operate, so in practice the above case will be configured as 2DL + 2UL CA</w:t>
      </w:r>
      <w:r w:rsidR="00684977" w:rsidRPr="00751D90">
        <w:rPr>
          <w:lang w:val="en-GB"/>
        </w:rPr>
        <w:t xml:space="preserve">. </w:t>
      </w:r>
      <w:r w:rsidR="00684977">
        <w:rPr>
          <w:lang w:val="en-GB"/>
        </w:rPr>
        <w:t>Further</w:t>
      </w:r>
      <w:r w:rsidR="00684977" w:rsidRPr="00751D90">
        <w:rPr>
          <w:lang w:val="en-GB"/>
        </w:rPr>
        <w:t xml:space="preserve">, </w:t>
      </w:r>
      <w:r w:rsidR="00684977">
        <w:rPr>
          <w:lang w:val="en-GB"/>
        </w:rPr>
        <w:t>we</w:t>
      </w:r>
      <w:r>
        <w:t xml:space="preserve"> see some difference between UL FDD-TDD CA</w:t>
      </w:r>
      <w:r w:rsidR="00E04F32">
        <w:t>/MR-DC</w:t>
      </w:r>
      <w:r>
        <w:t xml:space="preserve"> with simultaneous Rx-Tx case and </w:t>
      </w:r>
      <w:r w:rsidRPr="000E52D1">
        <w:t>semi-full-duplex CA</w:t>
      </w:r>
      <w:r>
        <w:t>. To discuss the proposed semi-full-duplex CA, Figure 3 is provided as below.</w:t>
      </w:r>
    </w:p>
    <w:p w14:paraId="1F657501" w14:textId="27ACCD8D" w:rsidR="000E52D1" w:rsidRDefault="000E52D1" w:rsidP="000E52D1">
      <w:pPr>
        <w:jc w:val="center"/>
      </w:pPr>
      <w:r>
        <w:rPr>
          <w:noProof/>
        </w:rPr>
        <w:drawing>
          <wp:inline distT="0" distB="0" distL="0" distR="0" wp14:anchorId="01A65BBD" wp14:editId="212E3A71">
            <wp:extent cx="4375785" cy="1567815"/>
            <wp:effectExtent l="19050" t="19050" r="24765" b="133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75785" cy="1567815"/>
                    </a:xfrm>
                    <a:prstGeom prst="rect">
                      <a:avLst/>
                    </a:prstGeom>
                    <a:noFill/>
                    <a:ln>
                      <a:solidFill>
                        <a:schemeClr val="tx1"/>
                      </a:solidFill>
                    </a:ln>
                  </pic:spPr>
                </pic:pic>
              </a:graphicData>
            </a:graphic>
          </wp:inline>
        </w:drawing>
      </w:r>
    </w:p>
    <w:p w14:paraId="681526B7" w14:textId="75B0BD63" w:rsidR="000E52D1" w:rsidRPr="00DE1E90" w:rsidRDefault="000E52D1" w:rsidP="000E52D1">
      <w:pPr>
        <w:spacing w:after="120"/>
        <w:jc w:val="center"/>
        <w:rPr>
          <w:rFonts w:ascii="Arial" w:hAnsi="Arial" w:cs="Arial"/>
          <w:b/>
          <w:i/>
          <w:iCs/>
          <w:sz w:val="18"/>
          <w:szCs w:val="18"/>
        </w:rPr>
      </w:pPr>
      <w:r w:rsidRPr="00DE1E90">
        <w:rPr>
          <w:rFonts w:ascii="Arial" w:hAnsi="Arial" w:cs="Arial"/>
          <w:b/>
          <w:sz w:val="18"/>
          <w:szCs w:val="18"/>
        </w:rPr>
        <w:t xml:space="preserve">Figure </w:t>
      </w:r>
      <w:r>
        <w:rPr>
          <w:rFonts w:ascii="Arial" w:hAnsi="Arial" w:cs="Arial"/>
          <w:b/>
          <w:sz w:val="18"/>
          <w:szCs w:val="18"/>
        </w:rPr>
        <w:t>3</w:t>
      </w:r>
      <w:r w:rsidRPr="00DE1E90">
        <w:rPr>
          <w:rFonts w:ascii="Arial" w:hAnsi="Arial" w:cs="Arial"/>
          <w:b/>
          <w:sz w:val="18"/>
          <w:szCs w:val="18"/>
        </w:rPr>
        <w:t xml:space="preserve">: </w:t>
      </w:r>
      <w:r>
        <w:rPr>
          <w:rFonts w:ascii="Arial" w:hAnsi="Arial" w:cs="Arial"/>
          <w:b/>
          <w:sz w:val="18"/>
          <w:szCs w:val="18"/>
        </w:rPr>
        <w:t>S</w:t>
      </w:r>
      <w:r w:rsidRPr="000E52D1">
        <w:rPr>
          <w:rFonts w:ascii="Arial" w:hAnsi="Arial" w:cs="Arial"/>
          <w:b/>
          <w:sz w:val="18"/>
          <w:szCs w:val="18"/>
        </w:rPr>
        <w:t xml:space="preserve">emi-full-duplex CA </w:t>
      </w:r>
      <w:r>
        <w:rPr>
          <w:rFonts w:ascii="Arial" w:hAnsi="Arial" w:cs="Arial"/>
          <w:b/>
          <w:sz w:val="18"/>
          <w:szCs w:val="18"/>
        </w:rPr>
        <w:t>for CA_n5-n8</w:t>
      </w:r>
    </w:p>
    <w:p w14:paraId="45402FD2" w14:textId="7D26644D" w:rsidR="00A82421" w:rsidRDefault="000E52D1" w:rsidP="00A82421">
      <w:pPr>
        <w:jc w:val="both"/>
      </w:pPr>
      <w:r>
        <w:t xml:space="preserve">For UL FDD-TDD </w:t>
      </w:r>
      <w:r w:rsidR="00E04F32">
        <w:t>CA/MR-DC</w:t>
      </w:r>
      <w:r>
        <w:t>, each of the bands can receive and transmit essential information whenever it is necessary.</w:t>
      </w:r>
      <w:r w:rsidR="00684977">
        <w:rPr>
          <w:lang w:val="en-GB"/>
        </w:rPr>
        <w:t xml:space="preserve"> </w:t>
      </w:r>
      <w:r w:rsidR="00937A02">
        <w:t>It’s also noted that</w:t>
      </w:r>
      <w:r w:rsidR="00E04F32">
        <w:t xml:space="preserve"> for MR-DC,</w:t>
      </w:r>
      <w:r w:rsidR="00937A02">
        <w:t xml:space="preserve"> specifications have allowed a UE to </w:t>
      </w:r>
      <w:r w:rsidR="00684977">
        <w:t>use</w:t>
      </w:r>
      <w:r w:rsidR="00937A02">
        <w:t xml:space="preserve"> </w:t>
      </w:r>
      <w:proofErr w:type="spellStart"/>
      <w:r w:rsidR="00937A02" w:rsidRPr="00937A02">
        <w:rPr>
          <w:i/>
          <w:iCs/>
        </w:rPr>
        <w:t>singleUL</w:t>
      </w:r>
      <w:proofErr w:type="spellEnd"/>
      <w:r w:rsidR="00937A02" w:rsidRPr="00937A02">
        <w:rPr>
          <w:i/>
          <w:iCs/>
        </w:rPr>
        <w:t>-Transmission</w:t>
      </w:r>
      <w:r w:rsidR="00937A02">
        <w:t xml:space="preserve"> from concurrent transmission</w:t>
      </w:r>
      <w:r w:rsidR="00684977">
        <w:t xml:space="preserve"> or vice versa</w:t>
      </w:r>
      <w:r w:rsidR="00937A02">
        <w:t xml:space="preserve">. Handling of switching of UL of the two RATs is affected by e.g., support of </w:t>
      </w:r>
      <w:proofErr w:type="spellStart"/>
      <w:r w:rsidR="00937A02" w:rsidRPr="00937A02">
        <w:rPr>
          <w:i/>
          <w:iCs/>
        </w:rPr>
        <w:t>dynamicPowerSharingENDC</w:t>
      </w:r>
      <w:proofErr w:type="spellEnd"/>
      <w:r w:rsidR="00937A02">
        <w:t xml:space="preserve">. In any case, what we want to point out is that one of the two UL RATs is not </w:t>
      </w:r>
      <w:r w:rsidR="00937A02">
        <w:lastRenderedPageBreak/>
        <w:t xml:space="preserve">always available in a timely manner to transmit some essential information like control signals so that special care was taken. Backing to </w:t>
      </w:r>
      <w:r>
        <w:t xml:space="preserve">semi-full-duplex CA for CA_n5-n8, e.g., when n5 is </w:t>
      </w:r>
      <w:proofErr w:type="spellStart"/>
      <w:r>
        <w:t>PCell</w:t>
      </w:r>
      <w:proofErr w:type="spellEnd"/>
      <w:r>
        <w:t xml:space="preserve">, n5 may not be able to receive essential information whenever necessary without coordination with n8 UL timing. If n8 is </w:t>
      </w:r>
      <w:proofErr w:type="spellStart"/>
      <w:r>
        <w:t>PCell</w:t>
      </w:r>
      <w:proofErr w:type="spellEnd"/>
      <w:r>
        <w:t xml:space="preserve">, then, n8 may not be able to transmit essential information whenever necessary without coordination with n5 DL timing. </w:t>
      </w:r>
      <w:r w:rsidR="00A82421">
        <w:t xml:space="preserve">The resolution itself would resolve interference problem in n5 DL in terms of UE RF, but this would require something special coordination across bands. </w:t>
      </w:r>
      <w:r w:rsidR="00684977">
        <w:t xml:space="preserve">The required coordination should be even tighter than that for </w:t>
      </w:r>
      <w:proofErr w:type="spellStart"/>
      <w:r w:rsidR="00684977" w:rsidRPr="00937A02">
        <w:rPr>
          <w:i/>
          <w:iCs/>
        </w:rPr>
        <w:t>singleUL</w:t>
      </w:r>
      <w:proofErr w:type="spellEnd"/>
      <w:r w:rsidR="00684977" w:rsidRPr="00937A02">
        <w:rPr>
          <w:i/>
          <w:iCs/>
        </w:rPr>
        <w:t>-Transmission</w:t>
      </w:r>
      <w:r w:rsidR="00684977">
        <w:t xml:space="preserve">. </w:t>
      </w:r>
      <w:r w:rsidR="00A82421">
        <w:t xml:space="preserve">Hence, before </w:t>
      </w:r>
      <w:r w:rsidR="00684977">
        <w:t>RAN4</w:t>
      </w:r>
      <w:r w:rsidR="00A82421">
        <w:t xml:space="preserve"> </w:t>
      </w:r>
      <w:proofErr w:type="gramStart"/>
      <w:r w:rsidR="00A82421">
        <w:t>make</w:t>
      </w:r>
      <w:r w:rsidR="00684977">
        <w:t>s</w:t>
      </w:r>
      <w:r w:rsidR="00A82421">
        <w:t xml:space="preserve"> a decision</w:t>
      </w:r>
      <w:proofErr w:type="gramEnd"/>
      <w:r w:rsidR="00A82421">
        <w:t xml:space="preserve"> on </w:t>
      </w:r>
      <w:r w:rsidR="00684977">
        <w:t xml:space="preserve">whether </w:t>
      </w:r>
      <w:r w:rsidR="00A82421">
        <w:t>this Option 3 work</w:t>
      </w:r>
      <w:r w:rsidR="00684977">
        <w:t>s</w:t>
      </w:r>
      <w:r w:rsidR="00A82421">
        <w:t>, we believe that it is necessary to check if it practically works or not in real operation without any special ca</w:t>
      </w:r>
      <w:r w:rsidR="00E04F32">
        <w:t>r</w:t>
      </w:r>
      <w:r w:rsidR="00A82421">
        <w:t>e.</w:t>
      </w:r>
    </w:p>
    <w:p w14:paraId="78FD7B6E" w14:textId="77777777" w:rsidR="00A82421" w:rsidRDefault="00A82421" w:rsidP="00A82421">
      <w:pPr>
        <w:jc w:val="both"/>
        <w:rPr>
          <w:b/>
          <w:bCs/>
        </w:rPr>
      </w:pPr>
      <w:r>
        <w:rPr>
          <w:b/>
          <w:bCs/>
        </w:rPr>
        <w:t>Observation</w:t>
      </w:r>
      <w:r w:rsidR="00B303F3">
        <w:rPr>
          <w:b/>
          <w:bCs/>
        </w:rPr>
        <w:t xml:space="preserve">: </w:t>
      </w:r>
      <w:r w:rsidRPr="00A82421">
        <w:rPr>
          <w:b/>
          <w:bCs/>
        </w:rPr>
        <w:t>Semi-full-duplex CA for CA_n5-n8</w:t>
      </w:r>
      <w:r>
        <w:rPr>
          <w:b/>
          <w:bCs/>
        </w:rPr>
        <w:t xml:space="preserve"> may require special consideration in real operation since of the bands may not be able to receive and transmit essential information whenever necessary.</w:t>
      </w:r>
    </w:p>
    <w:p w14:paraId="6C6E44A1" w14:textId="575CD06F" w:rsidR="00B85E87" w:rsidRPr="00B303F3" w:rsidRDefault="00A82421" w:rsidP="004F1DC3">
      <w:pPr>
        <w:jc w:val="both"/>
        <w:rPr>
          <w:b/>
          <w:bCs/>
        </w:rPr>
      </w:pPr>
      <w:r>
        <w:rPr>
          <w:b/>
          <w:bCs/>
        </w:rPr>
        <w:t xml:space="preserve">Proposal: Send an LS if semi-full-duplex CA resolution works or not without special consideration and/or drawbacks. If </w:t>
      </w:r>
      <w:r w:rsidR="00E04F32">
        <w:rPr>
          <w:b/>
          <w:bCs/>
        </w:rPr>
        <w:t xml:space="preserve">it </w:t>
      </w:r>
      <w:r>
        <w:rPr>
          <w:b/>
          <w:bCs/>
        </w:rPr>
        <w:t>doesn’t, ask RAN2 if there is a resolution on it and impact on specifications when this is included in a WI</w:t>
      </w:r>
      <w:r w:rsidR="00E04F32">
        <w:rPr>
          <w:b/>
          <w:bCs/>
        </w:rPr>
        <w:t xml:space="preserve"> or by including RAN2 into SID</w:t>
      </w:r>
      <w:r w:rsidR="004F1DC3">
        <w:t>.</w:t>
      </w: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45A898FD" w14:textId="7A17A0D9" w:rsidR="006F4C85" w:rsidRDefault="006F4C85" w:rsidP="006F4C85">
      <w:r>
        <w:t>This document has made the following observation</w:t>
      </w:r>
      <w:r w:rsidR="009D17FF">
        <w:t xml:space="preserve"> and proposal.</w:t>
      </w:r>
    </w:p>
    <w:p w14:paraId="73438D38" w14:textId="77777777" w:rsidR="00684977" w:rsidRDefault="00684977" w:rsidP="00684977">
      <w:pPr>
        <w:jc w:val="both"/>
        <w:rPr>
          <w:b/>
          <w:bCs/>
        </w:rPr>
      </w:pPr>
      <w:r>
        <w:rPr>
          <w:b/>
          <w:bCs/>
        </w:rPr>
        <w:t xml:space="preserve">Observation: </w:t>
      </w:r>
      <w:r w:rsidRPr="00A82421">
        <w:rPr>
          <w:b/>
          <w:bCs/>
        </w:rPr>
        <w:t>Semi-full-duplex CA for CA_n5-n8</w:t>
      </w:r>
      <w:r>
        <w:rPr>
          <w:b/>
          <w:bCs/>
        </w:rPr>
        <w:t xml:space="preserve"> may require special consideration in real operation since of the bands may not be able to receive and transmit essential information whenever necessary.</w:t>
      </w:r>
    </w:p>
    <w:p w14:paraId="2F3083F8" w14:textId="5C8875AF" w:rsidR="00684977" w:rsidRPr="00684977" w:rsidRDefault="00684977" w:rsidP="00684977">
      <w:pPr>
        <w:jc w:val="both"/>
        <w:rPr>
          <w:b/>
          <w:bCs/>
        </w:rPr>
      </w:pPr>
      <w:r>
        <w:rPr>
          <w:b/>
          <w:bCs/>
        </w:rPr>
        <w:t>Proposal: Send an LS if semi-full-duplex CA resolution works or not without special consideration and/or drawbacks. If it doesn’t, ask RAN2 if there is a resolution on it and impact on specifications when this is included in a WI or by including RAN2 into SID</w:t>
      </w:r>
      <w:r>
        <w: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F836801" w14:textId="7A9E63FC" w:rsidR="00B303F3" w:rsidRDefault="00FE3C96" w:rsidP="00B303F3">
      <w:pPr>
        <w:pStyle w:val="ListParagraph"/>
        <w:numPr>
          <w:ilvl w:val="0"/>
          <w:numId w:val="2"/>
        </w:numPr>
        <w:overflowPunct/>
        <w:autoSpaceDE/>
        <w:autoSpaceDN/>
        <w:adjustRightInd/>
        <w:ind w:right="-22"/>
        <w:textAlignment w:val="auto"/>
      </w:pPr>
      <w:bookmarkStart w:id="0" w:name="_Hlk859252"/>
      <w:r w:rsidRPr="00FE3C96">
        <w:t>R4-2220507</w:t>
      </w:r>
      <w:r w:rsidR="002200B5">
        <w:t xml:space="preserve">, </w:t>
      </w:r>
      <w:r w:rsidRPr="00FE3C96">
        <w:t>WF on UE architecture and other aspects for CA_n5-n8</w:t>
      </w:r>
      <w:r w:rsidR="002200B5">
        <w:t>,</w:t>
      </w:r>
      <w:r w:rsidR="002200B5" w:rsidRPr="00F06AEF">
        <w:t xml:space="preserve"> </w:t>
      </w:r>
      <w:r>
        <w:t>Qualcomm</w:t>
      </w:r>
      <w:r w:rsidR="00372B91">
        <w:t xml:space="preserve">, </w:t>
      </w:r>
      <w:r w:rsidR="00372B91" w:rsidRPr="00EF24F2">
        <w:t>TSG-RAN WG4 #10</w:t>
      </w:r>
      <w:r>
        <w:t>5</w:t>
      </w:r>
    </w:p>
    <w:p w14:paraId="0DEC11BF" w14:textId="0CE618A7" w:rsidR="00DE1E90" w:rsidRDefault="00DE1E90" w:rsidP="00DE1E90">
      <w:pPr>
        <w:pStyle w:val="ListParagraph"/>
        <w:numPr>
          <w:ilvl w:val="0"/>
          <w:numId w:val="2"/>
        </w:numPr>
        <w:overflowPunct/>
        <w:autoSpaceDE/>
        <w:autoSpaceDN/>
        <w:adjustRightInd/>
        <w:ind w:right="-22"/>
        <w:textAlignment w:val="auto"/>
      </w:pPr>
      <w:r w:rsidRPr="00DE1E90">
        <w:t>R4-2218294</w:t>
      </w:r>
      <w:r>
        <w:t xml:space="preserve">, </w:t>
      </w:r>
      <w:r w:rsidRPr="00DE1E90">
        <w:t xml:space="preserve">Non-simultaneous Rx/Tx between n5 DL and n8 UL </w:t>
      </w:r>
      <w:r w:rsidRPr="00FE3C96">
        <w:t>_n5-n8</w:t>
      </w:r>
      <w:r>
        <w:t>,</w:t>
      </w:r>
      <w:r w:rsidRPr="00F06AEF">
        <w:t xml:space="preserve"> </w:t>
      </w:r>
      <w:r w:rsidRPr="00DE1E90">
        <w:t>Nokia, Nokia Shanghai Bell</w:t>
      </w:r>
      <w:r>
        <w:t xml:space="preserve">, </w:t>
      </w:r>
      <w:r w:rsidRPr="00EF24F2">
        <w:t>TSG-RAN WG4 #10</w:t>
      </w:r>
      <w:r>
        <w:t>5</w:t>
      </w:r>
    </w:p>
    <w:p w14:paraId="296EC3BE" w14:textId="77777777" w:rsidR="00DE1E90" w:rsidRDefault="00DE1E90" w:rsidP="00B303F3">
      <w:pPr>
        <w:pStyle w:val="ListParagraph"/>
        <w:numPr>
          <w:ilvl w:val="0"/>
          <w:numId w:val="2"/>
        </w:numPr>
        <w:overflowPunct/>
        <w:autoSpaceDE/>
        <w:autoSpaceDN/>
        <w:adjustRightInd/>
        <w:ind w:right="-22"/>
        <w:textAlignment w:val="auto"/>
      </w:pPr>
    </w:p>
    <w:bookmarkEnd w:id="0"/>
    <w:sectPr w:rsidR="00DE1E90"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9B000" w14:textId="77777777" w:rsidR="00347781" w:rsidRDefault="00347781">
      <w:r>
        <w:separator/>
      </w:r>
    </w:p>
  </w:endnote>
  <w:endnote w:type="continuationSeparator" w:id="0">
    <w:p w14:paraId="16436B0E" w14:textId="77777777" w:rsidR="00347781" w:rsidRDefault="00347781">
      <w:r>
        <w:continuationSeparator/>
      </w:r>
    </w:p>
  </w:endnote>
  <w:endnote w:type="continuationNotice" w:id="1">
    <w:p w14:paraId="3C029395" w14:textId="77777777" w:rsidR="00347781" w:rsidRDefault="003477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MS Mincho">
    <w:altName w:val="?l?r ??f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ì??"/>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453C2" w14:textId="77777777" w:rsidR="00347781" w:rsidRDefault="00347781">
      <w:r>
        <w:separator/>
      </w:r>
    </w:p>
  </w:footnote>
  <w:footnote w:type="continuationSeparator" w:id="0">
    <w:p w14:paraId="0D23D7F6" w14:textId="77777777" w:rsidR="00347781" w:rsidRDefault="00347781">
      <w:r>
        <w:continuationSeparator/>
      </w:r>
    </w:p>
  </w:footnote>
  <w:footnote w:type="continuationNotice" w:id="1">
    <w:p w14:paraId="0A97EAAD" w14:textId="77777777" w:rsidR="00347781" w:rsidRDefault="003477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5" w15:restartNumberingAfterBreak="0">
    <w:nsid w:val="16143886"/>
    <w:multiLevelType w:val="hybridMultilevel"/>
    <w:tmpl w:val="F39E88AC"/>
    <w:lvl w:ilvl="0" w:tplc="E16ECE68">
      <w:start w:val="3"/>
      <w:numFmt w:val="bullet"/>
      <w:lvlText w:val="-"/>
      <w:lvlJc w:val="left"/>
      <w:pPr>
        <w:ind w:left="720" w:hanging="360"/>
      </w:pPr>
      <w:rPr>
        <w:rFonts w:ascii="Segoe UI" w:eastAsiaTheme="minorEastAsia"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33826DA"/>
    <w:multiLevelType w:val="hybridMultilevel"/>
    <w:tmpl w:val="5476CE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075A6C"/>
    <w:multiLevelType w:val="hybridMultilevel"/>
    <w:tmpl w:val="9D2ADCAE"/>
    <w:lvl w:ilvl="0" w:tplc="08090001">
      <w:start w:val="1"/>
      <w:numFmt w:val="bullet"/>
      <w:lvlText w:val=""/>
      <w:lvlJc w:val="left"/>
      <w:pPr>
        <w:ind w:left="644"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6050480E">
      <w:start w:val="2"/>
      <w:numFmt w:val="bullet"/>
      <w:lvlText w:val="-"/>
      <w:lvlJc w:val="left"/>
      <w:pPr>
        <w:ind w:left="3600" w:hanging="360"/>
      </w:pPr>
      <w:rPr>
        <w:rFonts w:ascii="Times New Roman" w:eastAsia="MS Mincho" w:hAnsi="Times New Roman" w:cs="Times New Roman" w:hint="default"/>
      </w:r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431C53BC"/>
    <w:multiLevelType w:val="singleLevel"/>
    <w:tmpl w:val="0C09000F"/>
    <w:lvl w:ilvl="0">
      <w:start w:val="1"/>
      <w:numFmt w:val="decimal"/>
      <w:lvlText w:val="%1."/>
      <w:lvlJc w:val="left"/>
      <w:pPr>
        <w:tabs>
          <w:tab w:val="num" w:pos="360"/>
        </w:tabs>
        <w:ind w:left="360" w:hanging="360"/>
      </w:pPr>
    </w:lvl>
  </w:abstractNum>
  <w:abstractNum w:abstractNumId="16"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F2114B"/>
    <w:multiLevelType w:val="hybridMultilevel"/>
    <w:tmpl w:val="9BAEF288"/>
    <w:lvl w:ilvl="0" w:tplc="FA9CDCBC">
      <w:start w:val="4"/>
      <w:numFmt w:val="bullet"/>
      <w:lvlText w:val="-"/>
      <w:lvlJc w:val="left"/>
      <w:pPr>
        <w:ind w:left="644" w:hanging="360"/>
      </w:pPr>
      <w:rPr>
        <w:rFonts w:ascii="Times New Roman" w:eastAsia="MS Mincho"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5166EC2"/>
    <w:multiLevelType w:val="hybridMultilevel"/>
    <w:tmpl w:val="A5761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0" w:hanging="360"/>
      </w:pPr>
      <w:rPr>
        <w:rFonts w:ascii="Symbol" w:hAnsi="Symbol" w:hint="default"/>
      </w:rPr>
    </w:lvl>
    <w:lvl w:ilvl="1">
      <w:start w:val="1"/>
      <w:numFmt w:val="bullet"/>
      <w:lvlText w:val=""/>
      <w:lvlJc w:val="left"/>
      <w:pPr>
        <w:ind w:left="-576" w:hanging="360"/>
      </w:pPr>
      <w:rPr>
        <w:rFonts w:ascii="Symbol" w:hAnsi="Symbol"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30" w15:restartNumberingAfterBreak="0">
    <w:nsid w:val="5B4E1997"/>
    <w:multiLevelType w:val="multilevel"/>
    <w:tmpl w:val="BFAE1E5A"/>
    <w:lvl w:ilvl="0">
      <w:start w:val="1"/>
      <w:numFmt w:val="bullet"/>
      <w:lvlText w:val=""/>
      <w:lvlJc w:val="left"/>
      <w:pPr>
        <w:ind w:left="360" w:hanging="360"/>
      </w:pPr>
      <w:rPr>
        <w:rFonts w:ascii="Symbol" w:hAnsi="Symbo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o"/>
      <w:lvlJc w:val="left"/>
      <w:pPr>
        <w:ind w:left="792" w:hanging="432"/>
      </w:pPr>
      <w:rPr>
        <w:rFonts w:ascii="Courier New" w:hAnsi="Courier New" w:cs="Courier New" w:hint="default"/>
      </w:rPr>
    </w:lvl>
    <w:lvl w:ilvl="2">
      <w:start w:val="1"/>
      <w:numFmt w:val="bullet"/>
      <w:lvlText w:val=""/>
      <w:lvlJc w:val="left"/>
      <w:pPr>
        <w:ind w:left="1224" w:hanging="504"/>
      </w:pPr>
      <w:rPr>
        <w:rFonts w:ascii="Wingdings" w:hAnsi="Wingdings" w:hint="default"/>
        <w:i w:val="0"/>
        <w:iCs/>
        <w:lang w:val="en-G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FD652C0"/>
    <w:multiLevelType w:val="hybridMultilevel"/>
    <w:tmpl w:val="653AFF5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1236CE"/>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65A411CB"/>
    <w:multiLevelType w:val="hybridMultilevel"/>
    <w:tmpl w:val="2CFE7BD4"/>
    <w:lvl w:ilvl="0" w:tplc="66182EA0">
      <w:numFmt w:val="bullet"/>
      <w:lvlText w:val=""/>
      <w:lvlJc w:val="left"/>
      <w:pPr>
        <w:ind w:left="720" w:hanging="360"/>
      </w:pPr>
      <w:rPr>
        <w:rFonts w:ascii="Wingdings" w:eastAsiaTheme="minorEastAsia" w:hAnsi="Wingdings"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48D260C"/>
    <w:multiLevelType w:val="hybridMultilevel"/>
    <w:tmpl w:val="292269EA"/>
    <w:lvl w:ilvl="0" w:tplc="AE081D6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DD288A"/>
    <w:multiLevelType w:val="hybridMultilevel"/>
    <w:tmpl w:val="C3BC8E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6"/>
  </w:num>
  <w:num w:numId="2">
    <w:abstractNumId w:val="32"/>
  </w:num>
  <w:num w:numId="3">
    <w:abstractNumId w:val="37"/>
  </w:num>
  <w:num w:numId="4">
    <w:abstractNumId w:val="41"/>
  </w:num>
  <w:num w:numId="5">
    <w:abstractNumId w:val="28"/>
  </w:num>
  <w:num w:numId="6">
    <w:abstractNumId w:val="9"/>
  </w:num>
  <w:num w:numId="7">
    <w:abstractNumId w:val="2"/>
  </w:num>
  <w:num w:numId="8">
    <w:abstractNumId w:val="36"/>
  </w:num>
  <w:num w:numId="9">
    <w:abstractNumId w:val="10"/>
  </w:num>
  <w:num w:numId="10">
    <w:abstractNumId w:val="23"/>
  </w:num>
  <w:num w:numId="11">
    <w:abstractNumId w:val="44"/>
  </w:num>
  <w:num w:numId="12">
    <w:abstractNumId w:val="8"/>
  </w:num>
  <w:num w:numId="13">
    <w:abstractNumId w:val="21"/>
  </w:num>
  <w:num w:numId="14">
    <w:abstractNumId w:val="4"/>
  </w:num>
  <w:num w:numId="15">
    <w:abstractNumId w:val="20"/>
  </w:num>
  <w:num w:numId="16">
    <w:abstractNumId w:val="4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9"/>
  </w:num>
  <w:num w:numId="19">
    <w:abstractNumId w:val="1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3"/>
  </w:num>
  <w:num w:numId="23">
    <w:abstractNumId w:val="25"/>
  </w:num>
  <w:num w:numId="24">
    <w:abstractNumId w:val="38"/>
  </w:num>
  <w:num w:numId="25">
    <w:abstractNumId w:val="39"/>
  </w:num>
  <w:num w:numId="26">
    <w:abstractNumId w:val="3"/>
  </w:num>
  <w:num w:numId="27">
    <w:abstractNumId w:val="22"/>
  </w:num>
  <w:num w:numId="28">
    <w:abstractNumId w:val="24"/>
  </w:num>
  <w:num w:numId="29">
    <w:abstractNumId w:val="35"/>
  </w:num>
  <w:num w:numId="30">
    <w:abstractNumId w:val="12"/>
  </w:num>
  <w:num w:numId="31">
    <w:abstractNumId w:val="43"/>
  </w:num>
  <w:num w:numId="32">
    <w:abstractNumId w:val="14"/>
  </w:num>
  <w:num w:numId="33">
    <w:abstractNumId w:val="7"/>
  </w:num>
  <w:num w:numId="34">
    <w:abstractNumId w:val="30"/>
  </w:num>
  <w:num w:numId="35">
    <w:abstractNumId w:val="1"/>
  </w:num>
  <w:num w:numId="36">
    <w:abstractNumId w:val="11"/>
  </w:num>
  <w:num w:numId="37">
    <w:abstractNumId w:val="26"/>
  </w:num>
  <w:num w:numId="38">
    <w:abstractNumId w:val="31"/>
  </w:num>
  <w:num w:numId="39">
    <w:abstractNumId w:val="40"/>
  </w:num>
  <w:num w:numId="40">
    <w:abstractNumId w:val="18"/>
  </w:num>
  <w:num w:numId="41">
    <w:abstractNumId w:val="29"/>
  </w:num>
  <w:num w:numId="42">
    <w:abstractNumId w:val="34"/>
  </w:num>
  <w:num w:numId="43">
    <w:abstractNumId w:val="27"/>
  </w:num>
  <w:num w:numId="44">
    <w:abstractNumId w:val="15"/>
  </w:num>
  <w:num w:numId="45">
    <w:abstractNumId w:val="5"/>
  </w:num>
  <w:num w:numId="46">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sv-SE" w:vendorID="22" w:dllVersion="513"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70561"/>
    <w:rsid w:val="00070ECC"/>
    <w:rsid w:val="00071777"/>
    <w:rsid w:val="00072354"/>
    <w:rsid w:val="00072470"/>
    <w:rsid w:val="000724BF"/>
    <w:rsid w:val="00072597"/>
    <w:rsid w:val="000725AA"/>
    <w:rsid w:val="00072C4C"/>
    <w:rsid w:val="000737DA"/>
    <w:rsid w:val="00074EBA"/>
    <w:rsid w:val="00074F2C"/>
    <w:rsid w:val="0007555F"/>
    <w:rsid w:val="00075AFE"/>
    <w:rsid w:val="00076DB9"/>
    <w:rsid w:val="000771C7"/>
    <w:rsid w:val="00077FE0"/>
    <w:rsid w:val="000801D4"/>
    <w:rsid w:val="00080CEE"/>
    <w:rsid w:val="00081509"/>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36A"/>
    <w:rsid w:val="000E4FBB"/>
    <w:rsid w:val="000E52D1"/>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DB8"/>
    <w:rsid w:val="001C6C24"/>
    <w:rsid w:val="001D002A"/>
    <w:rsid w:val="001D04B9"/>
    <w:rsid w:val="001D0B0F"/>
    <w:rsid w:val="001D1048"/>
    <w:rsid w:val="001D134E"/>
    <w:rsid w:val="001D1447"/>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296D"/>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200B5"/>
    <w:rsid w:val="00220952"/>
    <w:rsid w:val="002217EE"/>
    <w:rsid w:val="002218AC"/>
    <w:rsid w:val="00221BA7"/>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95"/>
    <w:rsid w:val="002B6529"/>
    <w:rsid w:val="002B6A74"/>
    <w:rsid w:val="002B75CC"/>
    <w:rsid w:val="002B7DF5"/>
    <w:rsid w:val="002C034B"/>
    <w:rsid w:val="002C0E6F"/>
    <w:rsid w:val="002C1220"/>
    <w:rsid w:val="002C1343"/>
    <w:rsid w:val="002C15A4"/>
    <w:rsid w:val="002C1A95"/>
    <w:rsid w:val="002C27CE"/>
    <w:rsid w:val="002C2ED0"/>
    <w:rsid w:val="002C3086"/>
    <w:rsid w:val="002C3188"/>
    <w:rsid w:val="002C33B8"/>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4977"/>
    <w:rsid w:val="0068575A"/>
    <w:rsid w:val="00686103"/>
    <w:rsid w:val="00686264"/>
    <w:rsid w:val="00686A02"/>
    <w:rsid w:val="00686AB1"/>
    <w:rsid w:val="00686C73"/>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0A00"/>
    <w:rsid w:val="006B1507"/>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1113"/>
    <w:rsid w:val="006E1B28"/>
    <w:rsid w:val="006E21F8"/>
    <w:rsid w:val="006E249F"/>
    <w:rsid w:val="006E27C5"/>
    <w:rsid w:val="006E2C7A"/>
    <w:rsid w:val="006E3112"/>
    <w:rsid w:val="006E42B8"/>
    <w:rsid w:val="006E4356"/>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4554"/>
    <w:rsid w:val="007D4584"/>
    <w:rsid w:val="007D47CD"/>
    <w:rsid w:val="007D4D07"/>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12D4"/>
    <w:rsid w:val="008116BD"/>
    <w:rsid w:val="008125C7"/>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37A02"/>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3970"/>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DD3"/>
    <w:rsid w:val="009F7216"/>
    <w:rsid w:val="009F749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421"/>
    <w:rsid w:val="00A828C9"/>
    <w:rsid w:val="00A82A7D"/>
    <w:rsid w:val="00A82CA9"/>
    <w:rsid w:val="00A82F3F"/>
    <w:rsid w:val="00A83401"/>
    <w:rsid w:val="00A834BF"/>
    <w:rsid w:val="00A83663"/>
    <w:rsid w:val="00A84425"/>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04"/>
    <w:rsid w:val="00B44B1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1C7E"/>
    <w:rsid w:val="00B61E2E"/>
    <w:rsid w:val="00B61F6F"/>
    <w:rsid w:val="00B6247B"/>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BCB"/>
    <w:rsid w:val="00CE1C3F"/>
    <w:rsid w:val="00CE2826"/>
    <w:rsid w:val="00CE2B85"/>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3303"/>
    <w:rsid w:val="00D93592"/>
    <w:rsid w:val="00D93A6E"/>
    <w:rsid w:val="00D9422C"/>
    <w:rsid w:val="00D9497B"/>
    <w:rsid w:val="00D94C42"/>
    <w:rsid w:val="00D95116"/>
    <w:rsid w:val="00D95406"/>
    <w:rsid w:val="00D95770"/>
    <w:rsid w:val="00D95EAB"/>
    <w:rsid w:val="00D96830"/>
    <w:rsid w:val="00D9731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1E90"/>
    <w:rsid w:val="00DE25C9"/>
    <w:rsid w:val="00DE2A5B"/>
    <w:rsid w:val="00DE2B97"/>
    <w:rsid w:val="00DE2E0C"/>
    <w:rsid w:val="00DE3AF1"/>
    <w:rsid w:val="00DE4CEC"/>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4F32"/>
    <w:rsid w:val="00E055E2"/>
    <w:rsid w:val="00E05663"/>
    <w:rsid w:val="00E0573F"/>
    <w:rsid w:val="00E05F25"/>
    <w:rsid w:val="00E068F1"/>
    <w:rsid w:val="00E070DE"/>
    <w:rsid w:val="00E075F2"/>
    <w:rsid w:val="00E07E56"/>
    <w:rsid w:val="00E10636"/>
    <w:rsid w:val="00E10A17"/>
    <w:rsid w:val="00E11966"/>
    <w:rsid w:val="00E11AC1"/>
    <w:rsid w:val="00E1209E"/>
    <w:rsid w:val="00E1220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B30"/>
    <w:rsid w:val="00E651A1"/>
    <w:rsid w:val="00E6567F"/>
    <w:rsid w:val="00E6654F"/>
    <w:rsid w:val="00E66730"/>
    <w:rsid w:val="00E66892"/>
    <w:rsid w:val="00E66C26"/>
    <w:rsid w:val="00E66F5D"/>
    <w:rsid w:val="00E677AB"/>
    <w:rsid w:val="00E6799B"/>
    <w:rsid w:val="00E706BA"/>
    <w:rsid w:val="00E70934"/>
    <w:rsid w:val="00E70B1B"/>
    <w:rsid w:val="00E70E9E"/>
    <w:rsid w:val="00E70EE9"/>
    <w:rsid w:val="00E71805"/>
    <w:rsid w:val="00E722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991"/>
    <w:rsid w:val="00F17DAF"/>
    <w:rsid w:val="00F20C2B"/>
    <w:rsid w:val="00F21135"/>
    <w:rsid w:val="00F216FD"/>
    <w:rsid w:val="00F221CA"/>
    <w:rsid w:val="00F22A04"/>
    <w:rsid w:val="00F2337F"/>
    <w:rsid w:val="00F23424"/>
    <w:rsid w:val="00F23A3A"/>
    <w:rsid w:val="00F23F7C"/>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3C96"/>
    <w:rsid w:val="00FE40E7"/>
    <w:rsid w:val="00FE434B"/>
    <w:rsid w:val="00FE4453"/>
    <w:rsid w:val="00FE451F"/>
    <w:rsid w:val="00FE45BF"/>
    <w:rsid w:val="00FE4C55"/>
    <w:rsid w:val="00FE4E88"/>
    <w:rsid w:val="00FE510C"/>
    <w:rsid w:val="00FE5D31"/>
    <w:rsid w:val="00FE69C5"/>
    <w:rsid w:val="00FE79E2"/>
    <w:rsid w:val="00FE7DD1"/>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977"/>
    <w:pPr>
      <w:spacing w:after="160" w:line="259" w:lineRule="auto"/>
    </w:pPr>
    <w:rPr>
      <w:rFonts w:asciiTheme="minorHAnsi" w:eastAsiaTheme="minorEastAsia" w:hAnsiTheme="minorHAnsi" w:cstheme="minorBidi"/>
      <w:sz w:val="22"/>
      <w:szCs w:val="22"/>
      <w:lang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rsid w:val="0068497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497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style>
  <w:style w:type="paragraph" w:customStyle="1" w:styleId="INDENT2">
    <w:name w:val="INDENT2"/>
    <w:basedOn w:val="Normal"/>
    <w:rsid w:val="00CC72C8"/>
    <w:pPr>
      <w:overflowPunct w:val="0"/>
      <w:autoSpaceDE w:val="0"/>
      <w:autoSpaceDN w:val="0"/>
      <w:adjustRightInd w:val="0"/>
      <w:ind w:left="1135" w:hanging="284"/>
      <w:textAlignment w:val="baseline"/>
    </w:pPr>
  </w:style>
  <w:style w:type="paragraph" w:customStyle="1" w:styleId="INDENT3">
    <w:name w:val="INDENT3"/>
    <w:basedOn w:val="Normal"/>
    <w:rsid w:val="00CC72C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CC72C8"/>
    <w:pPr>
      <w:keepNext/>
      <w:keepLines/>
      <w:overflowPunct w:val="0"/>
      <w:autoSpaceDE w:val="0"/>
      <w:autoSpaceDN w:val="0"/>
      <w:adjustRightInd w:val="0"/>
      <w:textAlignment w:val="baseline"/>
    </w:pPr>
    <w:rPr>
      <w:b/>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2023-02-17T10:14:00Z</dcterms:created>
  <dcterms:modified xsi:type="dcterms:W3CDTF">2023-02-17T10:14:00Z</dcterms:modified>
</cp:coreProperties>
</file>