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A17D" w14:textId="1C6CF07B" w:rsidR="00803510" w:rsidRPr="00A412D5" w:rsidRDefault="00274066" w:rsidP="00803510">
      <w:pPr>
        <w:pStyle w:val="3GPPHeader"/>
        <w:spacing w:after="0"/>
        <w:rPr>
          <w:lang w:val="en-US"/>
        </w:rPr>
      </w:pPr>
      <w:r w:rsidRPr="00DE5DDF">
        <w:rPr>
          <w:lang w:val="en-US"/>
        </w:rPr>
        <w:t>3GPP TSG-RAN4 Meeting #</w:t>
      </w:r>
      <w:r>
        <w:rPr>
          <w:lang w:val="en-US"/>
        </w:rPr>
        <w:t>10</w:t>
      </w:r>
      <w:r w:rsidR="00AC1087">
        <w:rPr>
          <w:lang w:val="en-US"/>
        </w:rPr>
        <w:t>6</w:t>
      </w:r>
      <w:r w:rsidR="00803510" w:rsidRPr="00A412D5">
        <w:rPr>
          <w:lang w:val="en-US"/>
        </w:rPr>
        <w:tab/>
      </w:r>
      <w:r w:rsidR="00F93116" w:rsidRPr="00F93116">
        <w:rPr>
          <w:lang w:val="en-US"/>
        </w:rPr>
        <w:t>R4-2300038</w:t>
      </w:r>
    </w:p>
    <w:p w14:paraId="26F858F2" w14:textId="19598841" w:rsidR="0043450E" w:rsidRPr="00A412D5" w:rsidRDefault="00AC1087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AC1087">
        <w:rPr>
          <w:rFonts w:ascii="Arial" w:eastAsia="SimSun" w:hAnsi="Arial" w:cs="Arial"/>
          <w:b/>
          <w:sz w:val="24"/>
          <w:szCs w:val="24"/>
          <w:lang w:eastAsia="zh-CN"/>
        </w:rPr>
        <w:t>Athens, Greece, February 27 – March 3, 2022</w:t>
      </w:r>
    </w:p>
    <w:p w14:paraId="2078F563" w14:textId="18C630DB" w:rsidR="0043450E" w:rsidRPr="00A412D5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A412D5">
        <w:rPr>
          <w:b/>
          <w:sz w:val="22"/>
        </w:rPr>
        <w:t xml:space="preserve">Source: </w:t>
      </w:r>
      <w:r w:rsidRPr="00A412D5">
        <w:rPr>
          <w:b/>
          <w:sz w:val="22"/>
        </w:rPr>
        <w:tab/>
      </w:r>
      <w:r w:rsidRPr="00A412D5">
        <w:rPr>
          <w:sz w:val="22"/>
        </w:rPr>
        <w:t>Nok</w:t>
      </w:r>
      <w:r w:rsidR="00BC764C" w:rsidRPr="00A412D5">
        <w:rPr>
          <w:sz w:val="22"/>
        </w:rPr>
        <w:t>ia</w:t>
      </w:r>
      <w:r w:rsidR="00454E53" w:rsidRPr="00A412D5">
        <w:rPr>
          <w:sz w:val="22"/>
        </w:rPr>
        <w:t>, Nokia Shanghai Bell</w:t>
      </w:r>
    </w:p>
    <w:p w14:paraId="5B6A96A7" w14:textId="4FCC0AC1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>Title:</w:t>
      </w:r>
      <w:r w:rsidRPr="00A412D5">
        <w:rPr>
          <w:sz w:val="22"/>
        </w:rPr>
        <w:t xml:space="preserve"> </w:t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="0081320F">
        <w:rPr>
          <w:sz w:val="22"/>
        </w:rPr>
        <w:t>M</w:t>
      </w:r>
      <w:r w:rsidR="0081320F" w:rsidRPr="0081320F">
        <w:rPr>
          <w:sz w:val="22"/>
        </w:rPr>
        <w:t>aximum aggregated BW for intra-band CA and for inter-band CA for FR1</w:t>
      </w:r>
    </w:p>
    <w:p w14:paraId="23226DA5" w14:textId="50F7EAC2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 xml:space="preserve">Agenda Item: </w:t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="0081320F">
        <w:rPr>
          <w:sz w:val="22"/>
        </w:rPr>
        <w:t>5</w:t>
      </w:r>
      <w:r w:rsidR="00886B38">
        <w:rPr>
          <w:sz w:val="22"/>
        </w:rPr>
        <w:t>.</w:t>
      </w:r>
      <w:r w:rsidR="0081320F">
        <w:rPr>
          <w:sz w:val="22"/>
        </w:rPr>
        <w:t>2.8</w:t>
      </w:r>
      <w:r w:rsidR="00886B38">
        <w:rPr>
          <w:sz w:val="22"/>
        </w:rPr>
        <w:t>.</w:t>
      </w:r>
      <w:r w:rsidR="008745A1">
        <w:rPr>
          <w:sz w:val="22"/>
        </w:rPr>
        <w:t>2</w:t>
      </w:r>
    </w:p>
    <w:p w14:paraId="7AD518C5" w14:textId="1267140C" w:rsidR="0043450E" w:rsidRPr="00A412D5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A412D5">
        <w:rPr>
          <w:b/>
          <w:sz w:val="22"/>
        </w:rPr>
        <w:t>Document for:</w:t>
      </w:r>
      <w:r w:rsidRPr="00A412D5">
        <w:rPr>
          <w:sz w:val="22"/>
        </w:rPr>
        <w:tab/>
      </w:r>
      <w:r w:rsidR="00A8407F">
        <w:rPr>
          <w:sz w:val="22"/>
        </w:rPr>
        <w:t>Approval</w:t>
      </w:r>
    </w:p>
    <w:p w14:paraId="5C2448DB" w14:textId="1FC17218" w:rsidR="0043450E" w:rsidRPr="00A412D5" w:rsidRDefault="00126055" w:rsidP="0043450E">
      <w:pPr>
        <w:pStyle w:val="Heading1"/>
      </w:pPr>
      <w:r w:rsidRPr="00A412D5">
        <w:t>1</w:t>
      </w:r>
      <w:r w:rsidRPr="00A412D5">
        <w:tab/>
        <w:t>Introduction</w:t>
      </w:r>
    </w:p>
    <w:p w14:paraId="0DE43991" w14:textId="18EB4595" w:rsidR="009F7A7C" w:rsidRPr="008045AC" w:rsidRDefault="00A8407F" w:rsidP="00BA51B8">
      <w:pPr>
        <w:rPr>
          <w:b/>
          <w:bCs/>
          <w:lang w:val="en-US"/>
        </w:rPr>
      </w:pPr>
      <w:bookmarkStart w:id="0" w:name="_Hlk58440727"/>
      <w:r>
        <w:rPr>
          <w:rFonts w:eastAsia="SimSun"/>
          <w:lang w:val="en-US" w:eastAsia="zh-CN"/>
        </w:rPr>
        <w:t xml:space="preserve">RAN4#105 approved an WF of [1] on </w:t>
      </w:r>
      <w:r w:rsidRPr="00A8407F">
        <w:rPr>
          <w:rFonts w:eastAsia="SimSun"/>
          <w:lang w:val="en-US" w:eastAsia="zh-CN"/>
        </w:rPr>
        <w:t>maximum aggregated BW</w:t>
      </w:r>
      <w:r w:rsidR="00951DC9">
        <w:rPr>
          <w:rFonts w:eastAsia="SimSun"/>
          <w:lang w:val="en-US" w:eastAsia="zh-CN"/>
        </w:rPr>
        <w:t xml:space="preserve"> (called “</w:t>
      </w:r>
      <w:r w:rsidR="00951DC9" w:rsidRPr="00951DC9">
        <w:rPr>
          <w:rFonts w:eastAsia="SimSun"/>
          <w:b/>
          <w:bCs/>
          <w:color w:val="FF0000"/>
          <w:lang w:val="en-US" w:eastAsia="zh-CN"/>
        </w:rPr>
        <w:t>MABW</w:t>
      </w:r>
      <w:r w:rsidR="00951DC9">
        <w:rPr>
          <w:rFonts w:eastAsia="SimSun"/>
          <w:lang w:val="en-US" w:eastAsia="zh-CN"/>
        </w:rPr>
        <w:t>” hereafter)</w:t>
      </w:r>
      <w:r w:rsidRPr="00A8407F">
        <w:rPr>
          <w:rFonts w:eastAsia="SimSun"/>
          <w:lang w:val="en-US" w:eastAsia="zh-CN"/>
        </w:rPr>
        <w:t xml:space="preserve"> </w:t>
      </w:r>
      <w:r w:rsidR="00951DC9">
        <w:rPr>
          <w:rFonts w:eastAsia="SimSun"/>
          <w:lang w:val="en-US" w:eastAsia="zh-CN"/>
        </w:rPr>
        <w:t>parameter</w:t>
      </w:r>
      <w:r>
        <w:rPr>
          <w:rFonts w:eastAsia="SimSun"/>
          <w:lang w:val="en-US" w:eastAsia="zh-CN"/>
        </w:rPr>
        <w:t xml:space="preserve"> </w:t>
      </w:r>
      <w:r w:rsidRPr="00A8407F">
        <w:rPr>
          <w:rFonts w:eastAsia="SimSun"/>
          <w:lang w:val="en-US" w:eastAsia="zh-CN"/>
        </w:rPr>
        <w:t>for intra-band CA and for inter-band CA for FR1</w:t>
      </w:r>
      <w:r>
        <w:rPr>
          <w:rFonts w:eastAsia="SimSun"/>
          <w:lang w:val="en-US" w:eastAsia="zh-CN"/>
        </w:rPr>
        <w:t>. This contribution shares our view on the WF</w:t>
      </w:r>
      <w:r w:rsidR="00951DC9">
        <w:rPr>
          <w:rFonts w:eastAsia="SimSun"/>
          <w:lang w:val="en-US" w:eastAsia="zh-CN"/>
        </w:rPr>
        <w:t>. In addition, we received a question on why MABW should be limited to BCS5 only</w:t>
      </w:r>
      <w:r w:rsidR="00951DC9" w:rsidRPr="00951DC9">
        <w:rPr>
          <w:rFonts w:eastAsia="SimSun"/>
          <w:lang w:val="en-US" w:eastAsia="zh-CN"/>
        </w:rPr>
        <w:t xml:space="preserve"> </w:t>
      </w:r>
      <w:r w:rsidR="00951DC9">
        <w:rPr>
          <w:rFonts w:eastAsia="SimSun"/>
          <w:lang w:val="en-US" w:eastAsia="zh-CN"/>
        </w:rPr>
        <w:t>during RAN4#105. Hence, this contribution addresses that raised question as well.</w:t>
      </w:r>
    </w:p>
    <w:p w14:paraId="33676B5E" w14:textId="104416A1" w:rsidR="0068320A" w:rsidRPr="00A412D5" w:rsidRDefault="0068320A" w:rsidP="0068320A">
      <w:pPr>
        <w:pStyle w:val="Heading1"/>
        <w:ind w:left="709" w:hanging="709"/>
      </w:pPr>
      <w:r w:rsidRPr="00A412D5">
        <w:t>2</w:t>
      </w:r>
      <w:r w:rsidRPr="00A412D5">
        <w:tab/>
      </w:r>
      <w:r w:rsidR="00A8407F">
        <w:t>Discussion</w:t>
      </w:r>
    </w:p>
    <w:p w14:paraId="784EF821" w14:textId="35EF30B5" w:rsidR="007D012C" w:rsidRDefault="007D012C" w:rsidP="008853C5">
      <w:r>
        <w:t xml:space="preserve">Though </w:t>
      </w:r>
      <w:r w:rsidR="00F1488B">
        <w:t xml:space="preserve">an introduction of </w:t>
      </w:r>
      <w:r w:rsidR="00951DC9">
        <w:t>MABW</w:t>
      </w:r>
      <w:r w:rsidR="00F1488B">
        <w:t xml:space="preserve"> </w:t>
      </w:r>
      <w:r w:rsidR="00951DC9">
        <w:t>parameter</w:t>
      </w:r>
      <w:r w:rsidR="00F1488B">
        <w:t xml:space="preserve"> into FR1 </w:t>
      </w:r>
      <w:r>
        <w:t>has been discussed</w:t>
      </w:r>
      <w:r w:rsidR="00951DC9">
        <w:t xml:space="preserve"> for at least more than one year</w:t>
      </w:r>
      <w:r>
        <w:t xml:space="preserve">, there has been no </w:t>
      </w:r>
      <w:r w:rsidR="00951DC9">
        <w:t xml:space="preserve">clear </w:t>
      </w:r>
      <w:r>
        <w:t xml:space="preserve">agreement on </w:t>
      </w:r>
      <w:r w:rsidR="00F1488B">
        <w:t>it</w:t>
      </w:r>
      <w:r>
        <w:t xml:space="preserve">. In the meanwhile, RAN4 agreed to introduce </w:t>
      </w:r>
      <w:r w:rsidR="00951DC9">
        <w:t>MABW</w:t>
      </w:r>
      <w:r>
        <w:t xml:space="preserve"> into FR2</w:t>
      </w:r>
      <w:r w:rsidR="00951DC9" w:rsidRPr="00951DC9">
        <w:t xml:space="preserve"> </w:t>
      </w:r>
      <w:r w:rsidR="00951DC9">
        <w:t xml:space="preserve">under </w:t>
      </w:r>
      <w:r w:rsidR="00951DC9" w:rsidRPr="007D012C">
        <w:t>Rel-17</w:t>
      </w:r>
      <w:r w:rsidR="00951DC9">
        <w:t xml:space="preserve"> </w:t>
      </w:r>
      <w:r w:rsidR="00951DC9" w:rsidRPr="007D012C">
        <w:t>NR_RF_FR2_req_enh2-Core</w:t>
      </w:r>
      <w:r>
        <w:t>. RAN2, however, couldn’t reach a consensus on the introduction of it. Below is an excerption from minutes of RAN2#120 and the result was sent to RAN4 as an LS of [2].</w:t>
      </w:r>
    </w:p>
    <w:p w14:paraId="7B223FE3" w14:textId="77777777" w:rsidR="007D012C" w:rsidRDefault="007D012C" w:rsidP="007D012C">
      <w:pPr>
        <w:jc w:val="center"/>
      </w:pPr>
      <w:r>
        <w:rPr>
          <w:noProof/>
        </w:rPr>
        <w:drawing>
          <wp:inline distT="0" distB="0" distL="0" distR="0" wp14:anchorId="581FC956" wp14:editId="0DA91CFE">
            <wp:extent cx="4153590" cy="1900188"/>
            <wp:effectExtent l="19050" t="19050" r="18415" b="241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344" cy="19051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F24C0E3" w14:textId="5101983E" w:rsidR="007D012C" w:rsidRPr="005531B6" w:rsidRDefault="005531B6" w:rsidP="005531B6">
      <w:pPr>
        <w:rPr>
          <w:b/>
          <w:bCs/>
        </w:rPr>
      </w:pPr>
      <w:r w:rsidRPr="005531B6">
        <w:rPr>
          <w:b/>
          <w:bCs/>
        </w:rPr>
        <w:t xml:space="preserve">Observation 1: RAN2 didn’t reach a consensus on the introduction of a new </w:t>
      </w:r>
      <w:r w:rsidR="00951DC9">
        <w:rPr>
          <w:b/>
          <w:bCs/>
        </w:rPr>
        <w:t>parameter</w:t>
      </w:r>
      <w:r w:rsidRPr="005531B6">
        <w:rPr>
          <w:b/>
          <w:bCs/>
        </w:rPr>
        <w:t xml:space="preserve"> of maximum aggregated </w:t>
      </w:r>
      <w:r w:rsidR="00F1488B">
        <w:rPr>
          <w:b/>
          <w:bCs/>
        </w:rPr>
        <w:t>BW</w:t>
      </w:r>
      <w:r w:rsidRPr="005531B6">
        <w:rPr>
          <w:b/>
          <w:bCs/>
        </w:rPr>
        <w:t xml:space="preserve"> </w:t>
      </w:r>
      <w:r w:rsidR="00951DC9">
        <w:rPr>
          <w:b/>
          <w:bCs/>
        </w:rPr>
        <w:t xml:space="preserve">(MABW) </w:t>
      </w:r>
      <w:r w:rsidRPr="005531B6">
        <w:rPr>
          <w:b/>
          <w:bCs/>
        </w:rPr>
        <w:t>into FR2</w:t>
      </w:r>
      <w:r w:rsidR="00951DC9">
        <w:rPr>
          <w:b/>
          <w:bCs/>
        </w:rPr>
        <w:t xml:space="preserve"> due to an expectation that the new parameter doesn’t bring enough gain</w:t>
      </w:r>
      <w:r w:rsidRPr="005531B6">
        <w:rPr>
          <w:b/>
          <w:bCs/>
        </w:rPr>
        <w:t xml:space="preserve">. </w:t>
      </w:r>
    </w:p>
    <w:p w14:paraId="5347726F" w14:textId="63A95D24" w:rsidR="00E1347F" w:rsidRDefault="00704300" w:rsidP="005531B6">
      <w:r>
        <w:t xml:space="preserve">From the observation 1, </w:t>
      </w:r>
      <w:r w:rsidR="00E1347F">
        <w:t>even if RAN4 agree</w:t>
      </w:r>
      <w:r w:rsidR="00ED0ADA">
        <w:t>d</w:t>
      </w:r>
      <w:r w:rsidR="00E1347F">
        <w:t xml:space="preserve"> the introduction of </w:t>
      </w:r>
      <w:r>
        <w:t xml:space="preserve">a new </w:t>
      </w:r>
      <w:r w:rsidR="00951DC9">
        <w:t>parameter</w:t>
      </w:r>
      <w:r>
        <w:t xml:space="preserve"> of </w:t>
      </w:r>
      <w:r w:rsidR="00951DC9">
        <w:t>MA</w:t>
      </w:r>
      <w:r w:rsidR="00F1488B">
        <w:t>BW</w:t>
      </w:r>
      <w:r>
        <w:t xml:space="preserve"> into FR1, the same conclusion </w:t>
      </w:r>
      <w:r w:rsidR="00ED0ADA">
        <w:t>might be</w:t>
      </w:r>
      <w:r>
        <w:t xml:space="preserve"> seen in RAN2.</w:t>
      </w:r>
    </w:p>
    <w:p w14:paraId="50095ADF" w14:textId="38A8776B" w:rsidR="00704300" w:rsidRPr="00ED0ADA" w:rsidRDefault="00ED0ADA" w:rsidP="00ED0ADA">
      <w:pPr>
        <w:rPr>
          <w:b/>
          <w:bCs/>
        </w:rPr>
      </w:pPr>
      <w:r>
        <w:rPr>
          <w:b/>
          <w:bCs/>
        </w:rPr>
        <w:t>Observation 2</w:t>
      </w:r>
      <w:r w:rsidR="00704300" w:rsidRPr="005531B6">
        <w:rPr>
          <w:b/>
          <w:bCs/>
        </w:rPr>
        <w:t>:</w:t>
      </w:r>
      <w:r w:rsidR="00704300">
        <w:rPr>
          <w:b/>
          <w:bCs/>
        </w:rPr>
        <w:t xml:space="preserve"> </w:t>
      </w:r>
      <w:r>
        <w:rPr>
          <w:b/>
          <w:bCs/>
        </w:rPr>
        <w:t>Even if RAN4 agreed the introduction of a new parameter of MABW into FR1, the same conclusion might be seen in RAN2, i.e., no introduction of it into RAN2 spec in the end.</w:t>
      </w:r>
    </w:p>
    <w:p w14:paraId="1DE55B71" w14:textId="4672D3E4" w:rsidR="00ED0ADA" w:rsidRPr="00ED0ADA" w:rsidRDefault="00ED0ADA" w:rsidP="00ED0ADA">
      <w:pPr>
        <w:rPr>
          <w:b/>
          <w:bCs/>
        </w:rPr>
      </w:pPr>
      <w:r>
        <w:rPr>
          <w:b/>
          <w:bCs/>
        </w:rPr>
        <w:t>Proposal 1</w:t>
      </w:r>
      <w:r w:rsidRPr="005531B6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b/>
          <w:bCs/>
        </w:rPr>
        <w:t>Considering both observation 1 and 2, RAN4 needs to consider if we keep discussing this topic further or not.</w:t>
      </w:r>
    </w:p>
    <w:p w14:paraId="0BAAA926" w14:textId="424079E3" w:rsidR="009D2B90" w:rsidRDefault="00704300" w:rsidP="005531B6">
      <w:r>
        <w:t xml:space="preserve">With respect to a question on why </w:t>
      </w:r>
      <w:r w:rsidR="00951DC9">
        <w:t>MA</w:t>
      </w:r>
      <w:r w:rsidR="00F1488B">
        <w:t>BW</w:t>
      </w:r>
      <w:r>
        <w:t xml:space="preserve"> </w:t>
      </w:r>
      <w:r w:rsidR="00951DC9">
        <w:t>parameter</w:t>
      </w:r>
      <w:r>
        <w:t xml:space="preserve"> should be limited to BCS5, </w:t>
      </w:r>
      <w:r w:rsidR="005531B6">
        <w:t xml:space="preserve">in our understanding, the introduction </w:t>
      </w:r>
      <w:r w:rsidR="004F60EB">
        <w:t xml:space="preserve">of the </w:t>
      </w:r>
      <w:r w:rsidR="00951DC9">
        <w:t>MA</w:t>
      </w:r>
      <w:r w:rsidR="00F1488B">
        <w:t>BW</w:t>
      </w:r>
      <w:r w:rsidR="004F60EB">
        <w:t xml:space="preserve"> signalling </w:t>
      </w:r>
      <w:r w:rsidR="005531B6">
        <w:t xml:space="preserve">must have </w:t>
      </w:r>
      <w:r w:rsidR="004F60EB">
        <w:t>also a backward compatibility issue</w:t>
      </w:r>
      <w:r w:rsidR="005531B6">
        <w:t xml:space="preserve"> </w:t>
      </w:r>
      <w:r w:rsidR="00951DC9">
        <w:t xml:space="preserve">as </w:t>
      </w:r>
      <w:r w:rsidR="004F60EB">
        <w:t xml:space="preserve">raised </w:t>
      </w:r>
      <w:r w:rsidR="005531B6">
        <w:t xml:space="preserve">in BCS4 discussion. More specifically, </w:t>
      </w:r>
      <w:r w:rsidR="00190690">
        <w:t xml:space="preserve">there had been a long discussion on if </w:t>
      </w:r>
      <w:proofErr w:type="spellStart"/>
      <w:r w:rsidR="00190690" w:rsidRPr="00190690">
        <w:rPr>
          <w:i/>
          <w:iCs/>
        </w:rPr>
        <w:t>supportedMinBandwidthDL</w:t>
      </w:r>
      <w:proofErr w:type="spellEnd"/>
      <w:r w:rsidR="00190690" w:rsidRPr="00190690">
        <w:rPr>
          <w:i/>
          <w:iCs/>
        </w:rPr>
        <w:t>/</w:t>
      </w:r>
      <w:proofErr w:type="spellStart"/>
      <w:r w:rsidR="00190690" w:rsidRPr="00190690">
        <w:rPr>
          <w:i/>
          <w:iCs/>
        </w:rPr>
        <w:t>supportedMinBandwidthUL</w:t>
      </w:r>
      <w:proofErr w:type="spellEnd"/>
      <w:r w:rsidR="00190690">
        <w:t xml:space="preserve"> </w:t>
      </w:r>
      <w:r w:rsidR="004732C3">
        <w:t xml:space="preserve">(called </w:t>
      </w:r>
      <w:proofErr w:type="spellStart"/>
      <w:r w:rsidR="004732C3" w:rsidRPr="004732C3">
        <w:rPr>
          <w:b/>
          <w:bCs/>
          <w:color w:val="FF0000"/>
        </w:rPr>
        <w:t>minCBW</w:t>
      </w:r>
      <w:proofErr w:type="spellEnd"/>
      <w:r w:rsidR="004732C3">
        <w:t xml:space="preserve"> hereafter) </w:t>
      </w:r>
      <w:r w:rsidR="00190690">
        <w:t>can be applied to BCS4 or not. Some companies raised an issue that legacy networks can understand BCS4</w:t>
      </w:r>
      <w:r w:rsidR="004732C3">
        <w:t xml:space="preserve"> itself</w:t>
      </w:r>
      <w:r w:rsidR="00190690">
        <w:t xml:space="preserve">, but they may not be able to understand the </w:t>
      </w:r>
      <w:proofErr w:type="spellStart"/>
      <w:r w:rsidR="004732C3">
        <w:t>minCBW</w:t>
      </w:r>
      <w:proofErr w:type="spellEnd"/>
      <w:r w:rsidR="00190690">
        <w:t xml:space="preserve">. In this case, if the networks ignore only the </w:t>
      </w:r>
      <w:proofErr w:type="spellStart"/>
      <w:r w:rsidR="004732C3">
        <w:t>minCBW</w:t>
      </w:r>
      <w:proofErr w:type="spellEnd"/>
      <w:r w:rsidR="00190690">
        <w:t xml:space="preserve">, they may configure the UE with infeasible channel bandwidth combination(s). As a result of this issue, specifications allow UE to indicate </w:t>
      </w:r>
      <w:proofErr w:type="spellStart"/>
      <w:r w:rsidR="004732C3">
        <w:t>m</w:t>
      </w:r>
      <w:r w:rsidR="004732C3" w:rsidRPr="004732C3">
        <w:t>inCBW</w:t>
      </w:r>
      <w:proofErr w:type="spellEnd"/>
      <w:r w:rsidR="00190690">
        <w:t xml:space="preserve"> only together with BCS5.</w:t>
      </w:r>
    </w:p>
    <w:p w14:paraId="4DD5AC16" w14:textId="77777777" w:rsidR="00B73193" w:rsidRDefault="00190690" w:rsidP="008853C5">
      <w:pPr>
        <w:rPr>
          <w:b/>
          <w:bCs/>
        </w:rPr>
      </w:pPr>
      <w:r w:rsidRPr="00C37180">
        <w:rPr>
          <w:b/>
          <w:bCs/>
        </w:rPr>
        <w:t xml:space="preserve">Observation </w:t>
      </w:r>
      <w:r w:rsidR="00ED0ADA">
        <w:rPr>
          <w:b/>
          <w:bCs/>
        </w:rPr>
        <w:t>3</w:t>
      </w:r>
      <w:r w:rsidRPr="00C37180">
        <w:rPr>
          <w:b/>
          <w:bCs/>
        </w:rPr>
        <w:t xml:space="preserve">: Backward compatibility </w:t>
      </w:r>
      <w:r w:rsidR="00C37180">
        <w:rPr>
          <w:b/>
          <w:bCs/>
        </w:rPr>
        <w:t>issue</w:t>
      </w:r>
      <w:r w:rsidR="004732C3">
        <w:rPr>
          <w:b/>
          <w:bCs/>
        </w:rPr>
        <w:t xml:space="preserve"> was</w:t>
      </w:r>
      <w:r w:rsidRPr="00C37180">
        <w:rPr>
          <w:b/>
          <w:bCs/>
        </w:rPr>
        <w:t xml:space="preserve"> </w:t>
      </w:r>
      <w:r w:rsidR="00C37180">
        <w:rPr>
          <w:b/>
          <w:bCs/>
        </w:rPr>
        <w:t xml:space="preserve">raised </w:t>
      </w:r>
      <w:r w:rsidRPr="00C37180">
        <w:rPr>
          <w:b/>
          <w:bCs/>
        </w:rPr>
        <w:t>during</w:t>
      </w:r>
      <w:r w:rsidRPr="004732C3">
        <w:rPr>
          <w:b/>
          <w:bCs/>
        </w:rPr>
        <w:t xml:space="preserve"> </w:t>
      </w:r>
      <w:proofErr w:type="spellStart"/>
      <w:r w:rsidR="004732C3" w:rsidRPr="004732C3">
        <w:rPr>
          <w:b/>
          <w:bCs/>
        </w:rPr>
        <w:t>minCBW</w:t>
      </w:r>
      <w:proofErr w:type="spellEnd"/>
      <w:r w:rsidR="004732C3" w:rsidRPr="004732C3">
        <w:rPr>
          <w:b/>
          <w:bCs/>
        </w:rPr>
        <w:t xml:space="preserve"> </w:t>
      </w:r>
      <w:r w:rsidRPr="00C37180">
        <w:rPr>
          <w:b/>
          <w:bCs/>
        </w:rPr>
        <w:t xml:space="preserve">discussion </w:t>
      </w:r>
      <w:r w:rsidR="004732C3">
        <w:rPr>
          <w:b/>
          <w:bCs/>
        </w:rPr>
        <w:t xml:space="preserve">and </w:t>
      </w:r>
      <w:r w:rsidR="00C37180" w:rsidRPr="00C37180">
        <w:rPr>
          <w:b/>
          <w:bCs/>
        </w:rPr>
        <w:t xml:space="preserve">BCS5 </w:t>
      </w:r>
      <w:r w:rsidR="004732C3">
        <w:rPr>
          <w:b/>
          <w:bCs/>
        </w:rPr>
        <w:t xml:space="preserve">was introduced </w:t>
      </w:r>
      <w:r w:rsidR="00C37180" w:rsidRPr="00C37180">
        <w:rPr>
          <w:b/>
          <w:bCs/>
        </w:rPr>
        <w:t>as a resolution.</w:t>
      </w:r>
      <w:r w:rsidRPr="00C37180">
        <w:rPr>
          <w:b/>
          <w:bCs/>
        </w:rPr>
        <w:t xml:space="preserve"> </w:t>
      </w:r>
    </w:p>
    <w:p w14:paraId="1B7AE58B" w14:textId="476020C3" w:rsidR="009D2B90" w:rsidRDefault="00C37180" w:rsidP="008853C5">
      <w:r w:rsidRPr="00C37180">
        <w:rPr>
          <w:b/>
          <w:bCs/>
        </w:rPr>
        <w:lastRenderedPageBreak/>
        <w:t xml:space="preserve">Observation </w:t>
      </w:r>
      <w:r w:rsidR="00ED0ADA">
        <w:rPr>
          <w:b/>
          <w:bCs/>
        </w:rPr>
        <w:t>4</w:t>
      </w:r>
      <w:r w:rsidRPr="00C37180">
        <w:rPr>
          <w:b/>
          <w:bCs/>
        </w:rPr>
        <w:t xml:space="preserve">: </w:t>
      </w:r>
      <w:r w:rsidR="00E1347F">
        <w:rPr>
          <w:b/>
          <w:bCs/>
        </w:rPr>
        <w:t>The b</w:t>
      </w:r>
      <w:r w:rsidRPr="00C37180">
        <w:rPr>
          <w:b/>
          <w:bCs/>
        </w:rPr>
        <w:t xml:space="preserve">ackward compatibility </w:t>
      </w:r>
      <w:r>
        <w:rPr>
          <w:b/>
          <w:bCs/>
        </w:rPr>
        <w:t>issue</w:t>
      </w:r>
      <w:r w:rsidRPr="00C37180">
        <w:rPr>
          <w:b/>
          <w:bCs/>
        </w:rPr>
        <w:t xml:space="preserve"> </w:t>
      </w:r>
      <w:r w:rsidR="00E1347F">
        <w:rPr>
          <w:b/>
          <w:bCs/>
        </w:rPr>
        <w:t xml:space="preserve">in Observation </w:t>
      </w:r>
      <w:r w:rsidR="00ED0ADA">
        <w:rPr>
          <w:b/>
          <w:bCs/>
        </w:rPr>
        <w:t>3</w:t>
      </w:r>
      <w:r w:rsidR="00E1347F">
        <w:rPr>
          <w:b/>
          <w:bCs/>
        </w:rPr>
        <w:t xml:space="preserve"> </w:t>
      </w:r>
      <w:r>
        <w:rPr>
          <w:b/>
          <w:bCs/>
        </w:rPr>
        <w:t xml:space="preserve">also applies to </w:t>
      </w:r>
      <w:r w:rsidR="004732C3">
        <w:rPr>
          <w:b/>
          <w:bCs/>
        </w:rPr>
        <w:t>MA</w:t>
      </w:r>
      <w:r w:rsidR="00F1488B">
        <w:rPr>
          <w:b/>
          <w:bCs/>
        </w:rPr>
        <w:t>BW</w:t>
      </w:r>
      <w:r w:rsidR="00E1347F">
        <w:rPr>
          <w:b/>
          <w:bCs/>
        </w:rPr>
        <w:t xml:space="preserve">. Hence, if the </w:t>
      </w:r>
      <w:r w:rsidR="004732C3">
        <w:rPr>
          <w:b/>
          <w:bCs/>
        </w:rPr>
        <w:t>parameter</w:t>
      </w:r>
      <w:r w:rsidR="00E1347F">
        <w:rPr>
          <w:b/>
          <w:bCs/>
        </w:rPr>
        <w:t xml:space="preserve"> was introduced, it could be reported together with only BCS5 </w:t>
      </w:r>
      <w:r>
        <w:rPr>
          <w:b/>
          <w:bCs/>
        </w:rPr>
        <w:t>while FR2 specification has had only BCS0 thus far.</w:t>
      </w:r>
    </w:p>
    <w:p w14:paraId="3A70E3CD" w14:textId="6AE15812" w:rsidR="00881B97" w:rsidRDefault="00C37180" w:rsidP="008853C5">
      <w:r>
        <w:t xml:space="preserve">It’s noted that in RAN2, the backward compatibility was raised in </w:t>
      </w:r>
      <w:r w:rsidR="00E1347F">
        <w:t>[3].</w:t>
      </w:r>
    </w:p>
    <w:p w14:paraId="61FC8CD8" w14:textId="547DC83B" w:rsidR="004732C3" w:rsidRDefault="004732C3" w:rsidP="008853C5">
      <w:r>
        <w:rPr>
          <w:b/>
          <w:bCs/>
        </w:rPr>
        <w:t>Proposal</w:t>
      </w:r>
      <w:r w:rsidRPr="005531B6">
        <w:rPr>
          <w:b/>
          <w:bCs/>
        </w:rPr>
        <w:t>:</w:t>
      </w:r>
      <w:r>
        <w:rPr>
          <w:b/>
          <w:bCs/>
        </w:rPr>
        <w:t xml:space="preserve"> In case MABW is introduced, handling of MABW must be the same as that of </w:t>
      </w:r>
      <w:proofErr w:type="spellStart"/>
      <w:r>
        <w:rPr>
          <w:b/>
          <w:bCs/>
        </w:rPr>
        <w:t>minCBW</w:t>
      </w:r>
      <w:proofErr w:type="spellEnd"/>
      <w:r>
        <w:rPr>
          <w:b/>
          <w:bCs/>
        </w:rPr>
        <w:t>, i.e., MABW should be reported together with BCS5 only.</w:t>
      </w:r>
    </w:p>
    <w:bookmarkEnd w:id="0"/>
    <w:p w14:paraId="4063B845" w14:textId="7684CEC0" w:rsidR="00276F69" w:rsidRPr="00A412D5" w:rsidRDefault="00935D5C" w:rsidP="002F26C3">
      <w:pPr>
        <w:pStyle w:val="Heading1"/>
        <w:ind w:left="709" w:hanging="709"/>
      </w:pPr>
      <w:r>
        <w:t>3</w:t>
      </w:r>
      <w:r w:rsidR="000D164D" w:rsidRPr="00A412D5">
        <w:tab/>
      </w:r>
      <w:r w:rsidR="00276F69" w:rsidRPr="00A412D5">
        <w:t>Conclusion</w:t>
      </w:r>
    </w:p>
    <w:p w14:paraId="181DC0C6" w14:textId="77777777" w:rsidR="004732C3" w:rsidRDefault="004732C3" w:rsidP="004732C3">
      <w:r>
        <w:t>As a result of the above discussion, we obtained following observations and proposals.</w:t>
      </w:r>
    </w:p>
    <w:p w14:paraId="4B6A8915" w14:textId="77777777" w:rsidR="00ED0ADA" w:rsidRPr="005531B6" w:rsidRDefault="00ED0ADA" w:rsidP="00ED0ADA">
      <w:pPr>
        <w:rPr>
          <w:b/>
          <w:bCs/>
        </w:rPr>
      </w:pPr>
      <w:r w:rsidRPr="005531B6">
        <w:rPr>
          <w:b/>
          <w:bCs/>
        </w:rPr>
        <w:t xml:space="preserve">Observation 1: RAN2 didn’t reach a consensus on the introduction of a new </w:t>
      </w:r>
      <w:r>
        <w:rPr>
          <w:b/>
          <w:bCs/>
        </w:rPr>
        <w:t>parameter</w:t>
      </w:r>
      <w:r w:rsidRPr="005531B6">
        <w:rPr>
          <w:b/>
          <w:bCs/>
        </w:rPr>
        <w:t xml:space="preserve"> of maximum aggregated </w:t>
      </w:r>
      <w:r>
        <w:rPr>
          <w:b/>
          <w:bCs/>
        </w:rPr>
        <w:t>BW</w:t>
      </w:r>
      <w:r w:rsidRPr="005531B6">
        <w:rPr>
          <w:b/>
          <w:bCs/>
        </w:rPr>
        <w:t xml:space="preserve"> </w:t>
      </w:r>
      <w:r>
        <w:rPr>
          <w:b/>
          <w:bCs/>
        </w:rPr>
        <w:t xml:space="preserve">(MABW) </w:t>
      </w:r>
      <w:r w:rsidRPr="005531B6">
        <w:rPr>
          <w:b/>
          <w:bCs/>
        </w:rPr>
        <w:t>into FR2</w:t>
      </w:r>
      <w:r>
        <w:rPr>
          <w:b/>
          <w:bCs/>
        </w:rPr>
        <w:t xml:space="preserve"> due to an expectation that the new parameter doesn’t bring enough gain</w:t>
      </w:r>
      <w:r w:rsidRPr="005531B6">
        <w:rPr>
          <w:b/>
          <w:bCs/>
        </w:rPr>
        <w:t xml:space="preserve">. </w:t>
      </w:r>
    </w:p>
    <w:p w14:paraId="655C3836" w14:textId="77777777" w:rsidR="00ED0ADA" w:rsidRPr="00ED0ADA" w:rsidRDefault="00ED0ADA" w:rsidP="00ED0ADA">
      <w:pPr>
        <w:rPr>
          <w:b/>
          <w:bCs/>
        </w:rPr>
      </w:pPr>
      <w:r>
        <w:rPr>
          <w:b/>
          <w:bCs/>
        </w:rPr>
        <w:t>Observation 2</w:t>
      </w:r>
      <w:r w:rsidRPr="005531B6">
        <w:rPr>
          <w:b/>
          <w:bCs/>
        </w:rPr>
        <w:t>:</w:t>
      </w:r>
      <w:r>
        <w:rPr>
          <w:b/>
          <w:bCs/>
        </w:rPr>
        <w:t xml:space="preserve"> Even if RAN4 agreed the introduction of a new parameter of MABW into FR1, the same conclusion might be seen in RAN2, i.e., no introduction of it into RAN2 spec in the end.</w:t>
      </w:r>
    </w:p>
    <w:p w14:paraId="556C134E" w14:textId="77777777" w:rsidR="00B73193" w:rsidRPr="00ED0ADA" w:rsidRDefault="00B73193" w:rsidP="00B73193">
      <w:pPr>
        <w:rPr>
          <w:b/>
          <w:bCs/>
        </w:rPr>
      </w:pPr>
      <w:r>
        <w:rPr>
          <w:b/>
          <w:bCs/>
        </w:rPr>
        <w:t>Proposal 1</w:t>
      </w:r>
      <w:r w:rsidRPr="005531B6">
        <w:rPr>
          <w:b/>
          <w:bCs/>
        </w:rPr>
        <w:t>:</w:t>
      </w:r>
      <w:r>
        <w:rPr>
          <w:b/>
          <w:bCs/>
        </w:rPr>
        <w:t xml:space="preserve"> Considering both observation 1 and 2, RAN4 needs to consider if we keep discussing this topic further or not.</w:t>
      </w:r>
    </w:p>
    <w:p w14:paraId="6C885D4E" w14:textId="77777777" w:rsidR="00B73193" w:rsidRPr="00C37180" w:rsidRDefault="00B73193" w:rsidP="00B73193">
      <w:pPr>
        <w:rPr>
          <w:b/>
          <w:bCs/>
        </w:rPr>
      </w:pPr>
      <w:r w:rsidRPr="00C37180">
        <w:rPr>
          <w:b/>
          <w:bCs/>
        </w:rPr>
        <w:t xml:space="preserve">Observation </w:t>
      </w:r>
      <w:r>
        <w:rPr>
          <w:b/>
          <w:bCs/>
        </w:rPr>
        <w:t>3</w:t>
      </w:r>
      <w:r w:rsidRPr="00C37180">
        <w:rPr>
          <w:b/>
          <w:bCs/>
        </w:rPr>
        <w:t xml:space="preserve">: Backward compatibility </w:t>
      </w:r>
      <w:r>
        <w:rPr>
          <w:b/>
          <w:bCs/>
        </w:rPr>
        <w:t>issue was</w:t>
      </w:r>
      <w:r w:rsidRPr="00C37180">
        <w:rPr>
          <w:b/>
          <w:bCs/>
        </w:rPr>
        <w:t xml:space="preserve"> </w:t>
      </w:r>
      <w:r>
        <w:rPr>
          <w:b/>
          <w:bCs/>
        </w:rPr>
        <w:t xml:space="preserve">raised </w:t>
      </w:r>
      <w:r w:rsidRPr="00C37180">
        <w:rPr>
          <w:b/>
          <w:bCs/>
        </w:rPr>
        <w:t>during</w:t>
      </w:r>
      <w:r w:rsidRPr="004732C3">
        <w:rPr>
          <w:b/>
          <w:bCs/>
        </w:rPr>
        <w:t xml:space="preserve"> </w:t>
      </w:r>
      <w:proofErr w:type="spellStart"/>
      <w:r w:rsidRPr="004732C3">
        <w:rPr>
          <w:b/>
          <w:bCs/>
        </w:rPr>
        <w:t>minCBW</w:t>
      </w:r>
      <w:proofErr w:type="spellEnd"/>
      <w:r w:rsidRPr="004732C3">
        <w:rPr>
          <w:b/>
          <w:bCs/>
        </w:rPr>
        <w:t xml:space="preserve"> </w:t>
      </w:r>
      <w:r w:rsidRPr="00C37180">
        <w:rPr>
          <w:b/>
          <w:bCs/>
        </w:rPr>
        <w:t xml:space="preserve">discussion </w:t>
      </w:r>
      <w:r>
        <w:rPr>
          <w:b/>
          <w:bCs/>
        </w:rPr>
        <w:t xml:space="preserve">and </w:t>
      </w:r>
      <w:r w:rsidRPr="00C37180">
        <w:rPr>
          <w:b/>
          <w:bCs/>
        </w:rPr>
        <w:t xml:space="preserve">BCS5 </w:t>
      </w:r>
      <w:r>
        <w:rPr>
          <w:b/>
          <w:bCs/>
        </w:rPr>
        <w:t xml:space="preserve">was introduced </w:t>
      </w:r>
      <w:r w:rsidRPr="00C37180">
        <w:rPr>
          <w:b/>
          <w:bCs/>
        </w:rPr>
        <w:t xml:space="preserve">as a resolution. </w:t>
      </w:r>
    </w:p>
    <w:p w14:paraId="46706D1A" w14:textId="77777777" w:rsidR="00B73193" w:rsidRDefault="00B73193" w:rsidP="00B73193">
      <w:pPr>
        <w:rPr>
          <w:b/>
          <w:bCs/>
        </w:rPr>
      </w:pPr>
      <w:r w:rsidRPr="00C37180">
        <w:rPr>
          <w:b/>
          <w:bCs/>
        </w:rPr>
        <w:t xml:space="preserve">Observation </w:t>
      </w:r>
      <w:r>
        <w:rPr>
          <w:b/>
          <w:bCs/>
        </w:rPr>
        <w:t>4</w:t>
      </w:r>
      <w:r w:rsidRPr="00C37180">
        <w:rPr>
          <w:b/>
          <w:bCs/>
        </w:rPr>
        <w:t xml:space="preserve">: </w:t>
      </w:r>
      <w:r>
        <w:rPr>
          <w:b/>
          <w:bCs/>
        </w:rPr>
        <w:t>The b</w:t>
      </w:r>
      <w:r w:rsidRPr="00C37180">
        <w:rPr>
          <w:b/>
          <w:bCs/>
        </w:rPr>
        <w:t xml:space="preserve">ackward compatibility </w:t>
      </w:r>
      <w:r>
        <w:rPr>
          <w:b/>
          <w:bCs/>
        </w:rPr>
        <w:t>issue</w:t>
      </w:r>
      <w:r w:rsidRPr="00C37180">
        <w:rPr>
          <w:b/>
          <w:bCs/>
        </w:rPr>
        <w:t xml:space="preserve"> </w:t>
      </w:r>
      <w:r>
        <w:rPr>
          <w:b/>
          <w:bCs/>
        </w:rPr>
        <w:t>in Observation 3 also applies to MABW. Hence, if the parameter was introduced, it could be reported together with only BCS5 while FR2 specification has had only BCS0 thus far.</w:t>
      </w:r>
    </w:p>
    <w:p w14:paraId="66DB46A9" w14:textId="45D4965C" w:rsidR="00B73193" w:rsidRDefault="00B73193" w:rsidP="00B73193">
      <w:r>
        <w:rPr>
          <w:b/>
          <w:bCs/>
        </w:rPr>
        <w:t>Proposal</w:t>
      </w:r>
      <w:r>
        <w:rPr>
          <w:b/>
          <w:bCs/>
        </w:rPr>
        <w:t xml:space="preserve"> 2</w:t>
      </w:r>
      <w:r w:rsidRPr="005531B6">
        <w:rPr>
          <w:b/>
          <w:bCs/>
        </w:rPr>
        <w:t>:</w:t>
      </w:r>
      <w:r>
        <w:rPr>
          <w:b/>
          <w:bCs/>
        </w:rPr>
        <w:t xml:space="preserve"> In case MABW is introduced, handling of MABW must be the same as that of </w:t>
      </w:r>
      <w:proofErr w:type="spellStart"/>
      <w:r>
        <w:rPr>
          <w:b/>
          <w:bCs/>
        </w:rPr>
        <w:t>minCBW</w:t>
      </w:r>
      <w:proofErr w:type="spellEnd"/>
      <w:r>
        <w:rPr>
          <w:b/>
          <w:bCs/>
        </w:rPr>
        <w:t>, i.e., MABW should be reported together with BCS5 only.</w:t>
      </w:r>
    </w:p>
    <w:p w14:paraId="08E8FE59" w14:textId="30ADA0C6" w:rsidR="00F62561" w:rsidRPr="00A412D5" w:rsidRDefault="00935D5C" w:rsidP="00F62561">
      <w:pPr>
        <w:pStyle w:val="Heading1"/>
      </w:pPr>
      <w:r>
        <w:t>4</w:t>
      </w:r>
      <w:r w:rsidR="00F62561" w:rsidRPr="00A412D5">
        <w:tab/>
        <w:t>References</w:t>
      </w:r>
    </w:p>
    <w:p w14:paraId="4313FC9F" w14:textId="7661FA8C" w:rsidR="00886B38" w:rsidRPr="00886B38" w:rsidRDefault="00886B38" w:rsidP="00886B38">
      <w:bookmarkStart w:id="1" w:name="_Hlk84883737"/>
      <w:r w:rsidRPr="00886B38">
        <w:rPr>
          <w:rFonts w:hint="eastAsia"/>
        </w:rPr>
        <w:t>[</w:t>
      </w:r>
      <w:r>
        <w:t>1</w:t>
      </w:r>
      <w:r w:rsidRPr="00886B38">
        <w:t xml:space="preserve">] </w:t>
      </w:r>
      <w:r w:rsidR="00A8407F" w:rsidRPr="00A8407F">
        <w:t>R4-2220819</w:t>
      </w:r>
      <w:r w:rsidRPr="00886B38">
        <w:t xml:space="preserve">, </w:t>
      </w:r>
      <w:r w:rsidR="00A8407F" w:rsidRPr="00A8407F">
        <w:t>WF on new IEs for maximum aggregated BW for intra-band CA and for inter-band CA for FR1</w:t>
      </w:r>
      <w:r w:rsidRPr="00886B38">
        <w:t xml:space="preserve">, </w:t>
      </w:r>
      <w:r w:rsidR="00A8407F" w:rsidRPr="00A8407F">
        <w:t>Qualcomm Incorporated</w:t>
      </w:r>
      <w:r w:rsidRPr="00886B38">
        <w:t>, RAN4 #</w:t>
      </w:r>
      <w:r w:rsidR="00A8407F">
        <w:t>105</w:t>
      </w:r>
    </w:p>
    <w:bookmarkEnd w:id="1"/>
    <w:p w14:paraId="052E0D36" w14:textId="4236B68C" w:rsidR="008045AC" w:rsidRDefault="008045AC" w:rsidP="008045AC">
      <w:r w:rsidRPr="00A412D5">
        <w:t>[</w:t>
      </w:r>
      <w:r w:rsidR="00E1347F">
        <w:t>2</w:t>
      </w:r>
      <w:r w:rsidRPr="00A412D5">
        <w:t xml:space="preserve">] </w:t>
      </w:r>
      <w:r w:rsidR="005531B6" w:rsidRPr="005531B6">
        <w:t>R4-2300017</w:t>
      </w:r>
      <w:r w:rsidRPr="00A412D5">
        <w:t xml:space="preserve">, </w:t>
      </w:r>
      <w:r w:rsidR="005531B6" w:rsidRPr="005531B6">
        <w:t>Reply LS on new contiguous BW classes for legacy networks</w:t>
      </w:r>
      <w:r w:rsidRPr="00A412D5">
        <w:t xml:space="preserve">, </w:t>
      </w:r>
      <w:r w:rsidR="005531B6">
        <w:t>RAN2</w:t>
      </w:r>
      <w:r>
        <w:t>, RAN4#10</w:t>
      </w:r>
      <w:r w:rsidR="005531B6">
        <w:t>6</w:t>
      </w:r>
    </w:p>
    <w:p w14:paraId="76546A40" w14:textId="33FD9F43" w:rsidR="00E1347F" w:rsidRDefault="00E1347F" w:rsidP="00E1347F">
      <w:r w:rsidRPr="00A412D5">
        <w:t>[</w:t>
      </w:r>
      <w:r>
        <w:t>3</w:t>
      </w:r>
      <w:r w:rsidRPr="00A412D5">
        <w:t xml:space="preserve">] </w:t>
      </w:r>
      <w:r w:rsidRPr="00E1347F">
        <w:t>R2-2212584</w:t>
      </w:r>
      <w:r w:rsidRPr="00A412D5">
        <w:t xml:space="preserve">, </w:t>
      </w:r>
      <w:r w:rsidRPr="00E1347F">
        <w:t>Discussion on the fallback of contiguous BW classes</w:t>
      </w:r>
      <w:r w:rsidRPr="00A412D5">
        <w:t xml:space="preserve">, </w:t>
      </w:r>
      <w:r>
        <w:t>RAN2, RAN2#106</w:t>
      </w:r>
    </w:p>
    <w:p w14:paraId="4805F792" w14:textId="77777777" w:rsidR="00E1347F" w:rsidRDefault="00E1347F" w:rsidP="008045AC"/>
    <w:p w14:paraId="21D7D518" w14:textId="77777777" w:rsidR="0089303E" w:rsidRDefault="0089303E" w:rsidP="002D746B"/>
    <w:sectPr w:rsidR="0089303E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27D1" w14:textId="77777777" w:rsidR="003828EB" w:rsidRDefault="003828EB" w:rsidP="002B3503">
      <w:pPr>
        <w:spacing w:after="0"/>
      </w:pPr>
      <w:r>
        <w:separator/>
      </w:r>
    </w:p>
  </w:endnote>
  <w:endnote w:type="continuationSeparator" w:id="0">
    <w:p w14:paraId="58AAA097" w14:textId="77777777" w:rsidR="003828EB" w:rsidRDefault="003828E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5C5B" w14:textId="77777777" w:rsidR="003828EB" w:rsidRDefault="003828EB" w:rsidP="002B3503">
      <w:pPr>
        <w:spacing w:after="0"/>
      </w:pPr>
      <w:r>
        <w:separator/>
      </w:r>
    </w:p>
  </w:footnote>
  <w:footnote w:type="continuationSeparator" w:id="0">
    <w:p w14:paraId="5C2F5A39" w14:textId="77777777" w:rsidR="003828EB" w:rsidRDefault="003828E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0E6476" w:rsidRDefault="000E64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5318A9"/>
    <w:multiLevelType w:val="hybridMultilevel"/>
    <w:tmpl w:val="9CB658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523A74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3E741D"/>
    <w:multiLevelType w:val="hybridMultilevel"/>
    <w:tmpl w:val="9B5232AA"/>
    <w:lvl w:ilvl="0" w:tplc="08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5D5D25"/>
    <w:multiLevelType w:val="hybridMultilevel"/>
    <w:tmpl w:val="9CB658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00CEE"/>
    <w:multiLevelType w:val="hybridMultilevel"/>
    <w:tmpl w:val="A226073E"/>
    <w:lvl w:ilvl="0" w:tplc="8206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023D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A2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1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67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2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48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E1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2649F9"/>
    <w:multiLevelType w:val="hybridMultilevel"/>
    <w:tmpl w:val="1BBA0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280561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D443F"/>
    <w:multiLevelType w:val="hybridMultilevel"/>
    <w:tmpl w:val="81C29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4A02AF9"/>
    <w:multiLevelType w:val="hybridMultilevel"/>
    <w:tmpl w:val="966AF576"/>
    <w:lvl w:ilvl="0" w:tplc="809E9180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372ED5"/>
    <w:multiLevelType w:val="hybridMultilevel"/>
    <w:tmpl w:val="B0B49B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3CF124D"/>
    <w:multiLevelType w:val="hybridMultilevel"/>
    <w:tmpl w:val="6B90FEE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4C1A65"/>
    <w:multiLevelType w:val="hybridMultilevel"/>
    <w:tmpl w:val="B90C812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7D6D3F"/>
    <w:multiLevelType w:val="hybridMultilevel"/>
    <w:tmpl w:val="A716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5208E"/>
    <w:multiLevelType w:val="hybridMultilevel"/>
    <w:tmpl w:val="51D81EE4"/>
    <w:lvl w:ilvl="0" w:tplc="809E91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3"/>
  </w:num>
  <w:num w:numId="3">
    <w:abstractNumId w:val="16"/>
  </w:num>
  <w:num w:numId="4">
    <w:abstractNumId w:val="27"/>
  </w:num>
  <w:num w:numId="5">
    <w:abstractNumId w:val="7"/>
  </w:num>
  <w:num w:numId="6">
    <w:abstractNumId w:val="26"/>
  </w:num>
  <w:num w:numId="7">
    <w:abstractNumId w:val="2"/>
  </w:num>
  <w:num w:numId="8">
    <w:abstractNumId w:val="28"/>
  </w:num>
  <w:num w:numId="9">
    <w:abstractNumId w:val="9"/>
  </w:num>
  <w:num w:numId="10">
    <w:abstractNumId w:val="3"/>
  </w:num>
  <w:num w:numId="11">
    <w:abstractNumId w:val="17"/>
  </w:num>
  <w:num w:numId="12">
    <w:abstractNumId w:val="30"/>
  </w:num>
  <w:num w:numId="13">
    <w:abstractNumId w:val="25"/>
  </w:num>
  <w:num w:numId="14">
    <w:abstractNumId w:val="6"/>
  </w:num>
  <w:num w:numId="15">
    <w:abstractNumId w:val="14"/>
  </w:num>
  <w:num w:numId="16">
    <w:abstractNumId w:val="18"/>
  </w:num>
  <w:num w:numId="17">
    <w:abstractNumId w:val="34"/>
  </w:num>
  <w:num w:numId="18">
    <w:abstractNumId w:val="0"/>
  </w:num>
  <w:num w:numId="19">
    <w:abstractNumId w:val="29"/>
  </w:num>
  <w:num w:numId="20">
    <w:abstractNumId w:val="8"/>
  </w:num>
  <w:num w:numId="21">
    <w:abstractNumId w:val="21"/>
  </w:num>
  <w:num w:numId="22">
    <w:abstractNumId w:val="15"/>
  </w:num>
  <w:num w:numId="23">
    <w:abstractNumId w:val="32"/>
  </w:num>
  <w:num w:numId="24">
    <w:abstractNumId w:val="24"/>
  </w:num>
  <w:num w:numId="25">
    <w:abstractNumId w:val="19"/>
  </w:num>
  <w:num w:numId="26">
    <w:abstractNumId w:val="39"/>
  </w:num>
  <w:num w:numId="27">
    <w:abstractNumId w:val="4"/>
  </w:num>
  <w:num w:numId="28">
    <w:abstractNumId w:val="42"/>
  </w:num>
  <w:num w:numId="29">
    <w:abstractNumId w:val="22"/>
  </w:num>
  <w:num w:numId="30">
    <w:abstractNumId w:val="35"/>
  </w:num>
  <w:num w:numId="31">
    <w:abstractNumId w:val="10"/>
  </w:num>
  <w:num w:numId="32">
    <w:abstractNumId w:val="40"/>
  </w:num>
  <w:num w:numId="33">
    <w:abstractNumId w:val="31"/>
  </w:num>
  <w:num w:numId="34">
    <w:abstractNumId w:val="36"/>
  </w:num>
  <w:num w:numId="35">
    <w:abstractNumId w:val="37"/>
  </w:num>
  <w:num w:numId="36">
    <w:abstractNumId w:val="13"/>
  </w:num>
  <w:num w:numId="37">
    <w:abstractNumId w:val="20"/>
  </w:num>
  <w:num w:numId="38">
    <w:abstractNumId w:val="23"/>
  </w:num>
  <w:num w:numId="39">
    <w:abstractNumId w:val="5"/>
  </w:num>
  <w:num w:numId="40">
    <w:abstractNumId w:val="38"/>
  </w:num>
  <w:num w:numId="41">
    <w:abstractNumId w:val="1"/>
  </w:num>
  <w:num w:numId="42">
    <w:abstractNumId w:val="11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B77"/>
    <w:rsid w:val="000027D7"/>
    <w:rsid w:val="000138FC"/>
    <w:rsid w:val="00023AC5"/>
    <w:rsid w:val="00031D3A"/>
    <w:rsid w:val="000533C4"/>
    <w:rsid w:val="00057562"/>
    <w:rsid w:val="000656EC"/>
    <w:rsid w:val="0007321B"/>
    <w:rsid w:val="00091F0B"/>
    <w:rsid w:val="000A3CB6"/>
    <w:rsid w:val="000A6473"/>
    <w:rsid w:val="000A754F"/>
    <w:rsid w:val="000B1608"/>
    <w:rsid w:val="000B4E56"/>
    <w:rsid w:val="000B5E8E"/>
    <w:rsid w:val="000D164D"/>
    <w:rsid w:val="000D789C"/>
    <w:rsid w:val="000E6476"/>
    <w:rsid w:val="000F2546"/>
    <w:rsid w:val="000F50EC"/>
    <w:rsid w:val="00101626"/>
    <w:rsid w:val="001016D3"/>
    <w:rsid w:val="001101A3"/>
    <w:rsid w:val="001176FC"/>
    <w:rsid w:val="0012090A"/>
    <w:rsid w:val="00121553"/>
    <w:rsid w:val="00123841"/>
    <w:rsid w:val="00126055"/>
    <w:rsid w:val="0012612A"/>
    <w:rsid w:val="00136328"/>
    <w:rsid w:val="001364A1"/>
    <w:rsid w:val="00141324"/>
    <w:rsid w:val="001413C7"/>
    <w:rsid w:val="00142124"/>
    <w:rsid w:val="0015000E"/>
    <w:rsid w:val="00152058"/>
    <w:rsid w:val="001524E4"/>
    <w:rsid w:val="00154D1C"/>
    <w:rsid w:val="0015528E"/>
    <w:rsid w:val="0016131F"/>
    <w:rsid w:val="001653ED"/>
    <w:rsid w:val="001725F9"/>
    <w:rsid w:val="001747AC"/>
    <w:rsid w:val="00177EFF"/>
    <w:rsid w:val="00190690"/>
    <w:rsid w:val="001938CA"/>
    <w:rsid w:val="00194CEE"/>
    <w:rsid w:val="001953B8"/>
    <w:rsid w:val="001A7904"/>
    <w:rsid w:val="001A79D6"/>
    <w:rsid w:val="001D5A83"/>
    <w:rsid w:val="001E413F"/>
    <w:rsid w:val="001E5D81"/>
    <w:rsid w:val="001E6E65"/>
    <w:rsid w:val="001F3091"/>
    <w:rsid w:val="001F746E"/>
    <w:rsid w:val="0020554A"/>
    <w:rsid w:val="00205A73"/>
    <w:rsid w:val="002127E2"/>
    <w:rsid w:val="002139CE"/>
    <w:rsid w:val="00214C87"/>
    <w:rsid w:val="00215035"/>
    <w:rsid w:val="00215E52"/>
    <w:rsid w:val="002212D9"/>
    <w:rsid w:val="00223058"/>
    <w:rsid w:val="002233BB"/>
    <w:rsid w:val="00230BF5"/>
    <w:rsid w:val="00233B88"/>
    <w:rsid w:val="00236D19"/>
    <w:rsid w:val="00242B76"/>
    <w:rsid w:val="00242D06"/>
    <w:rsid w:val="002656BF"/>
    <w:rsid w:val="00272473"/>
    <w:rsid w:val="00272AAC"/>
    <w:rsid w:val="00274066"/>
    <w:rsid w:val="00276F69"/>
    <w:rsid w:val="00291201"/>
    <w:rsid w:val="00291DDD"/>
    <w:rsid w:val="00294DA5"/>
    <w:rsid w:val="002A066E"/>
    <w:rsid w:val="002A21CD"/>
    <w:rsid w:val="002A5689"/>
    <w:rsid w:val="002A7181"/>
    <w:rsid w:val="002B0EF3"/>
    <w:rsid w:val="002B3503"/>
    <w:rsid w:val="002C3B69"/>
    <w:rsid w:val="002D1B45"/>
    <w:rsid w:val="002D658E"/>
    <w:rsid w:val="002D746B"/>
    <w:rsid w:val="002F26C3"/>
    <w:rsid w:val="002F3001"/>
    <w:rsid w:val="002F3595"/>
    <w:rsid w:val="002F6A38"/>
    <w:rsid w:val="00300194"/>
    <w:rsid w:val="003029F0"/>
    <w:rsid w:val="00333CA0"/>
    <w:rsid w:val="00345D7E"/>
    <w:rsid w:val="00347DEA"/>
    <w:rsid w:val="00364459"/>
    <w:rsid w:val="00365484"/>
    <w:rsid w:val="003777FE"/>
    <w:rsid w:val="003828EB"/>
    <w:rsid w:val="00385942"/>
    <w:rsid w:val="003B3ABC"/>
    <w:rsid w:val="003D26B4"/>
    <w:rsid w:val="003D655F"/>
    <w:rsid w:val="003E1884"/>
    <w:rsid w:val="003F3B9D"/>
    <w:rsid w:val="00406D6C"/>
    <w:rsid w:val="00417963"/>
    <w:rsid w:val="00420548"/>
    <w:rsid w:val="0042109F"/>
    <w:rsid w:val="00422ABC"/>
    <w:rsid w:val="00426A90"/>
    <w:rsid w:val="00430A73"/>
    <w:rsid w:val="0043450E"/>
    <w:rsid w:val="0044564A"/>
    <w:rsid w:val="004531B7"/>
    <w:rsid w:val="00453BA5"/>
    <w:rsid w:val="00454E53"/>
    <w:rsid w:val="004664C9"/>
    <w:rsid w:val="004732C3"/>
    <w:rsid w:val="00473FFD"/>
    <w:rsid w:val="00482477"/>
    <w:rsid w:val="00484078"/>
    <w:rsid w:val="00491386"/>
    <w:rsid w:val="00494F18"/>
    <w:rsid w:val="004974FD"/>
    <w:rsid w:val="004A03F2"/>
    <w:rsid w:val="004A41DA"/>
    <w:rsid w:val="004A6BCC"/>
    <w:rsid w:val="004C0103"/>
    <w:rsid w:val="004C58F9"/>
    <w:rsid w:val="004D0C67"/>
    <w:rsid w:val="004D3D81"/>
    <w:rsid w:val="004E1F7C"/>
    <w:rsid w:val="004F499B"/>
    <w:rsid w:val="004F517D"/>
    <w:rsid w:val="004F5A02"/>
    <w:rsid w:val="004F60EB"/>
    <w:rsid w:val="005000E8"/>
    <w:rsid w:val="0050020A"/>
    <w:rsid w:val="005018A8"/>
    <w:rsid w:val="005155DE"/>
    <w:rsid w:val="005165C0"/>
    <w:rsid w:val="00517050"/>
    <w:rsid w:val="00521F77"/>
    <w:rsid w:val="005245C0"/>
    <w:rsid w:val="00530035"/>
    <w:rsid w:val="00533F46"/>
    <w:rsid w:val="0053656E"/>
    <w:rsid w:val="005372A0"/>
    <w:rsid w:val="00537784"/>
    <w:rsid w:val="005531B6"/>
    <w:rsid w:val="00560A63"/>
    <w:rsid w:val="00560CB8"/>
    <w:rsid w:val="00562F8C"/>
    <w:rsid w:val="005647F5"/>
    <w:rsid w:val="00564B2E"/>
    <w:rsid w:val="00570B14"/>
    <w:rsid w:val="00573533"/>
    <w:rsid w:val="005735CF"/>
    <w:rsid w:val="00582644"/>
    <w:rsid w:val="005908EA"/>
    <w:rsid w:val="00595369"/>
    <w:rsid w:val="005B1E57"/>
    <w:rsid w:val="005B2640"/>
    <w:rsid w:val="005C2106"/>
    <w:rsid w:val="005D18A4"/>
    <w:rsid w:val="005D19BF"/>
    <w:rsid w:val="005D784D"/>
    <w:rsid w:val="005E082D"/>
    <w:rsid w:val="005E70E2"/>
    <w:rsid w:val="005E7C59"/>
    <w:rsid w:val="005F31A5"/>
    <w:rsid w:val="005F4052"/>
    <w:rsid w:val="005F6108"/>
    <w:rsid w:val="005F6CE3"/>
    <w:rsid w:val="006026F2"/>
    <w:rsid w:val="00602EB6"/>
    <w:rsid w:val="0060459D"/>
    <w:rsid w:val="00604DAE"/>
    <w:rsid w:val="00613AB3"/>
    <w:rsid w:val="00624CC0"/>
    <w:rsid w:val="00630E81"/>
    <w:rsid w:val="00641C2E"/>
    <w:rsid w:val="00641E1F"/>
    <w:rsid w:val="006451A0"/>
    <w:rsid w:val="00653629"/>
    <w:rsid w:val="00664AE9"/>
    <w:rsid w:val="00664DF6"/>
    <w:rsid w:val="0068320A"/>
    <w:rsid w:val="00686BD8"/>
    <w:rsid w:val="00687537"/>
    <w:rsid w:val="006919C7"/>
    <w:rsid w:val="00697736"/>
    <w:rsid w:val="006A0E34"/>
    <w:rsid w:val="006A1552"/>
    <w:rsid w:val="006B0708"/>
    <w:rsid w:val="006B6CB6"/>
    <w:rsid w:val="006C44A0"/>
    <w:rsid w:val="006C6840"/>
    <w:rsid w:val="006D43D1"/>
    <w:rsid w:val="006D63C8"/>
    <w:rsid w:val="006D701F"/>
    <w:rsid w:val="006E49D4"/>
    <w:rsid w:val="006F5051"/>
    <w:rsid w:val="00702ED2"/>
    <w:rsid w:val="00703602"/>
    <w:rsid w:val="00704300"/>
    <w:rsid w:val="00713482"/>
    <w:rsid w:val="00720701"/>
    <w:rsid w:val="00725196"/>
    <w:rsid w:val="00726265"/>
    <w:rsid w:val="00734EBD"/>
    <w:rsid w:val="00747581"/>
    <w:rsid w:val="0074778D"/>
    <w:rsid w:val="00747F44"/>
    <w:rsid w:val="00757284"/>
    <w:rsid w:val="00757CFC"/>
    <w:rsid w:val="00771966"/>
    <w:rsid w:val="0077527C"/>
    <w:rsid w:val="00777A5C"/>
    <w:rsid w:val="0078113A"/>
    <w:rsid w:val="00781F19"/>
    <w:rsid w:val="00786A5C"/>
    <w:rsid w:val="0079049E"/>
    <w:rsid w:val="007925F4"/>
    <w:rsid w:val="007B532F"/>
    <w:rsid w:val="007B7EA2"/>
    <w:rsid w:val="007C3D2F"/>
    <w:rsid w:val="007D012C"/>
    <w:rsid w:val="007D1C54"/>
    <w:rsid w:val="007D20DF"/>
    <w:rsid w:val="007E0C29"/>
    <w:rsid w:val="007E530F"/>
    <w:rsid w:val="007E752F"/>
    <w:rsid w:val="007F6E08"/>
    <w:rsid w:val="0080131E"/>
    <w:rsid w:val="00803510"/>
    <w:rsid w:val="00804160"/>
    <w:rsid w:val="008045AC"/>
    <w:rsid w:val="00804F90"/>
    <w:rsid w:val="0081320F"/>
    <w:rsid w:val="00813258"/>
    <w:rsid w:val="008150A5"/>
    <w:rsid w:val="008236E4"/>
    <w:rsid w:val="00831DD5"/>
    <w:rsid w:val="00833A63"/>
    <w:rsid w:val="00842341"/>
    <w:rsid w:val="00846F0E"/>
    <w:rsid w:val="00850296"/>
    <w:rsid w:val="00871B4D"/>
    <w:rsid w:val="008745A1"/>
    <w:rsid w:val="008757AE"/>
    <w:rsid w:val="00881B97"/>
    <w:rsid w:val="00881E35"/>
    <w:rsid w:val="008853C5"/>
    <w:rsid w:val="00886B38"/>
    <w:rsid w:val="00890EE1"/>
    <w:rsid w:val="00891F14"/>
    <w:rsid w:val="008926AE"/>
    <w:rsid w:val="0089303E"/>
    <w:rsid w:val="00893D45"/>
    <w:rsid w:val="00894106"/>
    <w:rsid w:val="00895E24"/>
    <w:rsid w:val="008A4493"/>
    <w:rsid w:val="008A635A"/>
    <w:rsid w:val="008B3C0A"/>
    <w:rsid w:val="008B72EE"/>
    <w:rsid w:val="008D12E4"/>
    <w:rsid w:val="008D3040"/>
    <w:rsid w:val="008F1403"/>
    <w:rsid w:val="00901158"/>
    <w:rsid w:val="009013A0"/>
    <w:rsid w:val="00902479"/>
    <w:rsid w:val="00903FBD"/>
    <w:rsid w:val="0091383D"/>
    <w:rsid w:val="00914AA9"/>
    <w:rsid w:val="009157FA"/>
    <w:rsid w:val="0092439E"/>
    <w:rsid w:val="0093165E"/>
    <w:rsid w:val="009342E0"/>
    <w:rsid w:val="00935D5C"/>
    <w:rsid w:val="00940559"/>
    <w:rsid w:val="00951DC9"/>
    <w:rsid w:val="00961872"/>
    <w:rsid w:val="00966126"/>
    <w:rsid w:val="009922F2"/>
    <w:rsid w:val="00996062"/>
    <w:rsid w:val="009A1B59"/>
    <w:rsid w:val="009B1E68"/>
    <w:rsid w:val="009B6543"/>
    <w:rsid w:val="009B7F2A"/>
    <w:rsid w:val="009D0290"/>
    <w:rsid w:val="009D2B90"/>
    <w:rsid w:val="009E1C89"/>
    <w:rsid w:val="009E38F4"/>
    <w:rsid w:val="009E7881"/>
    <w:rsid w:val="009F7A7C"/>
    <w:rsid w:val="00A03C3D"/>
    <w:rsid w:val="00A05A14"/>
    <w:rsid w:val="00A115AF"/>
    <w:rsid w:val="00A16F72"/>
    <w:rsid w:val="00A412D5"/>
    <w:rsid w:val="00A451E8"/>
    <w:rsid w:val="00A56D0A"/>
    <w:rsid w:val="00A6018C"/>
    <w:rsid w:val="00A6204C"/>
    <w:rsid w:val="00A649C8"/>
    <w:rsid w:val="00A7180D"/>
    <w:rsid w:val="00A73663"/>
    <w:rsid w:val="00A83B5D"/>
    <w:rsid w:val="00A8407F"/>
    <w:rsid w:val="00A925DB"/>
    <w:rsid w:val="00AA368B"/>
    <w:rsid w:val="00AA3CD1"/>
    <w:rsid w:val="00AB3FAE"/>
    <w:rsid w:val="00AB4684"/>
    <w:rsid w:val="00AC1087"/>
    <w:rsid w:val="00AD0CC8"/>
    <w:rsid w:val="00AD0F48"/>
    <w:rsid w:val="00AD7B8E"/>
    <w:rsid w:val="00AE1D3D"/>
    <w:rsid w:val="00AE4582"/>
    <w:rsid w:val="00AE52A5"/>
    <w:rsid w:val="00AE6327"/>
    <w:rsid w:val="00AF085F"/>
    <w:rsid w:val="00AF7CB0"/>
    <w:rsid w:val="00B1615C"/>
    <w:rsid w:val="00B20B99"/>
    <w:rsid w:val="00B231AF"/>
    <w:rsid w:val="00B2349C"/>
    <w:rsid w:val="00B25343"/>
    <w:rsid w:val="00B42112"/>
    <w:rsid w:val="00B4385F"/>
    <w:rsid w:val="00B60363"/>
    <w:rsid w:val="00B61D61"/>
    <w:rsid w:val="00B65B59"/>
    <w:rsid w:val="00B672BA"/>
    <w:rsid w:val="00B72408"/>
    <w:rsid w:val="00B73193"/>
    <w:rsid w:val="00B77164"/>
    <w:rsid w:val="00BA303F"/>
    <w:rsid w:val="00BA40D0"/>
    <w:rsid w:val="00BA51B8"/>
    <w:rsid w:val="00BB1DF4"/>
    <w:rsid w:val="00BC228C"/>
    <w:rsid w:val="00BC2924"/>
    <w:rsid w:val="00BC764C"/>
    <w:rsid w:val="00BF4B17"/>
    <w:rsid w:val="00C07A46"/>
    <w:rsid w:val="00C11C3C"/>
    <w:rsid w:val="00C16535"/>
    <w:rsid w:val="00C17B19"/>
    <w:rsid w:val="00C21554"/>
    <w:rsid w:val="00C30772"/>
    <w:rsid w:val="00C3087E"/>
    <w:rsid w:val="00C30EF9"/>
    <w:rsid w:val="00C36BD5"/>
    <w:rsid w:val="00C37180"/>
    <w:rsid w:val="00C42357"/>
    <w:rsid w:val="00C45DB3"/>
    <w:rsid w:val="00C47C9F"/>
    <w:rsid w:val="00C60CEF"/>
    <w:rsid w:val="00C61A23"/>
    <w:rsid w:val="00C81190"/>
    <w:rsid w:val="00C83E86"/>
    <w:rsid w:val="00C91EE2"/>
    <w:rsid w:val="00C93915"/>
    <w:rsid w:val="00C94221"/>
    <w:rsid w:val="00CB607B"/>
    <w:rsid w:val="00CB649A"/>
    <w:rsid w:val="00CC2754"/>
    <w:rsid w:val="00CC277F"/>
    <w:rsid w:val="00CE0A12"/>
    <w:rsid w:val="00CE241D"/>
    <w:rsid w:val="00CE265A"/>
    <w:rsid w:val="00CE4E40"/>
    <w:rsid w:val="00CE699C"/>
    <w:rsid w:val="00D0461C"/>
    <w:rsid w:val="00D07626"/>
    <w:rsid w:val="00D14E04"/>
    <w:rsid w:val="00D275CC"/>
    <w:rsid w:val="00D348C6"/>
    <w:rsid w:val="00D34A7A"/>
    <w:rsid w:val="00D36B84"/>
    <w:rsid w:val="00D40AED"/>
    <w:rsid w:val="00D44EB4"/>
    <w:rsid w:val="00D45C3C"/>
    <w:rsid w:val="00D546CC"/>
    <w:rsid w:val="00D56D91"/>
    <w:rsid w:val="00D57C62"/>
    <w:rsid w:val="00D64074"/>
    <w:rsid w:val="00D73C30"/>
    <w:rsid w:val="00D767C4"/>
    <w:rsid w:val="00D77CF5"/>
    <w:rsid w:val="00D85C29"/>
    <w:rsid w:val="00D95F1E"/>
    <w:rsid w:val="00DA03D6"/>
    <w:rsid w:val="00DA1BED"/>
    <w:rsid w:val="00DA4A61"/>
    <w:rsid w:val="00DA7396"/>
    <w:rsid w:val="00DA745E"/>
    <w:rsid w:val="00DC45FD"/>
    <w:rsid w:val="00DC54FF"/>
    <w:rsid w:val="00DE00CF"/>
    <w:rsid w:val="00DE3EDB"/>
    <w:rsid w:val="00DE5DDF"/>
    <w:rsid w:val="00DF1DEC"/>
    <w:rsid w:val="00DF302A"/>
    <w:rsid w:val="00DF3C56"/>
    <w:rsid w:val="00E014E2"/>
    <w:rsid w:val="00E01F4A"/>
    <w:rsid w:val="00E03EF1"/>
    <w:rsid w:val="00E10027"/>
    <w:rsid w:val="00E101DD"/>
    <w:rsid w:val="00E1347F"/>
    <w:rsid w:val="00E2059F"/>
    <w:rsid w:val="00E20EA4"/>
    <w:rsid w:val="00E23850"/>
    <w:rsid w:val="00E25C47"/>
    <w:rsid w:val="00E332C0"/>
    <w:rsid w:val="00E33B68"/>
    <w:rsid w:val="00E36095"/>
    <w:rsid w:val="00E472FD"/>
    <w:rsid w:val="00E67197"/>
    <w:rsid w:val="00E72A48"/>
    <w:rsid w:val="00E87EDC"/>
    <w:rsid w:val="00E962C5"/>
    <w:rsid w:val="00EA042A"/>
    <w:rsid w:val="00EA3488"/>
    <w:rsid w:val="00EA655B"/>
    <w:rsid w:val="00EB0D8A"/>
    <w:rsid w:val="00EB5F7D"/>
    <w:rsid w:val="00EC2826"/>
    <w:rsid w:val="00EC589F"/>
    <w:rsid w:val="00EC6665"/>
    <w:rsid w:val="00ED0ADA"/>
    <w:rsid w:val="00ED54F1"/>
    <w:rsid w:val="00ED5B5A"/>
    <w:rsid w:val="00EE0298"/>
    <w:rsid w:val="00EE100D"/>
    <w:rsid w:val="00EE5885"/>
    <w:rsid w:val="00EE6657"/>
    <w:rsid w:val="00EF2401"/>
    <w:rsid w:val="00EF45DB"/>
    <w:rsid w:val="00F13E67"/>
    <w:rsid w:val="00F1488B"/>
    <w:rsid w:val="00F562CA"/>
    <w:rsid w:val="00F62561"/>
    <w:rsid w:val="00F63D8A"/>
    <w:rsid w:val="00F646D5"/>
    <w:rsid w:val="00F648B5"/>
    <w:rsid w:val="00F7023C"/>
    <w:rsid w:val="00F7226A"/>
    <w:rsid w:val="00F82F84"/>
    <w:rsid w:val="00F846F1"/>
    <w:rsid w:val="00F93116"/>
    <w:rsid w:val="00F97D64"/>
    <w:rsid w:val="00FA2AB0"/>
    <w:rsid w:val="00FA723F"/>
    <w:rsid w:val="00FB737C"/>
    <w:rsid w:val="00FC0A09"/>
    <w:rsid w:val="00FC264F"/>
    <w:rsid w:val="00FD0298"/>
    <w:rsid w:val="00FD085A"/>
    <w:rsid w:val="00FD25AA"/>
    <w:rsid w:val="00FD2F75"/>
    <w:rsid w:val="00FD543C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link w:val="EQChar"/>
    <w:qFormat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link w:val="B2Char"/>
    <w:qFormat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CE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6548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EE1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E1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3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Hiromasa Umeda (Nokia)</cp:lastModifiedBy>
  <cp:revision>2</cp:revision>
  <cp:lastPrinted>1900-01-01T06:00:00Z</cp:lastPrinted>
  <dcterms:created xsi:type="dcterms:W3CDTF">2023-02-17T00:59:00Z</dcterms:created>
  <dcterms:modified xsi:type="dcterms:W3CDTF">2023-02-17T00:59:00Z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2021-03-24T13:45:30Z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