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6CB0CB80"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EF3A19">
        <w:rPr>
          <w:rFonts w:cs="Arial"/>
          <w:sz w:val="24"/>
          <w:szCs w:val="24"/>
          <w:lang w:val="de-DE"/>
        </w:rPr>
        <w:t>5</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B53C53">
        <w:rPr>
          <w:rFonts w:cs="Arial"/>
          <w:sz w:val="24"/>
          <w:szCs w:val="24"/>
          <w:lang w:val="de-DE"/>
        </w:rPr>
        <w:t>1</w:t>
      </w:r>
      <w:r w:rsidR="00254FDC">
        <w:rPr>
          <w:rFonts w:cs="Arial"/>
          <w:sz w:val="24"/>
          <w:szCs w:val="24"/>
          <w:lang w:val="de-DE"/>
        </w:rPr>
        <w:t>9990</w:t>
      </w:r>
    </w:p>
    <w:p w14:paraId="7C5F9A1F" w14:textId="47BDE47A" w:rsidR="006E440C" w:rsidRPr="00DB3907" w:rsidRDefault="00F26979" w:rsidP="006E440C">
      <w:pPr>
        <w:pStyle w:val="Header"/>
        <w:tabs>
          <w:tab w:val="left" w:pos="6521"/>
        </w:tabs>
        <w:rPr>
          <w:rFonts w:cs="Arial"/>
          <w:sz w:val="24"/>
          <w:szCs w:val="24"/>
        </w:rPr>
      </w:pPr>
      <w:r>
        <w:rPr>
          <w:rFonts w:cs="Arial"/>
          <w:sz w:val="24"/>
          <w:szCs w:val="24"/>
        </w:rPr>
        <w:t>November</w:t>
      </w:r>
      <w:r w:rsidR="006E440C">
        <w:rPr>
          <w:rFonts w:cs="Arial"/>
          <w:sz w:val="24"/>
          <w:szCs w:val="24"/>
        </w:rPr>
        <w:t xml:space="preserve"> </w:t>
      </w:r>
      <w:r w:rsidR="00324696">
        <w:rPr>
          <w:rFonts w:cs="Arial"/>
          <w:sz w:val="24"/>
          <w:szCs w:val="24"/>
        </w:rPr>
        <w:t>1</w:t>
      </w:r>
      <w:r>
        <w:rPr>
          <w:rFonts w:cs="Arial"/>
          <w:sz w:val="24"/>
          <w:szCs w:val="24"/>
        </w:rPr>
        <w:t>4</w:t>
      </w:r>
      <w:r w:rsidR="006E440C">
        <w:rPr>
          <w:rFonts w:cs="Arial"/>
          <w:sz w:val="24"/>
          <w:szCs w:val="24"/>
          <w:vertAlign w:val="superscript"/>
        </w:rPr>
        <w:t>th</w:t>
      </w:r>
      <w:r w:rsidR="006E440C">
        <w:rPr>
          <w:rFonts w:cs="Arial"/>
          <w:sz w:val="24"/>
          <w:szCs w:val="24"/>
        </w:rPr>
        <w:t xml:space="preserve"> ‒ </w:t>
      </w:r>
      <w:r w:rsidR="00B43838">
        <w:rPr>
          <w:rFonts w:cs="Arial"/>
          <w:sz w:val="24"/>
          <w:szCs w:val="24"/>
        </w:rPr>
        <w:t>1</w:t>
      </w:r>
      <w:r>
        <w:rPr>
          <w:rFonts w:cs="Arial"/>
          <w:sz w:val="24"/>
          <w:szCs w:val="24"/>
        </w:rPr>
        <w:t>8</w:t>
      </w:r>
      <w:r w:rsidR="00324696">
        <w:rPr>
          <w:rFonts w:cs="Arial"/>
          <w:sz w:val="24"/>
          <w:szCs w:val="24"/>
          <w:vertAlign w:val="superscript"/>
        </w:rPr>
        <w:t>t</w:t>
      </w:r>
      <w:r w:rsidR="006E440C">
        <w:rPr>
          <w:rFonts w:cs="Arial"/>
          <w:sz w:val="24"/>
          <w:szCs w:val="24"/>
          <w:vertAlign w:val="superscript"/>
        </w:rPr>
        <w:t>h</w:t>
      </w:r>
      <w:r w:rsidR="006E440C">
        <w:rPr>
          <w:rFonts w:cs="Arial"/>
          <w:sz w:val="24"/>
          <w:szCs w:val="24"/>
        </w:rPr>
        <w:t>, 2022</w:t>
      </w:r>
    </w:p>
    <w:p w14:paraId="73F03791" w14:textId="1A93B76B" w:rsidR="006B0412" w:rsidRPr="00DB3907" w:rsidRDefault="00F26979" w:rsidP="006B0412">
      <w:pPr>
        <w:pStyle w:val="Header"/>
        <w:rPr>
          <w:rFonts w:cs="Arial"/>
          <w:sz w:val="24"/>
          <w:szCs w:val="24"/>
        </w:rPr>
      </w:pPr>
      <w:r>
        <w:rPr>
          <w:rFonts w:cs="Arial"/>
          <w:sz w:val="24"/>
          <w:szCs w:val="24"/>
        </w:rPr>
        <w:t>Toulouse, FR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F584C16"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502F0B">
        <w:rPr>
          <w:rFonts w:ascii="Arial" w:hAnsi="Arial"/>
          <w:sz w:val="24"/>
          <w:lang w:val="en-US"/>
        </w:rPr>
        <w:t>8.23.1.1</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35D60628"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C27780">
        <w:rPr>
          <w:rFonts w:ascii="Arial" w:hAnsi="Arial"/>
          <w:sz w:val="24"/>
          <w:lang w:val="en-US"/>
        </w:rPr>
        <w:t xml:space="preserve">NTN UE </w:t>
      </w:r>
      <w:r w:rsidR="004B4F8D">
        <w:rPr>
          <w:rFonts w:ascii="Arial" w:hAnsi="Arial"/>
          <w:sz w:val="24"/>
          <w:lang w:val="en-US"/>
        </w:rPr>
        <w:t>NS requirements</w:t>
      </w:r>
    </w:p>
    <w:p w14:paraId="013F978F" w14:textId="4673C15E"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6A20E1">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78D28108" w14:textId="7968D740" w:rsidR="00965069" w:rsidRDefault="004B4F8D" w:rsidP="009011AF">
      <w:r>
        <w:t>There is a desire to enable NTN operation worldwide with the definition of a global band in the Ka frequency range</w:t>
      </w:r>
      <w:r w:rsidR="007033FC">
        <w:t xml:space="preserve"> [1]</w:t>
      </w:r>
      <w:r>
        <w:t>.  However, there have also been concern</w:t>
      </w:r>
      <w:r w:rsidR="00FB4589">
        <w:t>s</w:t>
      </w:r>
      <w:r>
        <w:t xml:space="preserve"> expressed about possible conflict and interference with terrestrial</w:t>
      </w:r>
      <w:r w:rsidR="00963225">
        <w:t xml:space="preserve"> networks in the same or in adjacent frequency bands.  One </w:t>
      </w:r>
      <w:r w:rsidR="00930E17">
        <w:t xml:space="preserve">mechanism to address this is the use of network </w:t>
      </w:r>
      <w:proofErr w:type="spellStart"/>
      <w:r w:rsidR="00930E17">
        <w:t>signaling</w:t>
      </w:r>
      <w:proofErr w:type="spellEnd"/>
      <w:r w:rsidR="00930E17">
        <w:t xml:space="preserve"> (NS)</w:t>
      </w:r>
      <w:r w:rsidR="00FE6DA3">
        <w:t xml:space="preserve"> that has been used successfully in the past to convey regional requirements associated with a global band.</w:t>
      </w:r>
    </w:p>
    <w:p w14:paraId="10F6602E" w14:textId="0CBC59FE" w:rsidR="007E1E78" w:rsidRDefault="007E1E78" w:rsidP="0099327E">
      <w:pPr>
        <w:pStyle w:val="Heading1"/>
        <w:tabs>
          <w:tab w:val="clear" w:pos="432"/>
          <w:tab w:val="num" w:pos="522"/>
        </w:tabs>
        <w:ind w:left="522" w:hanging="522"/>
        <w:rPr>
          <w:lang w:val="en-US"/>
        </w:rPr>
      </w:pPr>
      <w:r>
        <w:rPr>
          <w:lang w:val="en-US"/>
        </w:rPr>
        <w:t>Discussion</w:t>
      </w:r>
    </w:p>
    <w:p w14:paraId="30D52E2E" w14:textId="6C3E937C" w:rsidR="0052349E" w:rsidRDefault="0052349E" w:rsidP="0052349E">
      <w:pPr>
        <w:rPr>
          <w:lang w:val="en-US"/>
        </w:rPr>
      </w:pPr>
      <w:r>
        <w:rPr>
          <w:lang w:val="en-US"/>
        </w:rPr>
        <w:t xml:space="preserve">Network signaling (NS) is a mechanism </w:t>
      </w:r>
      <w:r w:rsidR="00933349">
        <w:rPr>
          <w:lang w:val="en-US"/>
        </w:rPr>
        <w:t xml:space="preserve">to allow the </w:t>
      </w:r>
      <w:proofErr w:type="spellStart"/>
      <w:r w:rsidR="00933349">
        <w:rPr>
          <w:lang w:val="en-US"/>
        </w:rPr>
        <w:t>basestation</w:t>
      </w:r>
      <w:proofErr w:type="spellEnd"/>
      <w:r w:rsidR="00933349">
        <w:rPr>
          <w:lang w:val="en-US"/>
        </w:rPr>
        <w:t xml:space="preserve"> to inform </w:t>
      </w:r>
      <w:proofErr w:type="gramStart"/>
      <w:r w:rsidR="00933349">
        <w:rPr>
          <w:lang w:val="en-US"/>
        </w:rPr>
        <w:t>UE’s</w:t>
      </w:r>
      <w:proofErr w:type="gramEnd"/>
      <w:r w:rsidR="00933349">
        <w:rPr>
          <w:lang w:val="en-US"/>
        </w:rPr>
        <w:t xml:space="preserve"> of deployment-specific additional requirements</w:t>
      </w:r>
      <w:r w:rsidR="00211C20">
        <w:rPr>
          <w:lang w:val="en-US"/>
        </w:rPr>
        <w:t xml:space="preserve"> within the cell.  </w:t>
      </w:r>
      <w:r w:rsidR="006A4596">
        <w:rPr>
          <w:lang w:val="en-US"/>
        </w:rPr>
        <w:t xml:space="preserve">The intention of the NS </w:t>
      </w:r>
      <w:r w:rsidR="006E454A">
        <w:rPr>
          <w:lang w:val="en-US"/>
        </w:rPr>
        <w:t xml:space="preserve">mechanism </w:t>
      </w:r>
      <w:r w:rsidR="006A4596">
        <w:rPr>
          <w:lang w:val="en-US"/>
        </w:rPr>
        <w:t xml:space="preserve">is to </w:t>
      </w:r>
      <w:r w:rsidR="000A400B">
        <w:rPr>
          <w:lang w:val="en-US"/>
        </w:rPr>
        <w:t>enable</w:t>
      </w:r>
      <w:r w:rsidR="006A4596">
        <w:rPr>
          <w:lang w:val="en-US"/>
        </w:rPr>
        <w:t xml:space="preserve"> </w:t>
      </w:r>
      <w:proofErr w:type="gramStart"/>
      <w:r w:rsidR="006A4596">
        <w:rPr>
          <w:lang w:val="en-US"/>
        </w:rPr>
        <w:t>UE’s</w:t>
      </w:r>
      <w:proofErr w:type="gramEnd"/>
      <w:r w:rsidR="006A4596">
        <w:rPr>
          <w:lang w:val="en-US"/>
        </w:rPr>
        <w:t xml:space="preserve"> to roam worldwide </w:t>
      </w:r>
      <w:r w:rsidR="000A400B">
        <w:rPr>
          <w:lang w:val="en-US"/>
        </w:rPr>
        <w:t xml:space="preserve">in globally defined bands, but at the same time meet local regional requirements specific to any particular deployment.  </w:t>
      </w:r>
      <w:r w:rsidR="006E454A">
        <w:rPr>
          <w:lang w:val="en-US"/>
        </w:rPr>
        <w:t xml:space="preserve">Without NS signaling, either the most stringent of any </w:t>
      </w:r>
      <w:r w:rsidR="0005640B">
        <w:rPr>
          <w:lang w:val="en-US"/>
        </w:rPr>
        <w:t>local region would be applied globally</w:t>
      </w:r>
      <w:r w:rsidR="00C520A8">
        <w:rPr>
          <w:lang w:val="en-US"/>
        </w:rPr>
        <w:t xml:space="preserve"> (even when not needed)</w:t>
      </w:r>
      <w:r w:rsidR="0005640B">
        <w:rPr>
          <w:lang w:val="en-US"/>
        </w:rPr>
        <w:t xml:space="preserve"> or individual local bands would need to be defined – neither of these is desirable.  </w:t>
      </w:r>
      <w:r w:rsidR="00211C20">
        <w:rPr>
          <w:lang w:val="en-US"/>
        </w:rPr>
        <w:t xml:space="preserve">The additional requirements are typically regulatory requirements on emissions </w:t>
      </w:r>
      <w:r w:rsidR="00FE43FD">
        <w:rPr>
          <w:lang w:val="en-US"/>
        </w:rPr>
        <w:t xml:space="preserve">associated with a particular country where this cell is deployed.  </w:t>
      </w:r>
      <w:r w:rsidR="00BB7FC4">
        <w:rPr>
          <w:lang w:val="en-US"/>
        </w:rPr>
        <w:t>Often, power backoff by way of A-MPR is also defined in the 3GPP specification associated with the NS</w:t>
      </w:r>
      <w:r w:rsidR="009674F0">
        <w:rPr>
          <w:lang w:val="en-US"/>
        </w:rPr>
        <w:t xml:space="preserve"> to enable the UE to meet the emission requirement.  The A-MPR is usually specified as a table </w:t>
      </w:r>
      <w:r w:rsidR="006B27FD">
        <w:rPr>
          <w:lang w:val="en-US"/>
        </w:rPr>
        <w:t xml:space="preserve">with different </w:t>
      </w:r>
      <w:r w:rsidR="007A26D3">
        <w:rPr>
          <w:lang w:val="en-US"/>
        </w:rPr>
        <w:t>backoff values depending</w:t>
      </w:r>
      <w:r w:rsidR="009674F0">
        <w:rPr>
          <w:lang w:val="en-US"/>
        </w:rPr>
        <w:t xml:space="preserve"> on the center frequency and bandwidth of the carrier as well as the RB allocation within the carrier.  </w:t>
      </w:r>
      <w:r w:rsidR="007A26D3">
        <w:rPr>
          <w:lang w:val="en-US"/>
        </w:rPr>
        <w:t>NS values are defined on a per-band basis</w:t>
      </w:r>
      <w:r w:rsidR="00CD1124">
        <w:rPr>
          <w:lang w:val="en-US"/>
        </w:rPr>
        <w:t xml:space="preserve"> and may also be applicable to intra-band CA within the band.</w:t>
      </w:r>
    </w:p>
    <w:p w14:paraId="424FC08E" w14:textId="5945967C" w:rsidR="005B2B6E" w:rsidRDefault="009B1B24" w:rsidP="0052349E">
      <w:pPr>
        <w:rPr>
          <w:lang w:val="en-US"/>
        </w:rPr>
      </w:pPr>
      <w:r>
        <w:rPr>
          <w:lang w:val="en-US"/>
        </w:rPr>
        <w:t xml:space="preserve">During the NTN band discussion for the Ka band, it was revealed that there exist regional requirements for example in the US that </w:t>
      </w:r>
      <w:r w:rsidR="00EA497F">
        <w:rPr>
          <w:lang w:val="en-US"/>
        </w:rPr>
        <w:t xml:space="preserve">may limit the operation within certain frequency ranges.  </w:t>
      </w:r>
      <w:r w:rsidR="00CF7528">
        <w:rPr>
          <w:lang w:val="en-US"/>
        </w:rPr>
        <w:t xml:space="preserve">On the other hand, there are other countries where such restrictions would not apply.  </w:t>
      </w:r>
      <w:r w:rsidR="00A73306">
        <w:rPr>
          <w:lang w:val="en-US"/>
        </w:rPr>
        <w:t xml:space="preserve">Hence, the use of NS is one promising mechanism to address specific requirements in different countries.  </w:t>
      </w:r>
    </w:p>
    <w:p w14:paraId="5DAB0AB5" w14:textId="0EDA42FD" w:rsidR="00CB4BEF" w:rsidRPr="00F141AE" w:rsidRDefault="00CB4BEF" w:rsidP="0052349E">
      <w:pPr>
        <w:rPr>
          <w:b/>
          <w:bCs/>
          <w:lang w:val="en-US"/>
        </w:rPr>
      </w:pPr>
      <w:r w:rsidRPr="00F141AE">
        <w:rPr>
          <w:b/>
          <w:bCs/>
          <w:lang w:val="en-US"/>
        </w:rPr>
        <w:t>Observation</w:t>
      </w:r>
      <w:r w:rsidR="00F141AE">
        <w:rPr>
          <w:b/>
          <w:bCs/>
          <w:lang w:val="en-US"/>
        </w:rPr>
        <w:t xml:space="preserve"> 1</w:t>
      </w:r>
      <w:r w:rsidRPr="00F141AE">
        <w:rPr>
          <w:b/>
          <w:bCs/>
          <w:lang w:val="en-US"/>
        </w:rPr>
        <w:t>:  NS signaling is one possible mechanism to address UE requirements</w:t>
      </w:r>
      <w:r w:rsidR="00DE4D47" w:rsidRPr="00F141AE">
        <w:rPr>
          <w:b/>
          <w:bCs/>
          <w:lang w:val="en-US"/>
        </w:rPr>
        <w:t xml:space="preserve"> specific to a country or deployment.</w:t>
      </w:r>
    </w:p>
    <w:p w14:paraId="1CD0DCB2" w14:textId="3E7DC0BC" w:rsidR="00943C64" w:rsidRPr="00F141AE" w:rsidRDefault="00943C64" w:rsidP="0052349E">
      <w:pPr>
        <w:rPr>
          <w:b/>
          <w:bCs/>
          <w:lang w:val="en-US"/>
        </w:rPr>
      </w:pPr>
      <w:r w:rsidRPr="00F141AE">
        <w:rPr>
          <w:b/>
          <w:bCs/>
          <w:lang w:val="en-US"/>
        </w:rPr>
        <w:t>Observation</w:t>
      </w:r>
      <w:r w:rsidR="00F141AE">
        <w:rPr>
          <w:b/>
          <w:bCs/>
          <w:lang w:val="en-US"/>
        </w:rPr>
        <w:t xml:space="preserve"> 2</w:t>
      </w:r>
      <w:r w:rsidRPr="00F141AE">
        <w:rPr>
          <w:b/>
          <w:bCs/>
          <w:lang w:val="en-US"/>
        </w:rPr>
        <w:t xml:space="preserve">:  The requirements under consideration </w:t>
      </w:r>
      <w:r w:rsidR="00F141AE" w:rsidRPr="00F141AE">
        <w:rPr>
          <w:b/>
          <w:bCs/>
          <w:lang w:val="en-US"/>
        </w:rPr>
        <w:t xml:space="preserve">in this contribution </w:t>
      </w:r>
      <w:r w:rsidRPr="00F141AE">
        <w:rPr>
          <w:b/>
          <w:bCs/>
          <w:lang w:val="en-US"/>
        </w:rPr>
        <w:t>are UE emissions</w:t>
      </w:r>
      <w:r w:rsidR="00F141AE" w:rsidRPr="00F141AE">
        <w:rPr>
          <w:b/>
          <w:bCs/>
          <w:lang w:val="en-US"/>
        </w:rPr>
        <w:t xml:space="preserve">, therefore, only </w:t>
      </w:r>
      <w:r w:rsidR="00F141AE">
        <w:rPr>
          <w:b/>
          <w:bCs/>
          <w:lang w:val="en-US"/>
        </w:rPr>
        <w:t xml:space="preserve">the </w:t>
      </w:r>
      <w:r w:rsidR="00F141AE" w:rsidRPr="00F141AE">
        <w:rPr>
          <w:b/>
          <w:bCs/>
          <w:lang w:val="en-US"/>
        </w:rPr>
        <w:t>uplink is applicable.</w:t>
      </w:r>
    </w:p>
    <w:p w14:paraId="2B5A3348" w14:textId="4616A138" w:rsidR="00412CF1" w:rsidRDefault="00DE4D47" w:rsidP="0052349E">
      <w:pPr>
        <w:rPr>
          <w:lang w:val="en-US"/>
        </w:rPr>
      </w:pPr>
      <w:r>
        <w:rPr>
          <w:lang w:val="en-US"/>
        </w:rPr>
        <w:t xml:space="preserve">One significant difference between conventional terrestrial networks and NTN networks is the coverage.  While cells within a terrestrial network are limited in </w:t>
      </w:r>
      <w:r w:rsidR="00045244">
        <w:rPr>
          <w:lang w:val="en-US"/>
        </w:rPr>
        <w:t>r</w:t>
      </w:r>
      <w:r w:rsidR="00BB4FD2">
        <w:rPr>
          <w:lang w:val="en-US"/>
        </w:rPr>
        <w:t>ange</w:t>
      </w:r>
      <w:r w:rsidR="00686317">
        <w:rPr>
          <w:lang w:val="en-US"/>
        </w:rPr>
        <w:t xml:space="preserve"> </w:t>
      </w:r>
      <w:r w:rsidR="00651D02">
        <w:rPr>
          <w:lang w:val="en-US"/>
        </w:rPr>
        <w:t xml:space="preserve">to </w:t>
      </w:r>
      <w:r w:rsidR="00885F1B">
        <w:rPr>
          <w:lang w:val="en-US"/>
        </w:rPr>
        <w:t>approximately 2 km</w:t>
      </w:r>
      <w:r w:rsidR="00EF313B">
        <w:rPr>
          <w:lang w:val="en-US"/>
        </w:rPr>
        <w:t xml:space="preserve"> in rural areas (see Table 6.1 of </w:t>
      </w:r>
      <w:r w:rsidR="001B151F">
        <w:rPr>
          <w:lang w:val="en-US"/>
        </w:rPr>
        <w:t>[2]</w:t>
      </w:r>
      <w:r w:rsidR="00EF313B">
        <w:rPr>
          <w:lang w:val="en-US"/>
        </w:rPr>
        <w:t>), t</w:t>
      </w:r>
      <w:r w:rsidR="00686317">
        <w:rPr>
          <w:lang w:val="en-US"/>
        </w:rPr>
        <w:t>he NTN network with GEO satellite</w:t>
      </w:r>
      <w:r w:rsidR="00D031CF">
        <w:rPr>
          <w:lang w:val="en-US"/>
        </w:rPr>
        <w:t xml:space="preserve"> can have a beam footprint size of 200 – 3500 km (see Table 4.1-1 of </w:t>
      </w:r>
      <w:r w:rsidR="001B151F">
        <w:rPr>
          <w:lang w:val="en-US"/>
        </w:rPr>
        <w:t>[3]</w:t>
      </w:r>
      <w:r w:rsidR="00F737D0">
        <w:rPr>
          <w:lang w:val="en-US"/>
        </w:rPr>
        <w:t>)</w:t>
      </w:r>
      <w:r w:rsidR="00EF313B">
        <w:rPr>
          <w:lang w:val="en-US"/>
        </w:rPr>
        <w:t xml:space="preserve">.  </w:t>
      </w:r>
      <w:r w:rsidR="00B23240">
        <w:rPr>
          <w:lang w:val="en-US"/>
        </w:rPr>
        <w:t xml:space="preserve">It is therefore feasible for the terrestrial cell to broadcast an NS </w:t>
      </w:r>
      <w:r w:rsidR="00FF1DFC">
        <w:rPr>
          <w:lang w:val="en-US"/>
        </w:rPr>
        <w:t xml:space="preserve">in system information </w:t>
      </w:r>
      <w:r w:rsidR="00B23240">
        <w:rPr>
          <w:lang w:val="en-US"/>
        </w:rPr>
        <w:t xml:space="preserve">to all </w:t>
      </w:r>
      <w:proofErr w:type="gramStart"/>
      <w:r w:rsidR="00B23240">
        <w:rPr>
          <w:lang w:val="en-US"/>
        </w:rPr>
        <w:t>UE’s</w:t>
      </w:r>
      <w:proofErr w:type="gramEnd"/>
      <w:r w:rsidR="00B23240">
        <w:rPr>
          <w:lang w:val="en-US"/>
        </w:rPr>
        <w:t xml:space="preserve"> within its coverage </w:t>
      </w:r>
      <w:r w:rsidR="00BB4FD2">
        <w:rPr>
          <w:lang w:val="en-US"/>
        </w:rPr>
        <w:t>area</w:t>
      </w:r>
      <w:r w:rsidR="00EB5AD3">
        <w:rPr>
          <w:lang w:val="en-US"/>
        </w:rPr>
        <w:t xml:space="preserve"> since the UE’s </w:t>
      </w:r>
      <w:r w:rsidR="00FF1DFC">
        <w:rPr>
          <w:lang w:val="en-US"/>
        </w:rPr>
        <w:t xml:space="preserve">are contained within the same country and </w:t>
      </w:r>
      <w:r w:rsidR="00EB5AD3">
        <w:rPr>
          <w:lang w:val="en-US"/>
        </w:rPr>
        <w:t xml:space="preserve">fall under the same </w:t>
      </w:r>
      <w:r w:rsidR="002F2EC7">
        <w:rPr>
          <w:lang w:val="en-US"/>
        </w:rPr>
        <w:t>regulations.  On the other hand, a</w:t>
      </w:r>
      <w:r w:rsidR="00FB4589">
        <w:rPr>
          <w:lang w:val="en-US"/>
        </w:rPr>
        <w:t>n</w:t>
      </w:r>
      <w:r w:rsidR="002F2EC7">
        <w:rPr>
          <w:lang w:val="en-US"/>
        </w:rPr>
        <w:t xml:space="preserve"> NTN SAN</w:t>
      </w:r>
      <w:r w:rsidR="009C2EC9">
        <w:rPr>
          <w:lang w:val="en-US"/>
        </w:rPr>
        <w:t xml:space="preserve"> may illuminate areas within </w:t>
      </w:r>
      <w:r w:rsidR="002F2EC7">
        <w:rPr>
          <w:lang w:val="en-US"/>
        </w:rPr>
        <w:t>multiple countries or regions even if its intended</w:t>
      </w:r>
      <w:r w:rsidR="00E3490E">
        <w:rPr>
          <w:lang w:val="en-US"/>
        </w:rPr>
        <w:t xml:space="preserve"> operation is limited to one country within its footprint.  </w:t>
      </w:r>
      <w:r w:rsidR="00A90AE7">
        <w:rPr>
          <w:lang w:val="en-US"/>
        </w:rPr>
        <w:t>Generally, coverage overlapping multiple countries is subject to treaties and agreements between the two countries</w:t>
      </w:r>
      <w:r w:rsidR="0090528A">
        <w:rPr>
          <w:lang w:val="en-US"/>
        </w:rPr>
        <w:t xml:space="preserve"> and the satellite operator</w:t>
      </w:r>
      <w:r w:rsidR="00A90AE7">
        <w:rPr>
          <w:lang w:val="en-US"/>
        </w:rPr>
        <w:t>.</w:t>
      </w:r>
      <w:r w:rsidR="0090528A">
        <w:rPr>
          <w:lang w:val="en-US"/>
        </w:rPr>
        <w:t xml:space="preserve">  However, the regulations may differ between countries.  </w:t>
      </w:r>
      <w:r w:rsidR="00080CDE">
        <w:rPr>
          <w:lang w:val="en-US"/>
        </w:rPr>
        <w:t>Since the NTN SAN has such broad coverage, it is not sufficient to broadcast a single NS to its entire coverage area</w:t>
      </w:r>
      <w:r w:rsidR="00DD5B6F">
        <w:rPr>
          <w:lang w:val="en-US"/>
        </w:rPr>
        <w:t>.  There needs to be an element of location awareness</w:t>
      </w:r>
      <w:r w:rsidR="00732512">
        <w:rPr>
          <w:lang w:val="en-US"/>
        </w:rPr>
        <w:t xml:space="preserve"> for the UE.  </w:t>
      </w:r>
      <w:r w:rsidR="00412CF1">
        <w:rPr>
          <w:lang w:val="en-US"/>
        </w:rPr>
        <w:t xml:space="preserve">Fortunately, </w:t>
      </w:r>
      <w:r w:rsidR="009B21A4">
        <w:rPr>
          <w:lang w:val="en-US"/>
        </w:rPr>
        <w:t>according to the WID [</w:t>
      </w:r>
      <w:r w:rsidR="00CE7DD1">
        <w:rPr>
          <w:lang w:val="en-US"/>
        </w:rPr>
        <w:t>1</w:t>
      </w:r>
      <w:r w:rsidR="0045135D">
        <w:rPr>
          <w:lang w:val="en-US"/>
        </w:rPr>
        <w:t xml:space="preserve">] </w:t>
      </w:r>
      <w:r w:rsidR="00412CF1">
        <w:rPr>
          <w:lang w:val="en-US"/>
        </w:rPr>
        <w:t>it is assumed</w:t>
      </w:r>
      <w:r w:rsidR="009B21A4">
        <w:rPr>
          <w:lang w:val="en-US"/>
        </w:rPr>
        <w:t xml:space="preserve"> the </w:t>
      </w:r>
      <w:r w:rsidR="0045135D">
        <w:rPr>
          <w:lang w:val="en-US"/>
        </w:rPr>
        <w:t>UE has GNSS capabilities.</w:t>
      </w:r>
    </w:p>
    <w:p w14:paraId="725A7F3C" w14:textId="65739AB9" w:rsidR="00A90AE7" w:rsidRDefault="00CD453A" w:rsidP="0052349E">
      <w:pPr>
        <w:rPr>
          <w:lang w:val="en-US"/>
        </w:rPr>
      </w:pPr>
      <w:r>
        <w:rPr>
          <w:lang w:val="en-US"/>
        </w:rPr>
        <w:t xml:space="preserve">By </w:t>
      </w:r>
      <w:r w:rsidR="0045135D">
        <w:rPr>
          <w:lang w:val="en-US"/>
        </w:rPr>
        <w:t xml:space="preserve">a </w:t>
      </w:r>
      <w:r>
        <w:rPr>
          <w:lang w:val="en-US"/>
        </w:rPr>
        <w:t xml:space="preserve">combination of the SAN broadcasting </w:t>
      </w:r>
      <w:r w:rsidR="009C2EC9">
        <w:rPr>
          <w:lang w:val="en-US"/>
        </w:rPr>
        <w:t>all NS’s that might be applicable within its footprint</w:t>
      </w:r>
      <w:r w:rsidR="00A90AE7">
        <w:rPr>
          <w:lang w:val="en-US"/>
        </w:rPr>
        <w:t xml:space="preserve"> </w:t>
      </w:r>
      <w:r w:rsidR="00727024">
        <w:rPr>
          <w:lang w:val="en-US"/>
        </w:rPr>
        <w:t>taking advantage of narrow spotbeams</w:t>
      </w:r>
      <w:r w:rsidR="0057750A">
        <w:rPr>
          <w:lang w:val="en-US"/>
        </w:rPr>
        <w:t xml:space="preserve"> if available and the UE knowing its own location</w:t>
      </w:r>
      <w:r w:rsidR="0093227A">
        <w:rPr>
          <w:lang w:val="en-US"/>
        </w:rPr>
        <w:t xml:space="preserve">, it is possible to convey the correct </w:t>
      </w:r>
      <w:r w:rsidR="00FB4589">
        <w:rPr>
          <w:lang w:val="en-US"/>
        </w:rPr>
        <w:t xml:space="preserve">NS </w:t>
      </w:r>
      <w:r w:rsidR="0093227A">
        <w:rPr>
          <w:lang w:val="en-US"/>
        </w:rPr>
        <w:t xml:space="preserve">information to the UE regarding regional requirements.  </w:t>
      </w:r>
      <w:r w:rsidR="006D5A62">
        <w:rPr>
          <w:lang w:val="en-US"/>
        </w:rPr>
        <w:t>As an example, consider a</w:t>
      </w:r>
      <w:r w:rsidR="00FB4589">
        <w:rPr>
          <w:lang w:val="en-US"/>
        </w:rPr>
        <w:t>n</w:t>
      </w:r>
      <w:r w:rsidR="006D5A62">
        <w:rPr>
          <w:lang w:val="en-US"/>
        </w:rPr>
        <w:t xml:space="preserve"> NTN network intended for operation in country A</w:t>
      </w:r>
      <w:r w:rsidR="00041783">
        <w:rPr>
          <w:lang w:val="en-US"/>
        </w:rPr>
        <w:t xml:space="preserve">.  However, the satellite </w:t>
      </w:r>
      <w:r w:rsidR="000A75DE">
        <w:rPr>
          <w:lang w:val="en-US"/>
        </w:rPr>
        <w:t xml:space="preserve">illuminates not only country A but also areas of nearby country B and country C as well.  </w:t>
      </w:r>
      <w:r w:rsidR="000A75DE">
        <w:rPr>
          <w:lang w:val="en-US"/>
        </w:rPr>
        <w:lastRenderedPageBreak/>
        <w:t xml:space="preserve">Furthermore, the </w:t>
      </w:r>
      <w:r w:rsidR="000F3C5D">
        <w:rPr>
          <w:lang w:val="en-US"/>
        </w:rPr>
        <w:t xml:space="preserve">regulators in country B and country C have imposed additional emission requirements or 3GPP has determined additional coexistence requirements to protect cellular service in adjacent bands in country B and country C.  </w:t>
      </w:r>
      <w:r w:rsidR="00B416B7">
        <w:rPr>
          <w:lang w:val="en-US"/>
        </w:rPr>
        <w:t xml:space="preserve">The </w:t>
      </w:r>
      <w:r w:rsidR="00464361">
        <w:rPr>
          <w:lang w:val="en-US"/>
        </w:rPr>
        <w:t xml:space="preserve">NTN network operator could signal NS_B and NS_C maybe in addition to an MFBI for </w:t>
      </w:r>
      <w:r w:rsidR="001B3A78">
        <w:rPr>
          <w:lang w:val="en-US"/>
        </w:rPr>
        <w:t xml:space="preserve">different band designation in its coverage area.  However, the UE should be aware </w:t>
      </w:r>
      <w:r w:rsidR="006A6FEB">
        <w:rPr>
          <w:lang w:val="en-US"/>
        </w:rPr>
        <w:t xml:space="preserve">whether it is physically </w:t>
      </w:r>
      <w:r w:rsidR="001B3A78">
        <w:rPr>
          <w:lang w:val="en-US"/>
        </w:rPr>
        <w:t>located in country A, country B, or country C</w:t>
      </w:r>
      <w:r w:rsidR="006A6FEB">
        <w:rPr>
          <w:lang w:val="en-US"/>
        </w:rPr>
        <w:t xml:space="preserve"> since each of these countries will have different requirements indicated by NS</w:t>
      </w:r>
      <w:r w:rsidR="00BE2C0C">
        <w:rPr>
          <w:lang w:val="en-US"/>
        </w:rPr>
        <w:t>_01 (no additional requirements)</w:t>
      </w:r>
      <w:r w:rsidR="006A6FEB">
        <w:rPr>
          <w:lang w:val="en-US"/>
        </w:rPr>
        <w:t>, NS_B, or NS_C</w:t>
      </w:r>
      <w:r w:rsidR="00BE2C0C">
        <w:rPr>
          <w:lang w:val="en-US"/>
        </w:rPr>
        <w:t>.</w:t>
      </w:r>
      <w:r w:rsidR="00287F2B">
        <w:rPr>
          <w:lang w:val="en-US"/>
        </w:rPr>
        <w:t xml:space="preserve">  If for some reason the UE is not </w:t>
      </w:r>
      <w:r w:rsidR="00ED39CD">
        <w:rPr>
          <w:lang w:val="en-US"/>
        </w:rPr>
        <w:t xml:space="preserve">able to determine its location, it should bar the cell and not connect to avoid inadvertently transmitting without proper emissions control.  </w:t>
      </w:r>
    </w:p>
    <w:p w14:paraId="56E48170" w14:textId="09775893" w:rsidR="00C52572" w:rsidRPr="00911119" w:rsidRDefault="00C52572" w:rsidP="0052349E">
      <w:pPr>
        <w:rPr>
          <w:b/>
          <w:bCs/>
          <w:lang w:val="en-US"/>
        </w:rPr>
      </w:pPr>
      <w:r w:rsidRPr="00911119">
        <w:rPr>
          <w:b/>
          <w:bCs/>
          <w:lang w:val="en-US"/>
        </w:rPr>
        <w:t>Proposal:  With a combination of NS signaling</w:t>
      </w:r>
      <w:r w:rsidR="005949DB" w:rsidRPr="00911119">
        <w:rPr>
          <w:b/>
          <w:bCs/>
          <w:lang w:val="en-US"/>
        </w:rPr>
        <w:t>, MFBI indication,</w:t>
      </w:r>
      <w:r w:rsidRPr="00911119">
        <w:rPr>
          <w:b/>
          <w:bCs/>
          <w:lang w:val="en-US"/>
        </w:rPr>
        <w:t xml:space="preserve"> and UE location awareness</w:t>
      </w:r>
      <w:r w:rsidR="00CA5484" w:rsidRPr="00911119">
        <w:rPr>
          <w:b/>
          <w:bCs/>
          <w:lang w:val="en-US"/>
        </w:rPr>
        <w:t xml:space="preserve">, </w:t>
      </w:r>
      <w:r w:rsidR="005949DB" w:rsidRPr="00911119">
        <w:rPr>
          <w:b/>
          <w:bCs/>
          <w:lang w:val="en-US"/>
        </w:rPr>
        <w:t xml:space="preserve">necessary tools are available to enable </w:t>
      </w:r>
      <w:r w:rsidR="00CA5484" w:rsidRPr="00911119">
        <w:rPr>
          <w:b/>
          <w:bCs/>
          <w:lang w:val="en-US"/>
        </w:rPr>
        <w:t>the UE to recognize additional regional requirements and react accordingly.</w:t>
      </w:r>
    </w:p>
    <w:p w14:paraId="3F8BEA58" w14:textId="39695EF4" w:rsidR="009C37D0" w:rsidRDefault="00FA01C7" w:rsidP="009C37D0">
      <w:pPr>
        <w:pStyle w:val="Heading1"/>
        <w:tabs>
          <w:tab w:val="clear" w:pos="432"/>
          <w:tab w:val="num" w:pos="522"/>
        </w:tabs>
        <w:ind w:left="522" w:hanging="522"/>
        <w:rPr>
          <w:lang w:val="en-US"/>
        </w:rPr>
      </w:pPr>
      <w:r>
        <w:rPr>
          <w:lang w:val="en-US"/>
        </w:rPr>
        <w:t>Conclusion</w:t>
      </w:r>
    </w:p>
    <w:p w14:paraId="1A6C7A01" w14:textId="441C1A08" w:rsidR="007033FC" w:rsidRPr="007033FC" w:rsidRDefault="007033FC" w:rsidP="007033FC">
      <w:pPr>
        <w:rPr>
          <w:lang w:val="en-US"/>
        </w:rPr>
      </w:pPr>
      <w:r>
        <w:rPr>
          <w:lang w:val="en-US"/>
        </w:rPr>
        <w:t>In this contribution</w:t>
      </w:r>
      <w:r w:rsidR="00BF577F">
        <w:rPr>
          <w:lang w:val="en-US"/>
        </w:rPr>
        <w:t xml:space="preserve"> the use of NS signaling is discussed as an option to enable </w:t>
      </w:r>
      <w:r w:rsidR="00624704">
        <w:rPr>
          <w:lang w:val="en-US"/>
        </w:rPr>
        <w:t xml:space="preserve">the definition of a global band that also </w:t>
      </w:r>
      <w:r w:rsidR="004A1AD5">
        <w:rPr>
          <w:lang w:val="en-US"/>
        </w:rPr>
        <w:t xml:space="preserve">meets country-specific regional requirements for the UE uplink.  </w:t>
      </w:r>
      <w:r w:rsidR="003D0F44">
        <w:rPr>
          <w:lang w:val="en-US"/>
        </w:rPr>
        <w:t xml:space="preserve">These requirements typically include emission </w:t>
      </w:r>
      <w:proofErr w:type="gramStart"/>
      <w:r w:rsidR="003D0F44">
        <w:rPr>
          <w:lang w:val="en-US"/>
        </w:rPr>
        <w:t>requirements, but</w:t>
      </w:r>
      <w:proofErr w:type="gramEnd"/>
      <w:r w:rsidR="003D0F44">
        <w:rPr>
          <w:lang w:val="en-US"/>
        </w:rPr>
        <w:t xml:space="preserve"> could als</w:t>
      </w:r>
      <w:r w:rsidR="002000F9">
        <w:rPr>
          <w:lang w:val="en-US"/>
        </w:rPr>
        <w:t xml:space="preserve">o </w:t>
      </w:r>
      <w:r w:rsidR="003D051C">
        <w:rPr>
          <w:lang w:val="en-US"/>
        </w:rPr>
        <w:t xml:space="preserve">exclude certain frequency ranges or </w:t>
      </w:r>
      <w:r w:rsidR="007C12B0">
        <w:rPr>
          <w:lang w:val="en-US"/>
        </w:rPr>
        <w:t>applicability of a different band indicator with MFBI</w:t>
      </w:r>
      <w:r w:rsidR="000E5CFB">
        <w:rPr>
          <w:lang w:val="en-US"/>
        </w:rPr>
        <w:t>.  UE location</w:t>
      </w:r>
      <w:r w:rsidR="00727362">
        <w:rPr>
          <w:lang w:val="en-US"/>
        </w:rPr>
        <w:t xml:space="preserve"> awareness would also be necessary to distinguish the </w:t>
      </w:r>
      <w:proofErr w:type="gramStart"/>
      <w:r w:rsidR="00727362">
        <w:rPr>
          <w:lang w:val="en-US"/>
        </w:rPr>
        <w:t>particular requirement</w:t>
      </w:r>
      <w:proofErr w:type="gramEnd"/>
      <w:r w:rsidR="00727362">
        <w:rPr>
          <w:lang w:val="en-US"/>
        </w:rPr>
        <w:t xml:space="preserve"> since the coverage area of the NTN SAN </w:t>
      </w:r>
      <w:r w:rsidR="00D51F0B">
        <w:rPr>
          <w:lang w:val="en-US"/>
        </w:rPr>
        <w:t>might be larger than a single country.</w:t>
      </w:r>
      <w:r w:rsidR="00D27CB3">
        <w:rPr>
          <w:lang w:val="en-US"/>
        </w:rPr>
        <w:t xml:space="preserve">  It is therefore proposed that NS signaling, MFBI, and UE location awareness</w:t>
      </w:r>
      <w:r w:rsidR="00644F7D">
        <w:rPr>
          <w:lang w:val="en-US"/>
        </w:rPr>
        <w:t xml:space="preserve"> provide the necessary tools to enable regional compliance for the UE, but the details may still need fine-tuning.</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EE9CC72" w14:textId="74C3D5DC" w:rsidR="007033FC" w:rsidRDefault="00837A14" w:rsidP="00D23312">
      <w:pPr>
        <w:numPr>
          <w:ilvl w:val="0"/>
          <w:numId w:val="2"/>
        </w:numPr>
        <w:tabs>
          <w:tab w:val="left" w:pos="1080"/>
        </w:tabs>
        <w:rPr>
          <w:lang w:val="en-US" w:eastAsia="x-none"/>
        </w:rPr>
      </w:pPr>
      <w:bookmarkStart w:id="0" w:name="_Hlk859252"/>
      <w:r>
        <w:rPr>
          <w:lang w:val="en-US" w:eastAsia="x-none"/>
        </w:rPr>
        <w:t>RP-222654, “</w:t>
      </w:r>
      <w:r w:rsidR="00CE7DD1" w:rsidRPr="00CE7DD1">
        <w:rPr>
          <w:lang w:val="en-US" w:eastAsia="x-none"/>
        </w:rPr>
        <w:t>Revised WID: NR NTN (Non-Terrestrial Networks) enhancements</w:t>
      </w:r>
      <w:r w:rsidR="00CE7DD1">
        <w:rPr>
          <w:lang w:val="en-US" w:eastAsia="x-none"/>
        </w:rPr>
        <w:t>,” Thales</w:t>
      </w:r>
    </w:p>
    <w:p w14:paraId="17F03CF4" w14:textId="355B46E2" w:rsidR="00CE7DD1" w:rsidRDefault="001B151F" w:rsidP="00D23312">
      <w:pPr>
        <w:numPr>
          <w:ilvl w:val="0"/>
          <w:numId w:val="2"/>
        </w:numPr>
        <w:tabs>
          <w:tab w:val="left" w:pos="1080"/>
        </w:tabs>
        <w:rPr>
          <w:lang w:val="en-US" w:eastAsia="x-none"/>
        </w:rPr>
      </w:pPr>
      <w:r>
        <w:rPr>
          <w:lang w:val="en-US" w:eastAsia="x-none"/>
        </w:rPr>
        <w:t>TR 36.924</w:t>
      </w:r>
    </w:p>
    <w:p w14:paraId="09BB11B7" w14:textId="624FC189" w:rsidR="001B151F" w:rsidRDefault="001B151F" w:rsidP="00D23312">
      <w:pPr>
        <w:numPr>
          <w:ilvl w:val="0"/>
          <w:numId w:val="2"/>
        </w:numPr>
        <w:tabs>
          <w:tab w:val="left" w:pos="1080"/>
        </w:tabs>
        <w:rPr>
          <w:lang w:val="en-US" w:eastAsia="x-none"/>
        </w:rPr>
      </w:pPr>
      <w:r>
        <w:rPr>
          <w:lang w:val="en-US" w:eastAsia="x-none"/>
        </w:rPr>
        <w:t>TR 38.821</w:t>
      </w:r>
    </w:p>
    <w:bookmarkEnd w:id="0"/>
    <w:sectPr w:rsidR="001B151F"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45B47" w14:textId="77777777" w:rsidR="00A02783" w:rsidRDefault="00A02783">
      <w:r>
        <w:separator/>
      </w:r>
    </w:p>
  </w:endnote>
  <w:endnote w:type="continuationSeparator" w:id="0">
    <w:p w14:paraId="43F2220C" w14:textId="77777777" w:rsidR="00A02783" w:rsidRDefault="00A02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5484B" w14:textId="77777777" w:rsidR="00A02783" w:rsidRDefault="00A02783">
      <w:r>
        <w:separator/>
      </w:r>
    </w:p>
  </w:footnote>
  <w:footnote w:type="continuationSeparator" w:id="0">
    <w:p w14:paraId="026701E9" w14:textId="77777777" w:rsidR="00A02783" w:rsidRDefault="00A027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814A6"/>
    <w:multiLevelType w:val="hybridMultilevel"/>
    <w:tmpl w:val="AB7C4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A84EF5"/>
    <w:multiLevelType w:val="hybridMultilevel"/>
    <w:tmpl w:val="7D84C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6E13D2"/>
    <w:multiLevelType w:val="hybridMultilevel"/>
    <w:tmpl w:val="D61A31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4D6869"/>
    <w:multiLevelType w:val="hybridMultilevel"/>
    <w:tmpl w:val="D61A3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21"/>
  </w:num>
  <w:num w:numId="2" w16cid:durableId="513963709">
    <w:abstractNumId w:val="35"/>
  </w:num>
  <w:num w:numId="3" w16cid:durableId="30959319">
    <w:abstractNumId w:val="40"/>
  </w:num>
  <w:num w:numId="4" w16cid:durableId="1579515455">
    <w:abstractNumId w:val="44"/>
  </w:num>
  <w:num w:numId="5" w16cid:durableId="1213884486">
    <w:abstractNumId w:val="33"/>
  </w:num>
  <w:num w:numId="6" w16cid:durableId="895549640">
    <w:abstractNumId w:val="14"/>
  </w:num>
  <w:num w:numId="7" w16cid:durableId="1494643654">
    <w:abstractNumId w:val="5"/>
  </w:num>
  <w:num w:numId="8" w16cid:durableId="1777947175">
    <w:abstractNumId w:val="39"/>
  </w:num>
  <w:num w:numId="9" w16cid:durableId="461308997">
    <w:abstractNumId w:val="15"/>
  </w:num>
  <w:num w:numId="10" w16cid:durableId="1624651259">
    <w:abstractNumId w:val="29"/>
  </w:num>
  <w:num w:numId="11" w16cid:durableId="1362783709">
    <w:abstractNumId w:val="46"/>
  </w:num>
  <w:num w:numId="12" w16cid:durableId="1425344883">
    <w:abstractNumId w:val="12"/>
  </w:num>
  <w:num w:numId="13" w16cid:durableId="2073697746">
    <w:abstractNumId w:val="26"/>
  </w:num>
  <w:num w:numId="14" w16cid:durableId="866678966">
    <w:abstractNumId w:val="8"/>
  </w:num>
  <w:num w:numId="15" w16cid:durableId="1666591006">
    <w:abstractNumId w:val="25"/>
  </w:num>
  <w:num w:numId="16" w16cid:durableId="1524439568">
    <w:abstractNumId w:val="45"/>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24"/>
  </w:num>
  <w:num w:numId="19" w16cid:durableId="2009550563">
    <w:abstractNumId w:val="23"/>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11"/>
  </w:num>
  <w:num w:numId="22" w16cid:durableId="1555431959">
    <w:abstractNumId w:val="19"/>
  </w:num>
  <w:num w:numId="23" w16cid:durableId="2045934884">
    <w:abstractNumId w:val="31"/>
  </w:num>
  <w:num w:numId="24" w16cid:durableId="1658996919">
    <w:abstractNumId w:val="41"/>
  </w:num>
  <w:num w:numId="25" w16cid:durableId="1145976948">
    <w:abstractNumId w:val="42"/>
  </w:num>
  <w:num w:numId="26" w16cid:durableId="1948657783">
    <w:abstractNumId w:val="7"/>
  </w:num>
  <w:num w:numId="27" w16cid:durableId="1612282645">
    <w:abstractNumId w:val="28"/>
  </w:num>
  <w:num w:numId="28" w16cid:durableId="126902088">
    <w:abstractNumId w:val="30"/>
  </w:num>
  <w:num w:numId="29" w16cid:durableId="906383168">
    <w:abstractNumId w:val="37"/>
  </w:num>
  <w:num w:numId="30" w16cid:durableId="1341155545">
    <w:abstractNumId w:val="9"/>
  </w:num>
  <w:num w:numId="31" w16cid:durableId="674380148">
    <w:abstractNumId w:val="17"/>
  </w:num>
  <w:num w:numId="32" w16cid:durableId="20907340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2"/>
  </w:num>
  <w:num w:numId="34" w16cid:durableId="1357464829">
    <w:abstractNumId w:val="34"/>
  </w:num>
  <w:num w:numId="35" w16cid:durableId="2019849514">
    <w:abstractNumId w:val="22"/>
  </w:num>
  <w:num w:numId="36" w16cid:durableId="1071586423">
    <w:abstractNumId w:val="4"/>
  </w:num>
  <w:num w:numId="37" w16cid:durableId="1338195957">
    <w:abstractNumId w:val="38"/>
  </w:num>
  <w:num w:numId="38" w16cid:durableId="1058632768">
    <w:abstractNumId w:val="10"/>
  </w:num>
  <w:num w:numId="39" w16cid:durableId="1014115387">
    <w:abstractNumId w:val="27"/>
  </w:num>
  <w:num w:numId="40" w16cid:durableId="1853765394">
    <w:abstractNumId w:val="32"/>
  </w:num>
  <w:num w:numId="41" w16cid:durableId="252057258">
    <w:abstractNumId w:val="16"/>
  </w:num>
  <w:num w:numId="42" w16cid:durableId="641429476">
    <w:abstractNumId w:val="36"/>
  </w:num>
  <w:num w:numId="43" w16cid:durableId="1304696361">
    <w:abstractNumId w:val="3"/>
  </w:num>
  <w:num w:numId="44" w16cid:durableId="1178233322">
    <w:abstractNumId w:val="20"/>
  </w:num>
  <w:num w:numId="45" w16cid:durableId="1902904055">
    <w:abstractNumId w:val="18"/>
  </w:num>
  <w:num w:numId="46" w16cid:durableId="6644598">
    <w:abstractNumId w:val="1"/>
  </w:num>
  <w:num w:numId="47" w16cid:durableId="1477531785">
    <w:abstractNumId w:val="6"/>
  </w:num>
  <w:num w:numId="48" w16cid:durableId="1348865861">
    <w:abstractNumId w:val="43"/>
  </w:num>
  <w:num w:numId="49" w16cid:durableId="47056348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6"/>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2E5D"/>
    <w:rsid w:val="0000301D"/>
    <w:rsid w:val="000031C8"/>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306"/>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31A"/>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260"/>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783"/>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244"/>
    <w:rsid w:val="00045318"/>
    <w:rsid w:val="00045774"/>
    <w:rsid w:val="00045AB4"/>
    <w:rsid w:val="00045F4E"/>
    <w:rsid w:val="00046794"/>
    <w:rsid w:val="0004767F"/>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4FE7"/>
    <w:rsid w:val="000550EF"/>
    <w:rsid w:val="000555F0"/>
    <w:rsid w:val="00055B21"/>
    <w:rsid w:val="0005640B"/>
    <w:rsid w:val="000568F8"/>
    <w:rsid w:val="00056C5E"/>
    <w:rsid w:val="00057B8F"/>
    <w:rsid w:val="000601B0"/>
    <w:rsid w:val="000605D7"/>
    <w:rsid w:val="00060932"/>
    <w:rsid w:val="00060DD0"/>
    <w:rsid w:val="0006167A"/>
    <w:rsid w:val="00062456"/>
    <w:rsid w:val="00062AE2"/>
    <w:rsid w:val="00062E5A"/>
    <w:rsid w:val="00062F52"/>
    <w:rsid w:val="00063AB9"/>
    <w:rsid w:val="00063B14"/>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679CF"/>
    <w:rsid w:val="00070561"/>
    <w:rsid w:val="00070ECC"/>
    <w:rsid w:val="00070F3C"/>
    <w:rsid w:val="00072354"/>
    <w:rsid w:val="00072470"/>
    <w:rsid w:val="000724BF"/>
    <w:rsid w:val="00072597"/>
    <w:rsid w:val="000725AA"/>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0CDE"/>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0B"/>
    <w:rsid w:val="000A4067"/>
    <w:rsid w:val="000A561C"/>
    <w:rsid w:val="000A56B0"/>
    <w:rsid w:val="000A5C2C"/>
    <w:rsid w:val="000A6602"/>
    <w:rsid w:val="000A697D"/>
    <w:rsid w:val="000A75DE"/>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5CFB"/>
    <w:rsid w:val="000E60A4"/>
    <w:rsid w:val="000E6208"/>
    <w:rsid w:val="000E6D31"/>
    <w:rsid w:val="000E6F68"/>
    <w:rsid w:val="000E7110"/>
    <w:rsid w:val="000E7250"/>
    <w:rsid w:val="000E791F"/>
    <w:rsid w:val="000E7A46"/>
    <w:rsid w:val="000F0E0B"/>
    <w:rsid w:val="000F0FD2"/>
    <w:rsid w:val="000F120F"/>
    <w:rsid w:val="000F1DA5"/>
    <w:rsid w:val="000F2C1B"/>
    <w:rsid w:val="000F323B"/>
    <w:rsid w:val="000F3C5D"/>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EF"/>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8C"/>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51"/>
    <w:rsid w:val="0018555B"/>
    <w:rsid w:val="001855CC"/>
    <w:rsid w:val="00185893"/>
    <w:rsid w:val="00185895"/>
    <w:rsid w:val="00185F9C"/>
    <w:rsid w:val="00186488"/>
    <w:rsid w:val="0018788E"/>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51F"/>
    <w:rsid w:val="001B180F"/>
    <w:rsid w:val="001B19FE"/>
    <w:rsid w:val="001B2837"/>
    <w:rsid w:val="001B2F8C"/>
    <w:rsid w:val="001B30DD"/>
    <w:rsid w:val="001B3291"/>
    <w:rsid w:val="001B3A78"/>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00E"/>
    <w:rsid w:val="001D4299"/>
    <w:rsid w:val="001D43C3"/>
    <w:rsid w:val="001D448D"/>
    <w:rsid w:val="001D44F6"/>
    <w:rsid w:val="001D45C9"/>
    <w:rsid w:val="001D472D"/>
    <w:rsid w:val="001D4ABF"/>
    <w:rsid w:val="001D5142"/>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2D"/>
    <w:rsid w:val="001F208F"/>
    <w:rsid w:val="001F2C22"/>
    <w:rsid w:val="001F3907"/>
    <w:rsid w:val="001F3912"/>
    <w:rsid w:val="001F3AB5"/>
    <w:rsid w:val="001F4191"/>
    <w:rsid w:val="001F43EF"/>
    <w:rsid w:val="001F463C"/>
    <w:rsid w:val="001F4697"/>
    <w:rsid w:val="001F49BF"/>
    <w:rsid w:val="001F4B1C"/>
    <w:rsid w:val="001F4B45"/>
    <w:rsid w:val="001F5659"/>
    <w:rsid w:val="001F5A57"/>
    <w:rsid w:val="001F71DC"/>
    <w:rsid w:val="001F7246"/>
    <w:rsid w:val="001F786D"/>
    <w:rsid w:val="001F7A3A"/>
    <w:rsid w:val="001F7D63"/>
    <w:rsid w:val="00200065"/>
    <w:rsid w:val="002000F9"/>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00"/>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1C20"/>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4D4E"/>
    <w:rsid w:val="00254FDC"/>
    <w:rsid w:val="002551F4"/>
    <w:rsid w:val="00255927"/>
    <w:rsid w:val="002559A4"/>
    <w:rsid w:val="00255C09"/>
    <w:rsid w:val="002560F6"/>
    <w:rsid w:val="00256328"/>
    <w:rsid w:val="00256465"/>
    <w:rsid w:val="0025665A"/>
    <w:rsid w:val="0025687C"/>
    <w:rsid w:val="00256A53"/>
    <w:rsid w:val="00256C60"/>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87F2B"/>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ABA"/>
    <w:rsid w:val="002B1C8F"/>
    <w:rsid w:val="002B1FD0"/>
    <w:rsid w:val="002B2185"/>
    <w:rsid w:val="002B2C2C"/>
    <w:rsid w:val="002B2C81"/>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5E4F"/>
    <w:rsid w:val="002E7199"/>
    <w:rsid w:val="002E7660"/>
    <w:rsid w:val="002E7B67"/>
    <w:rsid w:val="002E7C4B"/>
    <w:rsid w:val="002F037C"/>
    <w:rsid w:val="002F1791"/>
    <w:rsid w:val="002F2EC7"/>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1B9"/>
    <w:rsid w:val="0031162E"/>
    <w:rsid w:val="00311874"/>
    <w:rsid w:val="00311D14"/>
    <w:rsid w:val="0031208B"/>
    <w:rsid w:val="00312A91"/>
    <w:rsid w:val="00312EF8"/>
    <w:rsid w:val="003138A2"/>
    <w:rsid w:val="00313F7D"/>
    <w:rsid w:val="003149E9"/>
    <w:rsid w:val="00314A72"/>
    <w:rsid w:val="00314CDF"/>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7BD"/>
    <w:rsid w:val="0032797F"/>
    <w:rsid w:val="00327B03"/>
    <w:rsid w:val="00327EF9"/>
    <w:rsid w:val="00327FCD"/>
    <w:rsid w:val="00330107"/>
    <w:rsid w:val="00330243"/>
    <w:rsid w:val="0033029B"/>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5071D"/>
    <w:rsid w:val="0035082B"/>
    <w:rsid w:val="003508AD"/>
    <w:rsid w:val="003508F4"/>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0DF1"/>
    <w:rsid w:val="003A1532"/>
    <w:rsid w:val="003A169D"/>
    <w:rsid w:val="003A196D"/>
    <w:rsid w:val="003A1C0F"/>
    <w:rsid w:val="003A249A"/>
    <w:rsid w:val="003A3229"/>
    <w:rsid w:val="003A32A2"/>
    <w:rsid w:val="003A38ED"/>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1DF3"/>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1C5D"/>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51C"/>
    <w:rsid w:val="003D0DEB"/>
    <w:rsid w:val="003D0F44"/>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CF1"/>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93E"/>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5F6F"/>
    <w:rsid w:val="0042669B"/>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6A"/>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35D"/>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2D4"/>
    <w:rsid w:val="00464361"/>
    <w:rsid w:val="00464A7D"/>
    <w:rsid w:val="00464F9A"/>
    <w:rsid w:val="00465074"/>
    <w:rsid w:val="004655F0"/>
    <w:rsid w:val="004655FC"/>
    <w:rsid w:val="00465AD7"/>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0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AD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F8D"/>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934"/>
    <w:rsid w:val="004C6A32"/>
    <w:rsid w:val="004C72C7"/>
    <w:rsid w:val="004C7862"/>
    <w:rsid w:val="004C7A22"/>
    <w:rsid w:val="004C7AF0"/>
    <w:rsid w:val="004C7F5D"/>
    <w:rsid w:val="004D0307"/>
    <w:rsid w:val="004D0378"/>
    <w:rsid w:val="004D05DF"/>
    <w:rsid w:val="004D08E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2F0B"/>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49E"/>
    <w:rsid w:val="005235ED"/>
    <w:rsid w:val="00524D75"/>
    <w:rsid w:val="005250F6"/>
    <w:rsid w:val="005254F6"/>
    <w:rsid w:val="00525E31"/>
    <w:rsid w:val="00525E5D"/>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12F"/>
    <w:rsid w:val="005576F7"/>
    <w:rsid w:val="00560074"/>
    <w:rsid w:val="00560716"/>
    <w:rsid w:val="005607A9"/>
    <w:rsid w:val="0056188B"/>
    <w:rsid w:val="00561E0B"/>
    <w:rsid w:val="00562432"/>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50A"/>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873"/>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9DB"/>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B6E"/>
    <w:rsid w:val="005B2F86"/>
    <w:rsid w:val="005B3367"/>
    <w:rsid w:val="005B398A"/>
    <w:rsid w:val="005B3CC6"/>
    <w:rsid w:val="005B3D9E"/>
    <w:rsid w:val="005B40A6"/>
    <w:rsid w:val="005B4149"/>
    <w:rsid w:val="005B4429"/>
    <w:rsid w:val="005B448B"/>
    <w:rsid w:val="005B4F51"/>
    <w:rsid w:val="005B541A"/>
    <w:rsid w:val="005B5F79"/>
    <w:rsid w:val="005B628B"/>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DBF"/>
    <w:rsid w:val="005E0E71"/>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DCA"/>
    <w:rsid w:val="005F4FE7"/>
    <w:rsid w:val="005F5101"/>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646"/>
    <w:rsid w:val="00623CCC"/>
    <w:rsid w:val="00623D8D"/>
    <w:rsid w:val="00623FDF"/>
    <w:rsid w:val="0062416F"/>
    <w:rsid w:val="006241B8"/>
    <w:rsid w:val="00624704"/>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4F7D"/>
    <w:rsid w:val="006450CB"/>
    <w:rsid w:val="00645469"/>
    <w:rsid w:val="00645743"/>
    <w:rsid w:val="00645A90"/>
    <w:rsid w:val="00646412"/>
    <w:rsid w:val="00646715"/>
    <w:rsid w:val="006467EB"/>
    <w:rsid w:val="00647ABC"/>
    <w:rsid w:val="0065058F"/>
    <w:rsid w:val="00650B89"/>
    <w:rsid w:val="00650F37"/>
    <w:rsid w:val="0065104B"/>
    <w:rsid w:val="00651818"/>
    <w:rsid w:val="00651D02"/>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317"/>
    <w:rsid w:val="0068689D"/>
    <w:rsid w:val="00686A2D"/>
    <w:rsid w:val="00686AB1"/>
    <w:rsid w:val="00686C73"/>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41E5"/>
    <w:rsid w:val="006A44D9"/>
    <w:rsid w:val="006A4596"/>
    <w:rsid w:val="006A47F4"/>
    <w:rsid w:val="006A47FE"/>
    <w:rsid w:val="006A481B"/>
    <w:rsid w:val="006A4B02"/>
    <w:rsid w:val="006A4FF4"/>
    <w:rsid w:val="006A50B5"/>
    <w:rsid w:val="006A549A"/>
    <w:rsid w:val="006A5CBD"/>
    <w:rsid w:val="006A616F"/>
    <w:rsid w:val="006A64C8"/>
    <w:rsid w:val="006A66BC"/>
    <w:rsid w:val="006A6FEB"/>
    <w:rsid w:val="006A7F06"/>
    <w:rsid w:val="006B0041"/>
    <w:rsid w:val="006B03AA"/>
    <w:rsid w:val="006B0412"/>
    <w:rsid w:val="006B083A"/>
    <w:rsid w:val="006B08DE"/>
    <w:rsid w:val="006B0935"/>
    <w:rsid w:val="006B1C59"/>
    <w:rsid w:val="006B1E6A"/>
    <w:rsid w:val="006B1F01"/>
    <w:rsid w:val="006B26DF"/>
    <w:rsid w:val="006B276E"/>
    <w:rsid w:val="006B27FD"/>
    <w:rsid w:val="006B2C2E"/>
    <w:rsid w:val="006B2DBF"/>
    <w:rsid w:val="006B2E7F"/>
    <w:rsid w:val="006B3725"/>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8EE"/>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234A"/>
    <w:rsid w:val="006D32D6"/>
    <w:rsid w:val="006D3D0F"/>
    <w:rsid w:val="006D4101"/>
    <w:rsid w:val="006D4432"/>
    <w:rsid w:val="006D4A70"/>
    <w:rsid w:val="006D538E"/>
    <w:rsid w:val="006D54CC"/>
    <w:rsid w:val="006D5A62"/>
    <w:rsid w:val="006D6351"/>
    <w:rsid w:val="006D673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54A"/>
    <w:rsid w:val="006E46D0"/>
    <w:rsid w:val="006E5206"/>
    <w:rsid w:val="006E5807"/>
    <w:rsid w:val="006E5BD1"/>
    <w:rsid w:val="006E6FE5"/>
    <w:rsid w:val="006E7595"/>
    <w:rsid w:val="006E778F"/>
    <w:rsid w:val="006E7859"/>
    <w:rsid w:val="006F0329"/>
    <w:rsid w:val="006F03FA"/>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33FC"/>
    <w:rsid w:val="00704120"/>
    <w:rsid w:val="00704268"/>
    <w:rsid w:val="007047D6"/>
    <w:rsid w:val="0070489D"/>
    <w:rsid w:val="00704A83"/>
    <w:rsid w:val="007050C8"/>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72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24"/>
    <w:rsid w:val="00727071"/>
    <w:rsid w:val="00727242"/>
    <w:rsid w:val="00727362"/>
    <w:rsid w:val="0073035F"/>
    <w:rsid w:val="00730880"/>
    <w:rsid w:val="00730A49"/>
    <w:rsid w:val="00731475"/>
    <w:rsid w:val="00731D02"/>
    <w:rsid w:val="00732512"/>
    <w:rsid w:val="00732CE8"/>
    <w:rsid w:val="00732D90"/>
    <w:rsid w:val="0073334B"/>
    <w:rsid w:val="00733723"/>
    <w:rsid w:val="0073383C"/>
    <w:rsid w:val="0073413D"/>
    <w:rsid w:val="0073419D"/>
    <w:rsid w:val="0073467E"/>
    <w:rsid w:val="00734B28"/>
    <w:rsid w:val="00734B4A"/>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B9"/>
    <w:rsid w:val="007444C0"/>
    <w:rsid w:val="0074457E"/>
    <w:rsid w:val="0074465C"/>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28DF"/>
    <w:rsid w:val="0076433C"/>
    <w:rsid w:val="007646C3"/>
    <w:rsid w:val="00764ABF"/>
    <w:rsid w:val="00764DE5"/>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87650"/>
    <w:rsid w:val="00790F37"/>
    <w:rsid w:val="00790FEC"/>
    <w:rsid w:val="007910CE"/>
    <w:rsid w:val="00791761"/>
    <w:rsid w:val="00791C03"/>
    <w:rsid w:val="00791CC0"/>
    <w:rsid w:val="00791DAA"/>
    <w:rsid w:val="0079227B"/>
    <w:rsid w:val="00792480"/>
    <w:rsid w:val="0079324E"/>
    <w:rsid w:val="0079338E"/>
    <w:rsid w:val="007933AC"/>
    <w:rsid w:val="007933BE"/>
    <w:rsid w:val="00793AD3"/>
    <w:rsid w:val="007941DA"/>
    <w:rsid w:val="007942A6"/>
    <w:rsid w:val="007942B9"/>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A63"/>
    <w:rsid w:val="007A0BD1"/>
    <w:rsid w:val="007A0DB3"/>
    <w:rsid w:val="007A175F"/>
    <w:rsid w:val="007A1DAB"/>
    <w:rsid w:val="007A2462"/>
    <w:rsid w:val="007A2464"/>
    <w:rsid w:val="007A2514"/>
    <w:rsid w:val="007A26D3"/>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68C2"/>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2B0"/>
    <w:rsid w:val="007C18C2"/>
    <w:rsid w:val="007C2EFF"/>
    <w:rsid w:val="007C3016"/>
    <w:rsid w:val="007C355E"/>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899"/>
    <w:rsid w:val="007D3F01"/>
    <w:rsid w:val="007D4488"/>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14"/>
    <w:rsid w:val="00837AA5"/>
    <w:rsid w:val="0084009E"/>
    <w:rsid w:val="008405FD"/>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CE0"/>
    <w:rsid w:val="00882E2E"/>
    <w:rsid w:val="00883201"/>
    <w:rsid w:val="00883314"/>
    <w:rsid w:val="00883519"/>
    <w:rsid w:val="008836DD"/>
    <w:rsid w:val="00883A9F"/>
    <w:rsid w:val="00883CF5"/>
    <w:rsid w:val="00883EEA"/>
    <w:rsid w:val="00884495"/>
    <w:rsid w:val="008844FD"/>
    <w:rsid w:val="00884590"/>
    <w:rsid w:val="00884952"/>
    <w:rsid w:val="00884C9A"/>
    <w:rsid w:val="00885172"/>
    <w:rsid w:val="008857E2"/>
    <w:rsid w:val="00885C1D"/>
    <w:rsid w:val="00885CB4"/>
    <w:rsid w:val="00885F1B"/>
    <w:rsid w:val="00885F4D"/>
    <w:rsid w:val="008863FC"/>
    <w:rsid w:val="00886758"/>
    <w:rsid w:val="00886CE2"/>
    <w:rsid w:val="00887156"/>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D45"/>
    <w:rsid w:val="00901F8D"/>
    <w:rsid w:val="00902884"/>
    <w:rsid w:val="009029C5"/>
    <w:rsid w:val="00902D70"/>
    <w:rsid w:val="0090345A"/>
    <w:rsid w:val="009037EE"/>
    <w:rsid w:val="00903D25"/>
    <w:rsid w:val="00903EC0"/>
    <w:rsid w:val="00903FFE"/>
    <w:rsid w:val="009042F2"/>
    <w:rsid w:val="00904CAB"/>
    <w:rsid w:val="0090528A"/>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119"/>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0E17"/>
    <w:rsid w:val="00931431"/>
    <w:rsid w:val="0093144C"/>
    <w:rsid w:val="009314C8"/>
    <w:rsid w:val="0093196F"/>
    <w:rsid w:val="00931C33"/>
    <w:rsid w:val="0093227A"/>
    <w:rsid w:val="009327D7"/>
    <w:rsid w:val="00932891"/>
    <w:rsid w:val="00932BBB"/>
    <w:rsid w:val="00932BEF"/>
    <w:rsid w:val="00932D2F"/>
    <w:rsid w:val="00932D51"/>
    <w:rsid w:val="00932FA8"/>
    <w:rsid w:val="00933349"/>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3C64"/>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25"/>
    <w:rsid w:val="00963297"/>
    <w:rsid w:val="00963E5F"/>
    <w:rsid w:val="0096407B"/>
    <w:rsid w:val="00964226"/>
    <w:rsid w:val="00964255"/>
    <w:rsid w:val="00964583"/>
    <w:rsid w:val="009649E8"/>
    <w:rsid w:val="00964D68"/>
    <w:rsid w:val="00964DB3"/>
    <w:rsid w:val="00965069"/>
    <w:rsid w:val="00965077"/>
    <w:rsid w:val="009657FE"/>
    <w:rsid w:val="00965DC9"/>
    <w:rsid w:val="009674F0"/>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6FA8"/>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651"/>
    <w:rsid w:val="009A49A2"/>
    <w:rsid w:val="009A4D02"/>
    <w:rsid w:val="009A5565"/>
    <w:rsid w:val="009A59F3"/>
    <w:rsid w:val="009A5FD3"/>
    <w:rsid w:val="009A6D4C"/>
    <w:rsid w:val="009A7566"/>
    <w:rsid w:val="009A78E5"/>
    <w:rsid w:val="009A7E3C"/>
    <w:rsid w:val="009B0165"/>
    <w:rsid w:val="009B09B4"/>
    <w:rsid w:val="009B0B85"/>
    <w:rsid w:val="009B1475"/>
    <w:rsid w:val="009B15FC"/>
    <w:rsid w:val="009B17EC"/>
    <w:rsid w:val="009B1B24"/>
    <w:rsid w:val="009B21A4"/>
    <w:rsid w:val="009B21BE"/>
    <w:rsid w:val="009B23DD"/>
    <w:rsid w:val="009B27D6"/>
    <w:rsid w:val="009B2851"/>
    <w:rsid w:val="009B2DD8"/>
    <w:rsid w:val="009B34FE"/>
    <w:rsid w:val="009B3CD8"/>
    <w:rsid w:val="009B45EB"/>
    <w:rsid w:val="009B4B74"/>
    <w:rsid w:val="009B57C3"/>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2EC9"/>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2A4"/>
    <w:rsid w:val="009D05A5"/>
    <w:rsid w:val="009D09E5"/>
    <w:rsid w:val="009D0C06"/>
    <w:rsid w:val="009D1332"/>
    <w:rsid w:val="009D1367"/>
    <w:rsid w:val="009D1412"/>
    <w:rsid w:val="009D1D25"/>
    <w:rsid w:val="009D2170"/>
    <w:rsid w:val="009D2195"/>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67D"/>
    <w:rsid w:val="009E083B"/>
    <w:rsid w:val="009E09BD"/>
    <w:rsid w:val="009E0D21"/>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AFD"/>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8F0"/>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077FA"/>
    <w:rsid w:val="00A1038F"/>
    <w:rsid w:val="00A10771"/>
    <w:rsid w:val="00A10D63"/>
    <w:rsid w:val="00A113E0"/>
    <w:rsid w:val="00A11FC5"/>
    <w:rsid w:val="00A1303B"/>
    <w:rsid w:val="00A13257"/>
    <w:rsid w:val="00A13382"/>
    <w:rsid w:val="00A13408"/>
    <w:rsid w:val="00A13D4D"/>
    <w:rsid w:val="00A14118"/>
    <w:rsid w:val="00A14E31"/>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84E"/>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306"/>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69B"/>
    <w:rsid w:val="00A87954"/>
    <w:rsid w:val="00A903C8"/>
    <w:rsid w:val="00A90AE7"/>
    <w:rsid w:val="00A90BAB"/>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3B"/>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31"/>
    <w:rsid w:val="00AC25CD"/>
    <w:rsid w:val="00AC2B90"/>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A4A"/>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240"/>
    <w:rsid w:val="00B23B4D"/>
    <w:rsid w:val="00B23BFE"/>
    <w:rsid w:val="00B244BF"/>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16B7"/>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91A"/>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6170"/>
    <w:rsid w:val="00B66188"/>
    <w:rsid w:val="00B66E6D"/>
    <w:rsid w:val="00B66EC0"/>
    <w:rsid w:val="00B6755D"/>
    <w:rsid w:val="00B702EA"/>
    <w:rsid w:val="00B70BDF"/>
    <w:rsid w:val="00B70D04"/>
    <w:rsid w:val="00B70EAA"/>
    <w:rsid w:val="00B71872"/>
    <w:rsid w:val="00B7198C"/>
    <w:rsid w:val="00B72030"/>
    <w:rsid w:val="00B72124"/>
    <w:rsid w:val="00B72140"/>
    <w:rsid w:val="00B728DF"/>
    <w:rsid w:val="00B72E35"/>
    <w:rsid w:val="00B73272"/>
    <w:rsid w:val="00B738CF"/>
    <w:rsid w:val="00B73D0B"/>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8BA"/>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908"/>
    <w:rsid w:val="00BA2DFD"/>
    <w:rsid w:val="00BA2E07"/>
    <w:rsid w:val="00BA2FB6"/>
    <w:rsid w:val="00BA3286"/>
    <w:rsid w:val="00BA3436"/>
    <w:rsid w:val="00BA34C9"/>
    <w:rsid w:val="00BA38B6"/>
    <w:rsid w:val="00BA3976"/>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4FD2"/>
    <w:rsid w:val="00BB5110"/>
    <w:rsid w:val="00BB5E43"/>
    <w:rsid w:val="00BB6183"/>
    <w:rsid w:val="00BB6244"/>
    <w:rsid w:val="00BB697E"/>
    <w:rsid w:val="00BB6BE8"/>
    <w:rsid w:val="00BB6E3B"/>
    <w:rsid w:val="00BB6F5A"/>
    <w:rsid w:val="00BB7060"/>
    <w:rsid w:val="00BB734F"/>
    <w:rsid w:val="00BB7F63"/>
    <w:rsid w:val="00BB7FC4"/>
    <w:rsid w:val="00BC0420"/>
    <w:rsid w:val="00BC0C83"/>
    <w:rsid w:val="00BC0EB0"/>
    <w:rsid w:val="00BC110F"/>
    <w:rsid w:val="00BC1209"/>
    <w:rsid w:val="00BC1C0E"/>
    <w:rsid w:val="00BC1EBE"/>
    <w:rsid w:val="00BC2785"/>
    <w:rsid w:val="00BC2D4A"/>
    <w:rsid w:val="00BC2E2D"/>
    <w:rsid w:val="00BC3200"/>
    <w:rsid w:val="00BC3471"/>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C0C"/>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77F"/>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668"/>
    <w:rsid w:val="00C27780"/>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0A8"/>
    <w:rsid w:val="00C52110"/>
    <w:rsid w:val="00C5244E"/>
    <w:rsid w:val="00C524A8"/>
    <w:rsid w:val="00C52572"/>
    <w:rsid w:val="00C52ABA"/>
    <w:rsid w:val="00C52CCA"/>
    <w:rsid w:val="00C53F64"/>
    <w:rsid w:val="00C53F79"/>
    <w:rsid w:val="00C541D2"/>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124F"/>
    <w:rsid w:val="00C61595"/>
    <w:rsid w:val="00C615C8"/>
    <w:rsid w:val="00C61B32"/>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69A"/>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87F0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430"/>
    <w:rsid w:val="00C94DC8"/>
    <w:rsid w:val="00C94E77"/>
    <w:rsid w:val="00C95B50"/>
    <w:rsid w:val="00C96481"/>
    <w:rsid w:val="00C96C7A"/>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484"/>
    <w:rsid w:val="00CA5709"/>
    <w:rsid w:val="00CA5791"/>
    <w:rsid w:val="00CA5CF5"/>
    <w:rsid w:val="00CA64C4"/>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BEF"/>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CC5"/>
    <w:rsid w:val="00CC4D71"/>
    <w:rsid w:val="00CC592B"/>
    <w:rsid w:val="00CC59BC"/>
    <w:rsid w:val="00CC6037"/>
    <w:rsid w:val="00CC63D5"/>
    <w:rsid w:val="00CC6970"/>
    <w:rsid w:val="00CC6A47"/>
    <w:rsid w:val="00CC6EE1"/>
    <w:rsid w:val="00CC72C8"/>
    <w:rsid w:val="00CC7661"/>
    <w:rsid w:val="00CD0122"/>
    <w:rsid w:val="00CD0B68"/>
    <w:rsid w:val="00CD0C1B"/>
    <w:rsid w:val="00CD0EF0"/>
    <w:rsid w:val="00CD1124"/>
    <w:rsid w:val="00CD133C"/>
    <w:rsid w:val="00CD1562"/>
    <w:rsid w:val="00CD246E"/>
    <w:rsid w:val="00CD273A"/>
    <w:rsid w:val="00CD2AF4"/>
    <w:rsid w:val="00CD31DB"/>
    <w:rsid w:val="00CD31FC"/>
    <w:rsid w:val="00CD3343"/>
    <w:rsid w:val="00CD353F"/>
    <w:rsid w:val="00CD3D03"/>
    <w:rsid w:val="00CD4337"/>
    <w:rsid w:val="00CD453A"/>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DD1"/>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528"/>
    <w:rsid w:val="00CF7731"/>
    <w:rsid w:val="00CF78E7"/>
    <w:rsid w:val="00CF7D73"/>
    <w:rsid w:val="00D0004D"/>
    <w:rsid w:val="00D004D9"/>
    <w:rsid w:val="00D004DA"/>
    <w:rsid w:val="00D00A81"/>
    <w:rsid w:val="00D00A97"/>
    <w:rsid w:val="00D00E20"/>
    <w:rsid w:val="00D019F4"/>
    <w:rsid w:val="00D01D21"/>
    <w:rsid w:val="00D01F72"/>
    <w:rsid w:val="00D02121"/>
    <w:rsid w:val="00D024CC"/>
    <w:rsid w:val="00D031CF"/>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A5C"/>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CB3"/>
    <w:rsid w:val="00D27D31"/>
    <w:rsid w:val="00D30638"/>
    <w:rsid w:val="00D30A46"/>
    <w:rsid w:val="00D31165"/>
    <w:rsid w:val="00D31226"/>
    <w:rsid w:val="00D31FEA"/>
    <w:rsid w:val="00D3229A"/>
    <w:rsid w:val="00D3265C"/>
    <w:rsid w:val="00D32B40"/>
    <w:rsid w:val="00D32DCB"/>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1F0B"/>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648A"/>
    <w:rsid w:val="00D56625"/>
    <w:rsid w:val="00D5689B"/>
    <w:rsid w:val="00D56B30"/>
    <w:rsid w:val="00D60342"/>
    <w:rsid w:val="00D603DC"/>
    <w:rsid w:val="00D6068C"/>
    <w:rsid w:val="00D60E23"/>
    <w:rsid w:val="00D61BD8"/>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0D09"/>
    <w:rsid w:val="00D717A6"/>
    <w:rsid w:val="00D717E6"/>
    <w:rsid w:val="00D718C7"/>
    <w:rsid w:val="00D71FCA"/>
    <w:rsid w:val="00D7361F"/>
    <w:rsid w:val="00D73AAC"/>
    <w:rsid w:val="00D73D1E"/>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5B6F"/>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049"/>
    <w:rsid w:val="00DE4CEC"/>
    <w:rsid w:val="00DE4D3A"/>
    <w:rsid w:val="00DE4D47"/>
    <w:rsid w:val="00DE593B"/>
    <w:rsid w:val="00DE59FA"/>
    <w:rsid w:val="00DE5A83"/>
    <w:rsid w:val="00DE5B03"/>
    <w:rsid w:val="00DE5B18"/>
    <w:rsid w:val="00DE5D7C"/>
    <w:rsid w:val="00DE6035"/>
    <w:rsid w:val="00DE6341"/>
    <w:rsid w:val="00DE6489"/>
    <w:rsid w:val="00DE699A"/>
    <w:rsid w:val="00DE6A39"/>
    <w:rsid w:val="00DE6D06"/>
    <w:rsid w:val="00DE6D63"/>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6F7"/>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CB9"/>
    <w:rsid w:val="00E343BD"/>
    <w:rsid w:val="00E3490E"/>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11"/>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87DC5"/>
    <w:rsid w:val="00E905B6"/>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7F"/>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AD3"/>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CD"/>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985"/>
    <w:rsid w:val="00EF29EA"/>
    <w:rsid w:val="00EF2E5C"/>
    <w:rsid w:val="00EF313B"/>
    <w:rsid w:val="00EF33ED"/>
    <w:rsid w:val="00EF366C"/>
    <w:rsid w:val="00EF3A19"/>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5D9"/>
    <w:rsid w:val="00F138D8"/>
    <w:rsid w:val="00F138F1"/>
    <w:rsid w:val="00F13B95"/>
    <w:rsid w:val="00F140FE"/>
    <w:rsid w:val="00F14195"/>
    <w:rsid w:val="00F141AE"/>
    <w:rsid w:val="00F1436C"/>
    <w:rsid w:val="00F1468E"/>
    <w:rsid w:val="00F1471D"/>
    <w:rsid w:val="00F14CD9"/>
    <w:rsid w:val="00F1506C"/>
    <w:rsid w:val="00F15511"/>
    <w:rsid w:val="00F1596A"/>
    <w:rsid w:val="00F15F85"/>
    <w:rsid w:val="00F163F9"/>
    <w:rsid w:val="00F164B7"/>
    <w:rsid w:val="00F1711A"/>
    <w:rsid w:val="00F177E3"/>
    <w:rsid w:val="00F17D4A"/>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9CB"/>
    <w:rsid w:val="00F34A38"/>
    <w:rsid w:val="00F354C9"/>
    <w:rsid w:val="00F35682"/>
    <w:rsid w:val="00F3597D"/>
    <w:rsid w:val="00F35C8F"/>
    <w:rsid w:val="00F35E5B"/>
    <w:rsid w:val="00F368B6"/>
    <w:rsid w:val="00F36A11"/>
    <w:rsid w:val="00F36C90"/>
    <w:rsid w:val="00F36D83"/>
    <w:rsid w:val="00F3756B"/>
    <w:rsid w:val="00F375E7"/>
    <w:rsid w:val="00F37A2C"/>
    <w:rsid w:val="00F4013A"/>
    <w:rsid w:val="00F4035D"/>
    <w:rsid w:val="00F40694"/>
    <w:rsid w:val="00F40EB4"/>
    <w:rsid w:val="00F41C01"/>
    <w:rsid w:val="00F4288E"/>
    <w:rsid w:val="00F42BC0"/>
    <w:rsid w:val="00F434D7"/>
    <w:rsid w:val="00F437E7"/>
    <w:rsid w:val="00F43ADD"/>
    <w:rsid w:val="00F4449B"/>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87"/>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7D0"/>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589"/>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3FD"/>
    <w:rsid w:val="00FE451F"/>
    <w:rsid w:val="00FE45BF"/>
    <w:rsid w:val="00FE4C55"/>
    <w:rsid w:val="00FE4E88"/>
    <w:rsid w:val="00FE510C"/>
    <w:rsid w:val="00FE5D31"/>
    <w:rsid w:val="00FE6370"/>
    <w:rsid w:val="00FE67DD"/>
    <w:rsid w:val="00FE69C5"/>
    <w:rsid w:val="00FE6DA3"/>
    <w:rsid w:val="00FE79E2"/>
    <w:rsid w:val="00FE7DD1"/>
    <w:rsid w:val="00FF0DAF"/>
    <w:rsid w:val="00FF0DE5"/>
    <w:rsid w:val="00FF1263"/>
    <w:rsid w:val="00FF1C49"/>
    <w:rsid w:val="00FF1DFC"/>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880</Words>
  <Characters>5020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2022-11-07T21:49:00Z</dcterms:created>
  <dcterms:modified xsi:type="dcterms:W3CDTF">2022-11-07T21:49:00Z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