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A74C3"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A463E2">
        <w:rPr>
          <w:rStyle w:val="af9"/>
          <w:rFonts w:ascii="Arial" w:eastAsia="宋体" w:hAnsi="Arial" w:cs="Arial" w:hint="eastAsia"/>
        </w:rPr>
        <w:t>10</w:t>
      </w:r>
      <w:r w:rsidR="00B9561A">
        <w:rPr>
          <w:rStyle w:val="af9"/>
          <w:rFonts w:ascii="Arial" w:eastAsia="宋体" w:hAnsi="Arial" w:cs="Arial" w:hint="eastAsia"/>
        </w:rPr>
        <w:t>5</w:t>
      </w:r>
      <w:r w:rsidRPr="00EA74C3">
        <w:rPr>
          <w:rStyle w:val="af9"/>
          <w:rFonts w:ascii="Arial" w:eastAsia="宋体" w:hAnsi="Arial" w:cs="Arial" w:hint="eastAsia"/>
        </w:rPr>
        <w:tab/>
      </w:r>
      <w:r w:rsidR="008276B4" w:rsidRPr="008276B4">
        <w:rPr>
          <w:rStyle w:val="af9"/>
          <w:rFonts w:ascii="Arial" w:eastAsia="宋体" w:hAnsi="Arial" w:cs="Arial"/>
        </w:rPr>
        <w:t>R4-2218433</w:t>
      </w:r>
    </w:p>
    <w:p w:rsidR="00C02493" w:rsidRPr="005A1E2B" w:rsidRDefault="00B9561A" w:rsidP="00C02493">
      <w:pPr>
        <w:tabs>
          <w:tab w:val="left" w:pos="8400"/>
        </w:tabs>
        <w:overflowPunct/>
        <w:autoSpaceDE/>
        <w:autoSpaceDN/>
        <w:adjustRightInd/>
        <w:spacing w:before="0" w:afterLines="20" w:after="48"/>
        <w:textAlignment w:val="auto"/>
        <w:rPr>
          <w:rStyle w:val="af9"/>
          <w:rFonts w:ascii="Arial" w:eastAsia="宋体" w:hAnsi="Arial" w:cs="Arial"/>
        </w:rPr>
      </w:pPr>
      <w:r w:rsidRPr="00B9561A">
        <w:rPr>
          <w:rStyle w:val="af9"/>
          <w:rFonts w:ascii="Arial" w:eastAsia="宋体" w:hAnsi="Arial" w:cs="Arial"/>
        </w:rPr>
        <w:t>Toulouse, France, November 14 –18, 2022</w:t>
      </w:r>
    </w:p>
    <w:p w:rsidR="004E387A" w:rsidRPr="00C02493" w:rsidRDefault="004E387A" w:rsidP="00606ED9">
      <w:pPr>
        <w:pStyle w:val="afb"/>
        <w:spacing w:before="120" w:afterLines="50" w:after="120"/>
        <w:ind w:left="2270" w:hangingChars="942" w:hanging="2270"/>
      </w:pPr>
      <w:bookmarkStart w:id="0" w:name="Title"/>
      <w:bookmarkEnd w:id="0"/>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8276B4" w:rsidRPr="008276B4">
        <w:rPr>
          <w:rFonts w:ascii="Arial" w:hAnsi="Arial" w:cs="Arial"/>
          <w:b w:val="0"/>
        </w:rPr>
        <w:t>Discussion on Signal</w:t>
      </w:r>
      <w:r w:rsidR="00035A34">
        <w:rPr>
          <w:rFonts w:ascii="Arial" w:hAnsi="Arial" w:cs="Arial" w:hint="eastAsia"/>
          <w:b w:val="0"/>
        </w:rPr>
        <w:t>l</w:t>
      </w:r>
      <w:r w:rsidR="008276B4" w:rsidRPr="008276B4">
        <w:rPr>
          <w:rFonts w:ascii="Arial" w:hAnsi="Arial" w:cs="Arial"/>
          <w:b w:val="0"/>
        </w:rPr>
        <w:t>ing characteristics for Rel-18 ATG</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D80E67"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23377D" w:rsidRPr="0023377D">
        <w:rPr>
          <w:rFonts w:ascii="Arial" w:hAnsi="Arial" w:cs="Arial"/>
          <w:b w:val="0"/>
        </w:rPr>
        <w:t>8.13.4</w:t>
      </w:r>
      <w:r w:rsidR="009B4653">
        <w:rPr>
          <w:rFonts w:ascii="Arial" w:hAnsi="Arial" w:cs="Arial" w:hint="eastAsia"/>
          <w:b w:val="0"/>
        </w:rPr>
        <w:t>.</w:t>
      </w:r>
      <w:r w:rsidR="008276B4">
        <w:rPr>
          <w:rFonts w:ascii="Arial" w:hAnsi="Arial" w:cs="Arial" w:hint="eastAsia"/>
          <w:b w:val="0"/>
        </w:rPr>
        <w:t>4</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w:t>
      </w:r>
      <w:r w:rsidR="00246DF8">
        <w:rPr>
          <w:rFonts w:ascii="Arial" w:hAnsi="Arial" w:cs="Arial" w:hint="eastAsia"/>
          <w:b w:val="0"/>
        </w:rPr>
        <w:t>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6D7D79" w:rsidRDefault="006D7D79" w:rsidP="006D7D79">
      <w:pPr>
        <w:spacing w:before="0" w:after="120"/>
        <w:jc w:val="left"/>
        <w:rPr>
          <w:sz w:val="20"/>
        </w:rPr>
      </w:pPr>
      <w:r>
        <w:rPr>
          <w:rFonts w:hint="eastAsia"/>
          <w:sz w:val="20"/>
        </w:rPr>
        <w:t xml:space="preserve">In RAN4#104bis-e meeting, a way forward </w:t>
      </w:r>
      <w:r w:rsidRPr="00DE43AA">
        <w:rPr>
          <w:sz w:val="20"/>
        </w:rPr>
        <w:t>on NR ATG RRM core requirements</w:t>
      </w:r>
      <w:r w:rsidRPr="00DE43AA">
        <w:rPr>
          <w:rFonts w:hint="eastAsia"/>
          <w:sz w:val="20"/>
        </w:rPr>
        <w:t xml:space="preserve"> </w:t>
      </w:r>
      <w:r>
        <w:rPr>
          <w:rFonts w:hint="eastAsia"/>
          <w:sz w:val="20"/>
        </w:rPr>
        <w:t xml:space="preserve">was approved [1]. </w:t>
      </w:r>
      <w:r>
        <w:rPr>
          <w:sz w:val="20"/>
        </w:rPr>
        <w:t>T</w:t>
      </w:r>
      <w:r>
        <w:rPr>
          <w:rFonts w:hint="eastAsia"/>
          <w:sz w:val="20"/>
        </w:rPr>
        <w:t xml:space="preserve">he issues were discussed and the current states have been summarized in it. </w:t>
      </w:r>
    </w:p>
    <w:p w:rsidR="00281D4A" w:rsidRPr="006D7D79" w:rsidRDefault="006D7D79" w:rsidP="00375653">
      <w:pPr>
        <w:spacing w:before="0" w:after="120"/>
        <w:jc w:val="left"/>
        <w:rPr>
          <w:sz w:val="20"/>
        </w:rPr>
      </w:pPr>
      <w:r>
        <w:rPr>
          <w:sz w:val="20"/>
        </w:rPr>
        <w:t>T</w:t>
      </w:r>
      <w:r>
        <w:rPr>
          <w:rFonts w:hint="eastAsia"/>
          <w:sz w:val="20"/>
        </w:rPr>
        <w:t>his document will further discuss these issues for signalling characteristics requirements and present our understandings and proposals.</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4F6436" w:rsidRDefault="00214851" w:rsidP="004F6436">
      <w:pPr>
        <w:spacing w:before="0" w:after="120"/>
        <w:jc w:val="left"/>
        <w:rPr>
          <w:sz w:val="20"/>
        </w:rPr>
      </w:pPr>
      <w:bookmarkStart w:id="2" w:name="OLE_LINK113"/>
      <w:bookmarkStart w:id="3" w:name="OLE_LINK114"/>
      <w:r>
        <w:rPr>
          <w:sz w:val="20"/>
        </w:rPr>
        <w:t>T</w:t>
      </w:r>
      <w:r>
        <w:rPr>
          <w:rFonts w:hint="eastAsia"/>
          <w:sz w:val="20"/>
        </w:rPr>
        <w:t xml:space="preserve">he issues </w:t>
      </w:r>
      <w:r w:rsidR="00DE43AA">
        <w:rPr>
          <w:rFonts w:hint="eastAsia"/>
          <w:sz w:val="20"/>
        </w:rPr>
        <w:t xml:space="preserve">for </w:t>
      </w:r>
      <w:r w:rsidR="00B52E9A">
        <w:rPr>
          <w:rFonts w:hint="eastAsia"/>
          <w:sz w:val="20"/>
        </w:rPr>
        <w:t>signalling characteristics</w:t>
      </w:r>
      <w:r w:rsidR="00990D3A">
        <w:rPr>
          <w:rFonts w:hint="eastAsia"/>
          <w:sz w:val="20"/>
        </w:rPr>
        <w:t xml:space="preserve"> requirements</w:t>
      </w:r>
      <w:r w:rsidR="00C34A11">
        <w:rPr>
          <w:rFonts w:hint="eastAsia"/>
          <w:sz w:val="20"/>
        </w:rPr>
        <w:t xml:space="preserve"> and states in </w:t>
      </w:r>
      <w:r w:rsidR="004F6436">
        <w:rPr>
          <w:rFonts w:hint="eastAsia"/>
          <w:sz w:val="20"/>
        </w:rPr>
        <w:t xml:space="preserve">the </w:t>
      </w:r>
      <w:r w:rsidR="00C34A11">
        <w:rPr>
          <w:rFonts w:hint="eastAsia"/>
          <w:sz w:val="20"/>
        </w:rPr>
        <w:t>last meeting are extracted as following</w:t>
      </w:r>
      <w:r w:rsidR="004F6436">
        <w:rPr>
          <w:rFonts w:hint="eastAsia"/>
          <w:sz w:val="20"/>
        </w:rPr>
        <w:t>, and we also provide our discussion and proposals.</w:t>
      </w:r>
    </w:p>
    <w:p w:rsidR="00035A34" w:rsidRPr="00B52E9A" w:rsidRDefault="00035A34" w:rsidP="004F6436">
      <w:pPr>
        <w:spacing w:before="0" w:after="120"/>
        <w:jc w:val="left"/>
        <w:rPr>
          <w:sz w:val="20"/>
          <w:u w:val="single"/>
          <w:lang w:eastAsia="ko-KR"/>
        </w:rPr>
      </w:pPr>
      <w:r w:rsidRPr="00B52E9A">
        <w:rPr>
          <w:b/>
          <w:sz w:val="20"/>
          <w:u w:val="single"/>
          <w:lang w:eastAsia="ko-KR"/>
        </w:rPr>
        <w:t>Issue 4-1-1:</w:t>
      </w:r>
      <w:r w:rsidRPr="00B52E9A">
        <w:rPr>
          <w:sz w:val="20"/>
          <w:u w:val="single"/>
          <w:lang w:eastAsia="ko-KR"/>
        </w:rPr>
        <w:t xml:space="preserve"> Radio Link Monitoring</w:t>
      </w:r>
    </w:p>
    <w:p w:rsidR="00035A34" w:rsidRPr="00B52E9A" w:rsidRDefault="00035A34" w:rsidP="00B52E9A">
      <w:pPr>
        <w:pStyle w:val="afa"/>
        <w:widowControl/>
        <w:numPr>
          <w:ilvl w:val="0"/>
          <w:numId w:val="38"/>
        </w:numPr>
        <w:snapToGrid w:val="0"/>
        <w:spacing w:before="0" w:line="240" w:lineRule="auto"/>
        <w:ind w:left="624" w:firstLineChars="0" w:hanging="340"/>
        <w:jc w:val="left"/>
        <w:rPr>
          <w:rFonts w:eastAsia="Calibri"/>
          <w:kern w:val="0"/>
          <w:sz w:val="20"/>
          <w:szCs w:val="20"/>
          <w:lang w:val="x-none" w:eastAsia="ja-JP"/>
        </w:rPr>
      </w:pPr>
      <w:r w:rsidRPr="00B52E9A">
        <w:rPr>
          <w:rFonts w:eastAsia="Calibri"/>
          <w:kern w:val="0"/>
          <w:sz w:val="20"/>
          <w:szCs w:val="20"/>
          <w:lang w:val="x-none" w:eastAsia="ja-JP"/>
        </w:rPr>
        <w:t>For RLM OOS evaluation period.</w:t>
      </w:r>
    </w:p>
    <w:p w:rsidR="00035A34" w:rsidRPr="00B52E9A" w:rsidRDefault="00035A34" w:rsidP="00B52E9A">
      <w:pPr>
        <w:pStyle w:val="afa"/>
        <w:widowControl/>
        <w:numPr>
          <w:ilvl w:val="1"/>
          <w:numId w:val="38"/>
        </w:numPr>
        <w:snapToGrid w:val="0"/>
        <w:spacing w:before="0" w:line="240" w:lineRule="auto"/>
        <w:ind w:left="964" w:firstLineChars="0" w:hanging="340"/>
        <w:jc w:val="left"/>
        <w:rPr>
          <w:rFonts w:eastAsia="Calibri"/>
          <w:kern w:val="0"/>
          <w:sz w:val="20"/>
          <w:szCs w:val="20"/>
          <w:lang w:val="x-none"/>
        </w:rPr>
      </w:pPr>
      <w:r w:rsidRPr="00B52E9A">
        <w:rPr>
          <w:rFonts w:eastAsia="Calibri"/>
          <w:kern w:val="0"/>
          <w:sz w:val="20"/>
          <w:szCs w:val="20"/>
          <w:lang w:val="x-none"/>
        </w:rPr>
        <w:t>Option 1: FFS whether any impact due to channel model assumed for ATG.</w:t>
      </w:r>
    </w:p>
    <w:p w:rsidR="00035A34" w:rsidRPr="00B52E9A" w:rsidRDefault="00035A34" w:rsidP="00B52E9A">
      <w:pPr>
        <w:pStyle w:val="afa"/>
        <w:widowControl/>
        <w:numPr>
          <w:ilvl w:val="1"/>
          <w:numId w:val="38"/>
        </w:numPr>
        <w:snapToGrid w:val="0"/>
        <w:spacing w:before="0" w:line="240" w:lineRule="auto"/>
        <w:ind w:left="964" w:firstLineChars="0" w:hanging="340"/>
        <w:jc w:val="left"/>
        <w:rPr>
          <w:rFonts w:eastAsia="Calibri"/>
          <w:kern w:val="0"/>
          <w:sz w:val="20"/>
          <w:szCs w:val="20"/>
          <w:lang w:val="x-none"/>
        </w:rPr>
      </w:pPr>
      <w:r w:rsidRPr="00B52E9A">
        <w:rPr>
          <w:rFonts w:eastAsia="Calibri"/>
          <w:kern w:val="0"/>
          <w:sz w:val="20"/>
          <w:szCs w:val="20"/>
          <w:lang w:val="x-none"/>
        </w:rPr>
        <w:t>Option 2: Reuse the legacy requirement.</w:t>
      </w:r>
    </w:p>
    <w:p w:rsidR="00035A34" w:rsidRPr="00B52E9A" w:rsidRDefault="00035A34" w:rsidP="00B52E9A">
      <w:pPr>
        <w:pStyle w:val="afa"/>
        <w:widowControl/>
        <w:numPr>
          <w:ilvl w:val="0"/>
          <w:numId w:val="38"/>
        </w:numPr>
        <w:snapToGrid w:val="0"/>
        <w:spacing w:before="0" w:line="240" w:lineRule="auto"/>
        <w:ind w:left="624" w:firstLineChars="0" w:hanging="340"/>
        <w:jc w:val="left"/>
        <w:rPr>
          <w:rFonts w:eastAsia="Calibri"/>
          <w:kern w:val="0"/>
          <w:sz w:val="20"/>
          <w:szCs w:val="20"/>
          <w:lang w:val="x-none" w:eastAsia="ja-JP"/>
        </w:rPr>
      </w:pPr>
      <w:r w:rsidRPr="00B52E9A">
        <w:rPr>
          <w:rFonts w:eastAsia="Calibri"/>
          <w:kern w:val="0"/>
          <w:sz w:val="20"/>
          <w:szCs w:val="20"/>
          <w:lang w:val="x-none" w:eastAsia="ja-JP"/>
        </w:rPr>
        <w:t>For RLM In-sync evaluation period,</w:t>
      </w:r>
    </w:p>
    <w:p w:rsidR="00035A34" w:rsidRPr="00B52E9A" w:rsidRDefault="00035A34" w:rsidP="00B52E9A">
      <w:pPr>
        <w:pStyle w:val="afa"/>
        <w:widowControl/>
        <w:numPr>
          <w:ilvl w:val="1"/>
          <w:numId w:val="38"/>
        </w:numPr>
        <w:snapToGrid w:val="0"/>
        <w:spacing w:before="0" w:line="240" w:lineRule="auto"/>
        <w:ind w:left="964" w:firstLineChars="0" w:hanging="340"/>
        <w:jc w:val="left"/>
        <w:rPr>
          <w:rFonts w:eastAsia="Calibri"/>
          <w:kern w:val="0"/>
          <w:sz w:val="20"/>
          <w:szCs w:val="20"/>
          <w:lang w:val="x-none"/>
        </w:rPr>
      </w:pPr>
      <w:r w:rsidRPr="00B52E9A">
        <w:rPr>
          <w:rFonts w:eastAsia="Calibri"/>
          <w:kern w:val="0"/>
          <w:sz w:val="20"/>
          <w:szCs w:val="20"/>
          <w:lang w:val="x-none"/>
        </w:rPr>
        <w:t>Option 1: FFS</w:t>
      </w:r>
    </w:p>
    <w:p w:rsidR="00035A34" w:rsidRPr="00B52E9A" w:rsidRDefault="00035A34" w:rsidP="00B52E9A">
      <w:pPr>
        <w:pStyle w:val="afa"/>
        <w:widowControl/>
        <w:numPr>
          <w:ilvl w:val="1"/>
          <w:numId w:val="38"/>
        </w:numPr>
        <w:snapToGrid w:val="0"/>
        <w:spacing w:before="0" w:line="240" w:lineRule="auto"/>
        <w:ind w:left="964" w:firstLineChars="0" w:hanging="340"/>
        <w:jc w:val="left"/>
        <w:rPr>
          <w:rFonts w:eastAsia="Calibri"/>
          <w:kern w:val="0"/>
          <w:sz w:val="20"/>
          <w:szCs w:val="20"/>
          <w:lang w:val="x-none"/>
        </w:rPr>
      </w:pPr>
      <w:r w:rsidRPr="00B52E9A">
        <w:rPr>
          <w:rFonts w:eastAsia="Calibri" w:hint="eastAsia"/>
          <w:kern w:val="0"/>
          <w:sz w:val="20"/>
          <w:szCs w:val="20"/>
          <w:lang w:val="x-none"/>
        </w:rPr>
        <w:t>O</w:t>
      </w:r>
      <w:r w:rsidRPr="00B52E9A">
        <w:rPr>
          <w:rFonts w:eastAsia="Calibri"/>
          <w:kern w:val="0"/>
          <w:sz w:val="20"/>
          <w:szCs w:val="20"/>
          <w:lang w:val="x-none"/>
        </w:rPr>
        <w:t>ption 2: Reuse the legacy requirement</w:t>
      </w:r>
    </w:p>
    <w:p w:rsidR="00035A34" w:rsidRPr="00B52E9A" w:rsidRDefault="00035A34" w:rsidP="00B52E9A">
      <w:pPr>
        <w:pStyle w:val="afa"/>
        <w:widowControl/>
        <w:numPr>
          <w:ilvl w:val="0"/>
          <w:numId w:val="38"/>
        </w:numPr>
        <w:snapToGrid w:val="0"/>
        <w:spacing w:before="0" w:line="240" w:lineRule="auto"/>
        <w:ind w:left="624" w:firstLineChars="0" w:hanging="340"/>
        <w:jc w:val="left"/>
        <w:rPr>
          <w:rFonts w:eastAsia="Calibri"/>
          <w:kern w:val="0"/>
          <w:sz w:val="20"/>
          <w:szCs w:val="20"/>
          <w:lang w:val="x-none" w:eastAsia="ja-JP"/>
        </w:rPr>
      </w:pPr>
      <w:r w:rsidRPr="00B52E9A">
        <w:rPr>
          <w:rFonts w:eastAsia="Calibri"/>
          <w:kern w:val="0"/>
          <w:sz w:val="20"/>
          <w:szCs w:val="20"/>
          <w:lang w:val="x-none" w:eastAsia="ja-JP"/>
        </w:rPr>
        <w:t>The conclusion could be revisited after RF group has identified the channel model</w:t>
      </w:r>
    </w:p>
    <w:p w:rsidR="00B52E9A" w:rsidRDefault="00135355" w:rsidP="00B52E9A">
      <w:pPr>
        <w:spacing w:beforeLines="50" w:before="120" w:after="120"/>
        <w:jc w:val="left"/>
        <w:rPr>
          <w:sz w:val="20"/>
        </w:rPr>
      </w:pPr>
      <w:r>
        <w:rPr>
          <w:sz w:val="20"/>
        </w:rPr>
        <w:t>B</w:t>
      </w:r>
      <w:r>
        <w:rPr>
          <w:rFonts w:hint="eastAsia"/>
          <w:sz w:val="20"/>
        </w:rPr>
        <w:t xml:space="preserve">y our understanding, although the ATG UE will be moved faster than TN system, but the distance between BS and UE will be very large and the propagation channel will be more </w:t>
      </w:r>
      <w:r w:rsidRPr="00135355">
        <w:rPr>
          <w:sz w:val="20"/>
        </w:rPr>
        <w:t>stabilization</w:t>
      </w:r>
      <w:r>
        <w:rPr>
          <w:rFonts w:hint="eastAsia"/>
          <w:sz w:val="20"/>
        </w:rPr>
        <w:t xml:space="preserve">. </w:t>
      </w:r>
      <w:r>
        <w:rPr>
          <w:sz w:val="20"/>
        </w:rPr>
        <w:t>T</w:t>
      </w:r>
      <w:r>
        <w:rPr>
          <w:rFonts w:hint="eastAsia"/>
          <w:sz w:val="20"/>
        </w:rPr>
        <w:t xml:space="preserve">he RLM requirements is not seen any </w:t>
      </w:r>
      <w:r>
        <w:rPr>
          <w:sz w:val="20"/>
        </w:rPr>
        <w:t>enhancement</w:t>
      </w:r>
      <w:r>
        <w:rPr>
          <w:rFonts w:hint="eastAsia"/>
          <w:sz w:val="20"/>
        </w:rPr>
        <w:t>. Legacy requirements for RLM can be reused for ATG UE.</w:t>
      </w:r>
    </w:p>
    <w:p w:rsidR="00B52E9A" w:rsidRDefault="00B52E9A" w:rsidP="00B52E9A">
      <w:pPr>
        <w:spacing w:before="0" w:after="120"/>
        <w:jc w:val="left"/>
        <w:rPr>
          <w:b/>
          <w:sz w:val="20"/>
        </w:rPr>
      </w:pPr>
      <w:r w:rsidRPr="006314FB">
        <w:rPr>
          <w:rFonts w:hint="eastAsia"/>
          <w:b/>
          <w:sz w:val="20"/>
        </w:rPr>
        <w:t>Proposal 1:</w:t>
      </w:r>
      <w:r w:rsidR="00135355" w:rsidRPr="00135355">
        <w:t xml:space="preserve"> </w:t>
      </w:r>
      <w:r w:rsidR="00135355" w:rsidRPr="00135355">
        <w:rPr>
          <w:b/>
          <w:sz w:val="20"/>
        </w:rPr>
        <w:t>Legacy requirements for RLM can be reused for ATG UE.</w:t>
      </w:r>
    </w:p>
    <w:p w:rsidR="00B078B7" w:rsidRPr="00B078B7" w:rsidRDefault="00B078B7" w:rsidP="00B52E9A">
      <w:pPr>
        <w:spacing w:before="0" w:after="120"/>
        <w:jc w:val="left"/>
        <w:rPr>
          <w:sz w:val="20"/>
        </w:rPr>
      </w:pPr>
    </w:p>
    <w:p w:rsidR="00135355" w:rsidRPr="00135355" w:rsidRDefault="00135355" w:rsidP="00135355">
      <w:pPr>
        <w:snapToGrid w:val="0"/>
        <w:spacing w:beforeLines="20" w:before="48" w:afterLines="20" w:after="48"/>
        <w:rPr>
          <w:sz w:val="20"/>
          <w:u w:val="single"/>
          <w:lang w:eastAsia="ko-KR"/>
        </w:rPr>
      </w:pPr>
      <w:r w:rsidRPr="00135355">
        <w:rPr>
          <w:b/>
          <w:sz w:val="20"/>
          <w:u w:val="single"/>
          <w:lang w:eastAsia="ko-KR"/>
        </w:rPr>
        <w:t>Issue 4-1-2:</w:t>
      </w:r>
      <w:r w:rsidRPr="00135355">
        <w:rPr>
          <w:sz w:val="20"/>
          <w:u w:val="single"/>
          <w:lang w:eastAsia="ko-KR"/>
        </w:rPr>
        <w:t xml:space="preserve"> Link Recovery Procedure</w:t>
      </w:r>
    </w:p>
    <w:p w:rsidR="00135355" w:rsidRPr="00135355" w:rsidRDefault="00135355" w:rsidP="00135355">
      <w:pPr>
        <w:pStyle w:val="afa"/>
        <w:widowControl/>
        <w:numPr>
          <w:ilvl w:val="0"/>
          <w:numId w:val="38"/>
        </w:numPr>
        <w:snapToGrid w:val="0"/>
        <w:spacing w:before="0" w:line="240" w:lineRule="auto"/>
        <w:ind w:left="624" w:firstLineChars="0" w:hanging="340"/>
        <w:jc w:val="left"/>
        <w:rPr>
          <w:rFonts w:eastAsia="Calibri"/>
          <w:kern w:val="0"/>
          <w:sz w:val="20"/>
          <w:szCs w:val="20"/>
          <w:lang w:val="x-none" w:eastAsia="ja-JP"/>
        </w:rPr>
      </w:pPr>
      <w:r w:rsidRPr="00135355">
        <w:rPr>
          <w:rFonts w:eastAsia="Calibri"/>
          <w:kern w:val="0"/>
          <w:sz w:val="20"/>
          <w:szCs w:val="20"/>
          <w:lang w:val="x-none" w:eastAsia="ja-JP"/>
        </w:rPr>
        <w:t>For BFD evaluation period, reuse the legacy requirement.</w:t>
      </w:r>
    </w:p>
    <w:p w:rsidR="00135355" w:rsidRPr="00135355" w:rsidRDefault="00135355" w:rsidP="00135355">
      <w:pPr>
        <w:pStyle w:val="afa"/>
        <w:widowControl/>
        <w:numPr>
          <w:ilvl w:val="1"/>
          <w:numId w:val="38"/>
        </w:numPr>
        <w:snapToGrid w:val="0"/>
        <w:spacing w:before="0" w:line="240" w:lineRule="auto"/>
        <w:ind w:left="964" w:firstLineChars="0" w:hanging="340"/>
        <w:jc w:val="left"/>
        <w:rPr>
          <w:rFonts w:eastAsia="Calibri"/>
          <w:kern w:val="0"/>
          <w:sz w:val="20"/>
          <w:szCs w:val="20"/>
          <w:lang w:val="x-none"/>
        </w:rPr>
      </w:pPr>
      <w:r w:rsidRPr="00135355">
        <w:rPr>
          <w:rFonts w:eastAsia="Calibri"/>
          <w:kern w:val="0"/>
          <w:sz w:val="20"/>
          <w:szCs w:val="20"/>
          <w:lang w:val="x-none"/>
        </w:rPr>
        <w:t>Option 1: FFS whether there is any impact due to ATG channel model</w:t>
      </w:r>
    </w:p>
    <w:p w:rsidR="00135355" w:rsidRPr="00135355" w:rsidRDefault="00135355" w:rsidP="00135355">
      <w:pPr>
        <w:pStyle w:val="afa"/>
        <w:widowControl/>
        <w:numPr>
          <w:ilvl w:val="1"/>
          <w:numId w:val="38"/>
        </w:numPr>
        <w:snapToGrid w:val="0"/>
        <w:spacing w:before="0" w:line="240" w:lineRule="auto"/>
        <w:ind w:left="964" w:firstLineChars="0" w:hanging="340"/>
        <w:jc w:val="left"/>
        <w:rPr>
          <w:rFonts w:eastAsia="Calibri"/>
          <w:kern w:val="0"/>
          <w:sz w:val="20"/>
          <w:szCs w:val="20"/>
          <w:lang w:val="x-none"/>
        </w:rPr>
      </w:pPr>
      <w:r w:rsidRPr="00135355">
        <w:rPr>
          <w:rFonts w:eastAsia="Calibri"/>
          <w:kern w:val="0"/>
          <w:sz w:val="20"/>
          <w:szCs w:val="20"/>
          <w:lang w:val="x-none"/>
        </w:rPr>
        <w:t>Option 2: Reuse the legacy requirement</w:t>
      </w:r>
    </w:p>
    <w:p w:rsidR="00135355" w:rsidRPr="00135355" w:rsidRDefault="00135355" w:rsidP="00135355">
      <w:pPr>
        <w:pStyle w:val="afa"/>
        <w:widowControl/>
        <w:numPr>
          <w:ilvl w:val="0"/>
          <w:numId w:val="38"/>
        </w:numPr>
        <w:snapToGrid w:val="0"/>
        <w:spacing w:before="0" w:line="240" w:lineRule="auto"/>
        <w:ind w:left="624" w:firstLineChars="0" w:hanging="340"/>
        <w:jc w:val="left"/>
        <w:rPr>
          <w:rFonts w:eastAsia="Calibri"/>
          <w:kern w:val="0"/>
          <w:sz w:val="20"/>
          <w:szCs w:val="20"/>
          <w:lang w:val="x-none" w:eastAsia="ja-JP"/>
        </w:rPr>
      </w:pPr>
      <w:r w:rsidRPr="00135355">
        <w:rPr>
          <w:rFonts w:eastAsia="Calibri"/>
          <w:kern w:val="0"/>
          <w:sz w:val="20"/>
          <w:szCs w:val="20"/>
          <w:lang w:val="x-none" w:eastAsia="ja-JP"/>
        </w:rPr>
        <w:t>For CBD evaluation period,</w:t>
      </w:r>
    </w:p>
    <w:p w:rsidR="00135355" w:rsidRPr="00135355" w:rsidRDefault="00135355" w:rsidP="00135355">
      <w:pPr>
        <w:pStyle w:val="afa"/>
        <w:widowControl/>
        <w:numPr>
          <w:ilvl w:val="1"/>
          <w:numId w:val="38"/>
        </w:numPr>
        <w:snapToGrid w:val="0"/>
        <w:spacing w:before="0" w:line="240" w:lineRule="auto"/>
        <w:ind w:left="964" w:firstLineChars="0" w:hanging="340"/>
        <w:jc w:val="left"/>
        <w:rPr>
          <w:rFonts w:eastAsia="Calibri"/>
          <w:kern w:val="0"/>
          <w:sz w:val="20"/>
          <w:szCs w:val="20"/>
          <w:lang w:val="x-none"/>
        </w:rPr>
      </w:pPr>
      <w:r w:rsidRPr="00135355">
        <w:rPr>
          <w:rFonts w:eastAsia="Calibri"/>
          <w:kern w:val="0"/>
          <w:sz w:val="20"/>
          <w:szCs w:val="20"/>
          <w:lang w:val="x-none"/>
        </w:rPr>
        <w:t>Option 1: FFS (CMCC, ZTE, LGE)</w:t>
      </w:r>
    </w:p>
    <w:p w:rsidR="00135355" w:rsidRPr="00135355" w:rsidRDefault="00135355" w:rsidP="00135355">
      <w:pPr>
        <w:pStyle w:val="afa"/>
        <w:widowControl/>
        <w:numPr>
          <w:ilvl w:val="1"/>
          <w:numId w:val="38"/>
        </w:numPr>
        <w:snapToGrid w:val="0"/>
        <w:spacing w:before="0" w:line="240" w:lineRule="auto"/>
        <w:ind w:left="964" w:firstLineChars="0" w:hanging="340"/>
        <w:jc w:val="left"/>
        <w:rPr>
          <w:rFonts w:eastAsia="Calibri"/>
          <w:kern w:val="0"/>
          <w:sz w:val="20"/>
          <w:szCs w:val="20"/>
          <w:lang w:val="x-none"/>
        </w:rPr>
      </w:pPr>
      <w:r w:rsidRPr="00135355">
        <w:rPr>
          <w:rFonts w:eastAsia="Calibri" w:hint="eastAsia"/>
          <w:kern w:val="0"/>
          <w:sz w:val="20"/>
          <w:szCs w:val="20"/>
          <w:lang w:val="x-none"/>
        </w:rPr>
        <w:t>O</w:t>
      </w:r>
      <w:r w:rsidRPr="00135355">
        <w:rPr>
          <w:rFonts w:eastAsia="Calibri"/>
          <w:kern w:val="0"/>
          <w:sz w:val="20"/>
          <w:szCs w:val="20"/>
          <w:lang w:val="x-none"/>
        </w:rPr>
        <w:t>ption 2: Reuse the legacy requirement (HW, ZTE, CATT)</w:t>
      </w:r>
    </w:p>
    <w:p w:rsidR="00135355" w:rsidRPr="00135355" w:rsidRDefault="00135355" w:rsidP="00135355">
      <w:pPr>
        <w:pStyle w:val="afa"/>
        <w:widowControl/>
        <w:numPr>
          <w:ilvl w:val="0"/>
          <w:numId w:val="38"/>
        </w:numPr>
        <w:snapToGrid w:val="0"/>
        <w:spacing w:before="0" w:line="240" w:lineRule="auto"/>
        <w:ind w:left="624" w:firstLineChars="0" w:hanging="340"/>
        <w:jc w:val="left"/>
        <w:rPr>
          <w:rFonts w:eastAsia="Calibri"/>
          <w:kern w:val="0"/>
          <w:sz w:val="20"/>
          <w:szCs w:val="20"/>
          <w:lang w:val="x-none" w:eastAsia="ja-JP"/>
        </w:rPr>
      </w:pPr>
      <w:r w:rsidRPr="00135355">
        <w:rPr>
          <w:rFonts w:eastAsia="Calibri"/>
          <w:kern w:val="0"/>
          <w:sz w:val="20"/>
          <w:szCs w:val="20"/>
          <w:lang w:val="x-none" w:eastAsia="ja-JP"/>
        </w:rPr>
        <w:t>The conclusion could be revisited after RF group has identified the channel model</w:t>
      </w:r>
    </w:p>
    <w:p w:rsidR="00135355" w:rsidRDefault="00135355" w:rsidP="00135355">
      <w:pPr>
        <w:spacing w:beforeLines="50" w:before="120" w:after="120"/>
        <w:jc w:val="left"/>
        <w:rPr>
          <w:sz w:val="20"/>
        </w:rPr>
      </w:pPr>
      <w:r>
        <w:rPr>
          <w:rFonts w:hint="eastAsia"/>
          <w:sz w:val="20"/>
        </w:rPr>
        <w:t>We support legacy requirements for link recovery procedure can be reused for ATG UE.</w:t>
      </w:r>
    </w:p>
    <w:p w:rsidR="00135355" w:rsidRPr="006314FB" w:rsidRDefault="00135355" w:rsidP="00135355">
      <w:pPr>
        <w:spacing w:before="0" w:after="120"/>
        <w:jc w:val="left"/>
        <w:rPr>
          <w:b/>
          <w:sz w:val="20"/>
        </w:rPr>
      </w:pPr>
      <w:r w:rsidRPr="006314FB">
        <w:rPr>
          <w:rFonts w:hint="eastAsia"/>
          <w:b/>
          <w:sz w:val="20"/>
        </w:rPr>
        <w:t xml:space="preserve">Proposal </w:t>
      </w:r>
      <w:r w:rsidR="00B078B7">
        <w:rPr>
          <w:rFonts w:hint="eastAsia"/>
          <w:b/>
          <w:sz w:val="20"/>
        </w:rPr>
        <w:t>2</w:t>
      </w:r>
      <w:r w:rsidRPr="006314FB">
        <w:rPr>
          <w:rFonts w:hint="eastAsia"/>
          <w:b/>
          <w:sz w:val="20"/>
        </w:rPr>
        <w:t>:</w:t>
      </w:r>
      <w:r w:rsidRPr="00135355">
        <w:t xml:space="preserve"> </w:t>
      </w:r>
      <w:r w:rsidRPr="00135355">
        <w:rPr>
          <w:b/>
          <w:sz w:val="20"/>
        </w:rPr>
        <w:t>Legacy requirements for link recovery procedure can be reused for ATG UE.</w:t>
      </w:r>
    </w:p>
    <w:p w:rsidR="00135355" w:rsidRPr="00602BA2" w:rsidRDefault="00135355" w:rsidP="00B52E9A">
      <w:pPr>
        <w:spacing w:before="0" w:after="120"/>
        <w:jc w:val="left"/>
        <w:rPr>
          <w:sz w:val="20"/>
        </w:rPr>
      </w:pPr>
    </w:p>
    <w:p w:rsidR="00B078B7" w:rsidRPr="00B078B7" w:rsidRDefault="00B078B7" w:rsidP="00B078B7">
      <w:pPr>
        <w:snapToGrid w:val="0"/>
        <w:spacing w:beforeLines="20" w:before="48" w:afterLines="20" w:after="48"/>
        <w:rPr>
          <w:sz w:val="20"/>
          <w:u w:val="single"/>
          <w:lang w:eastAsia="ko-KR"/>
        </w:rPr>
      </w:pPr>
      <w:r w:rsidRPr="00B078B7">
        <w:rPr>
          <w:b/>
          <w:sz w:val="20"/>
          <w:u w:val="single"/>
          <w:lang w:eastAsia="ko-KR"/>
        </w:rPr>
        <w:t>Issue 4-1-3:</w:t>
      </w:r>
      <w:r w:rsidRPr="00B078B7">
        <w:rPr>
          <w:sz w:val="20"/>
          <w:u w:val="single"/>
          <w:lang w:eastAsia="ko-KR"/>
        </w:rPr>
        <w:t xml:space="preserve"> Active BWP switching delay</w:t>
      </w:r>
    </w:p>
    <w:p w:rsidR="00B078B7" w:rsidRPr="00B078B7" w:rsidRDefault="00B078B7" w:rsidP="00B078B7">
      <w:pPr>
        <w:pStyle w:val="afa"/>
        <w:widowControl/>
        <w:numPr>
          <w:ilvl w:val="0"/>
          <w:numId w:val="38"/>
        </w:numPr>
        <w:snapToGrid w:val="0"/>
        <w:spacing w:before="0" w:line="240" w:lineRule="auto"/>
        <w:ind w:left="624" w:firstLineChars="0" w:hanging="340"/>
        <w:jc w:val="left"/>
        <w:rPr>
          <w:rFonts w:eastAsia="Calibri"/>
          <w:kern w:val="0"/>
          <w:sz w:val="20"/>
          <w:szCs w:val="20"/>
          <w:lang w:val="x-none" w:eastAsia="ja-JP"/>
        </w:rPr>
      </w:pPr>
      <w:r w:rsidRPr="00B078B7">
        <w:rPr>
          <w:rFonts w:eastAsia="Calibri"/>
          <w:kern w:val="0"/>
          <w:sz w:val="20"/>
          <w:szCs w:val="20"/>
          <w:lang w:val="x-none" w:eastAsia="ja-JP"/>
        </w:rPr>
        <w:t>No need to define interruptions due to active BWP in section 8.2 of TS 38.133 for NR serving cells for EN-DC and NE-DC.</w:t>
      </w:r>
    </w:p>
    <w:p w:rsidR="00B078B7" w:rsidRPr="00B078B7" w:rsidRDefault="00B078B7" w:rsidP="00B078B7">
      <w:pPr>
        <w:pStyle w:val="afa"/>
        <w:widowControl/>
        <w:numPr>
          <w:ilvl w:val="0"/>
          <w:numId w:val="38"/>
        </w:numPr>
        <w:snapToGrid w:val="0"/>
        <w:spacing w:before="0" w:line="240" w:lineRule="auto"/>
        <w:ind w:left="624" w:firstLineChars="0" w:hanging="340"/>
        <w:jc w:val="left"/>
        <w:rPr>
          <w:rFonts w:eastAsia="Calibri"/>
          <w:kern w:val="0"/>
          <w:sz w:val="20"/>
          <w:szCs w:val="20"/>
          <w:lang w:val="x-none" w:eastAsia="ja-JP"/>
        </w:rPr>
      </w:pPr>
      <w:r w:rsidRPr="00B078B7">
        <w:rPr>
          <w:rFonts w:eastAsia="Calibri"/>
          <w:kern w:val="0"/>
          <w:sz w:val="20"/>
          <w:szCs w:val="20"/>
          <w:lang w:val="x-none" w:eastAsia="ja-JP"/>
        </w:rPr>
        <w:t>FFS:</w:t>
      </w:r>
    </w:p>
    <w:p w:rsidR="00B078B7" w:rsidRPr="00B078B7" w:rsidRDefault="00B078B7" w:rsidP="00B078B7">
      <w:pPr>
        <w:pStyle w:val="afa"/>
        <w:widowControl/>
        <w:numPr>
          <w:ilvl w:val="1"/>
          <w:numId w:val="38"/>
        </w:numPr>
        <w:snapToGrid w:val="0"/>
        <w:spacing w:before="0" w:line="240" w:lineRule="auto"/>
        <w:ind w:left="964" w:firstLineChars="0" w:hanging="340"/>
        <w:jc w:val="left"/>
        <w:rPr>
          <w:rFonts w:eastAsia="Calibri"/>
          <w:kern w:val="0"/>
          <w:sz w:val="20"/>
          <w:szCs w:val="20"/>
          <w:lang w:val="x-none"/>
        </w:rPr>
      </w:pPr>
      <w:r w:rsidRPr="00B078B7">
        <w:rPr>
          <w:rFonts w:eastAsia="Calibri"/>
          <w:kern w:val="0"/>
          <w:sz w:val="20"/>
          <w:szCs w:val="20"/>
          <w:lang w:val="x-none"/>
        </w:rPr>
        <w:t>Option 1: Reuse the legacy Active BWP switching delay requirement for ATG. (CMCC, CATT, ZTE, HW)</w:t>
      </w:r>
    </w:p>
    <w:p w:rsidR="00B078B7" w:rsidRPr="00B078B7" w:rsidRDefault="00B078B7" w:rsidP="00B078B7">
      <w:pPr>
        <w:pStyle w:val="afa"/>
        <w:widowControl/>
        <w:numPr>
          <w:ilvl w:val="1"/>
          <w:numId w:val="38"/>
        </w:numPr>
        <w:snapToGrid w:val="0"/>
        <w:spacing w:before="0" w:line="240" w:lineRule="auto"/>
        <w:ind w:left="964" w:firstLineChars="0" w:hanging="340"/>
        <w:jc w:val="left"/>
        <w:rPr>
          <w:rFonts w:eastAsia="Calibri"/>
          <w:kern w:val="0"/>
          <w:sz w:val="20"/>
          <w:szCs w:val="20"/>
          <w:lang w:val="x-none"/>
        </w:rPr>
      </w:pPr>
      <w:r w:rsidRPr="00B078B7">
        <w:rPr>
          <w:rFonts w:eastAsia="Calibri" w:hint="eastAsia"/>
          <w:kern w:val="0"/>
          <w:sz w:val="20"/>
          <w:szCs w:val="20"/>
          <w:lang w:val="x-none"/>
        </w:rPr>
        <w:lastRenderedPageBreak/>
        <w:t>O</w:t>
      </w:r>
      <w:r w:rsidRPr="00B078B7">
        <w:rPr>
          <w:rFonts w:eastAsia="Calibri"/>
          <w:kern w:val="0"/>
          <w:sz w:val="20"/>
          <w:szCs w:val="20"/>
          <w:lang w:val="x-none"/>
        </w:rPr>
        <w:t>ption 2: Existing active BWP switching requirements (excluding simultaneous and non-simultaneous BWP switching delay on multiple CCs) defined are reused for ATG. (Ericsson)</w:t>
      </w:r>
    </w:p>
    <w:p w:rsidR="00B078B7" w:rsidRDefault="00B078B7" w:rsidP="00B078B7">
      <w:pPr>
        <w:spacing w:beforeLines="50" w:before="120" w:after="120"/>
        <w:jc w:val="left"/>
        <w:rPr>
          <w:sz w:val="20"/>
        </w:rPr>
      </w:pPr>
      <w:r>
        <w:rPr>
          <w:rFonts w:hint="eastAsia"/>
          <w:sz w:val="20"/>
        </w:rPr>
        <w:t>We support r</w:t>
      </w:r>
      <w:r w:rsidR="005B1AE1">
        <w:rPr>
          <w:sz w:val="20"/>
        </w:rPr>
        <w:t xml:space="preserve">euse the legacy </w:t>
      </w:r>
      <w:r w:rsidR="005B1AE1">
        <w:rPr>
          <w:rFonts w:hint="eastAsia"/>
          <w:sz w:val="20"/>
        </w:rPr>
        <w:t>a</w:t>
      </w:r>
      <w:r w:rsidRPr="00B078B7">
        <w:rPr>
          <w:sz w:val="20"/>
        </w:rPr>
        <w:t>ctive BWP switching delay requirement for ATG.</w:t>
      </w:r>
      <w:r>
        <w:rPr>
          <w:rFonts w:hint="eastAsia"/>
          <w:sz w:val="20"/>
        </w:rPr>
        <w:t xml:space="preserve"> </w:t>
      </w:r>
      <w:r>
        <w:rPr>
          <w:sz w:val="20"/>
        </w:rPr>
        <w:t>Meanwhile</w:t>
      </w:r>
      <w:r>
        <w:rPr>
          <w:rFonts w:hint="eastAsia"/>
          <w:sz w:val="20"/>
        </w:rPr>
        <w:t xml:space="preserve"> we agree that EN-DC, NE-DC, DC and CA can not considered in Rel-18</w:t>
      </w:r>
    </w:p>
    <w:p w:rsidR="00B078B7" w:rsidRPr="006314FB" w:rsidRDefault="00B078B7" w:rsidP="00B078B7">
      <w:pPr>
        <w:spacing w:before="0" w:after="120"/>
        <w:jc w:val="left"/>
        <w:rPr>
          <w:b/>
          <w:sz w:val="20"/>
        </w:rPr>
      </w:pPr>
      <w:r w:rsidRPr="006314FB">
        <w:rPr>
          <w:rFonts w:hint="eastAsia"/>
          <w:b/>
          <w:sz w:val="20"/>
        </w:rPr>
        <w:t xml:space="preserve">Proposal </w:t>
      </w:r>
      <w:r>
        <w:rPr>
          <w:rFonts w:hint="eastAsia"/>
          <w:b/>
          <w:sz w:val="20"/>
        </w:rPr>
        <w:t>3</w:t>
      </w:r>
      <w:r w:rsidRPr="006314FB">
        <w:rPr>
          <w:rFonts w:hint="eastAsia"/>
          <w:b/>
          <w:sz w:val="20"/>
        </w:rPr>
        <w:t>:</w:t>
      </w:r>
      <w:r w:rsidRPr="00135355">
        <w:t xml:space="preserve"> </w:t>
      </w:r>
      <w:r>
        <w:rPr>
          <w:rFonts w:hint="eastAsia"/>
          <w:b/>
          <w:sz w:val="20"/>
        </w:rPr>
        <w:t>Re</w:t>
      </w:r>
      <w:r w:rsidR="005B1AE1">
        <w:rPr>
          <w:b/>
          <w:sz w:val="20"/>
        </w:rPr>
        <w:t xml:space="preserve">use the legacy </w:t>
      </w:r>
      <w:r w:rsidR="005B1AE1">
        <w:rPr>
          <w:rFonts w:hint="eastAsia"/>
          <w:b/>
          <w:sz w:val="20"/>
        </w:rPr>
        <w:t>a</w:t>
      </w:r>
      <w:r w:rsidRPr="00B078B7">
        <w:rPr>
          <w:b/>
          <w:sz w:val="20"/>
        </w:rPr>
        <w:t xml:space="preserve">ctive BWP switching delay requirement </w:t>
      </w:r>
      <w:r>
        <w:rPr>
          <w:rFonts w:hint="eastAsia"/>
          <w:b/>
          <w:sz w:val="20"/>
        </w:rPr>
        <w:t xml:space="preserve">of single carrier </w:t>
      </w:r>
      <w:r w:rsidRPr="00B078B7">
        <w:rPr>
          <w:b/>
          <w:sz w:val="20"/>
        </w:rPr>
        <w:t xml:space="preserve">for </w:t>
      </w:r>
      <w:r>
        <w:rPr>
          <w:rFonts w:hint="eastAsia"/>
          <w:b/>
          <w:sz w:val="20"/>
        </w:rPr>
        <w:t xml:space="preserve">Rel-18 </w:t>
      </w:r>
      <w:r w:rsidRPr="00B078B7">
        <w:rPr>
          <w:b/>
          <w:sz w:val="20"/>
        </w:rPr>
        <w:t>ATG.</w:t>
      </w:r>
    </w:p>
    <w:p w:rsidR="00B078B7" w:rsidRPr="00602BA2" w:rsidRDefault="00B078B7" w:rsidP="00B078B7">
      <w:pPr>
        <w:spacing w:before="0" w:after="120"/>
        <w:jc w:val="left"/>
        <w:rPr>
          <w:sz w:val="20"/>
        </w:rPr>
      </w:pPr>
    </w:p>
    <w:p w:rsidR="00B078B7" w:rsidRPr="00B078B7" w:rsidRDefault="00B078B7" w:rsidP="00B078B7">
      <w:pPr>
        <w:snapToGrid w:val="0"/>
        <w:spacing w:beforeLines="20" w:before="48" w:afterLines="20" w:after="48"/>
        <w:rPr>
          <w:sz w:val="20"/>
          <w:u w:val="single"/>
          <w:lang w:eastAsia="ko-KR"/>
        </w:rPr>
      </w:pPr>
      <w:r w:rsidRPr="00B078B7">
        <w:rPr>
          <w:b/>
          <w:sz w:val="20"/>
          <w:u w:val="single"/>
          <w:lang w:eastAsia="ko-KR"/>
        </w:rPr>
        <w:t>Issue 4-1-4:</w:t>
      </w:r>
      <w:r w:rsidRPr="00B078B7">
        <w:rPr>
          <w:sz w:val="20"/>
          <w:u w:val="single"/>
          <w:lang w:eastAsia="ko-KR"/>
        </w:rPr>
        <w:t xml:space="preserve"> L1-RSRP measurement requirements</w:t>
      </w:r>
    </w:p>
    <w:p w:rsidR="00B078B7" w:rsidRPr="00B078B7" w:rsidRDefault="00B078B7" w:rsidP="00B078B7">
      <w:pPr>
        <w:pStyle w:val="afa"/>
        <w:widowControl/>
        <w:numPr>
          <w:ilvl w:val="0"/>
          <w:numId w:val="38"/>
        </w:numPr>
        <w:snapToGrid w:val="0"/>
        <w:spacing w:before="0" w:line="240" w:lineRule="auto"/>
        <w:ind w:left="624" w:firstLineChars="0" w:hanging="340"/>
        <w:jc w:val="left"/>
        <w:rPr>
          <w:rFonts w:eastAsia="Calibri"/>
          <w:kern w:val="0"/>
          <w:sz w:val="20"/>
          <w:szCs w:val="20"/>
          <w:lang w:val="x-none" w:eastAsia="ja-JP"/>
        </w:rPr>
      </w:pPr>
      <w:r w:rsidRPr="00B078B7">
        <w:rPr>
          <w:rFonts w:eastAsia="Calibri"/>
          <w:kern w:val="0"/>
          <w:sz w:val="20"/>
          <w:szCs w:val="20"/>
          <w:lang w:val="x-none" w:eastAsia="ja-JP"/>
        </w:rPr>
        <w:t>Reuse the legacy L1-RSRP measurement requirements for ATG. The conclusion could be revisited after RF group has identified the channel model.</w:t>
      </w:r>
    </w:p>
    <w:p w:rsidR="00CE370B" w:rsidRDefault="00CE370B" w:rsidP="00CE370B">
      <w:pPr>
        <w:spacing w:beforeLines="50" w:before="120" w:after="120"/>
        <w:jc w:val="left"/>
        <w:rPr>
          <w:sz w:val="20"/>
        </w:rPr>
      </w:pPr>
      <w:r>
        <w:rPr>
          <w:rFonts w:hint="eastAsia"/>
          <w:sz w:val="20"/>
        </w:rPr>
        <w:t>We support r</w:t>
      </w:r>
      <w:r w:rsidRPr="00B078B7">
        <w:rPr>
          <w:sz w:val="20"/>
        </w:rPr>
        <w:t xml:space="preserve">euse the legacy </w:t>
      </w:r>
      <w:r w:rsidRPr="00CE370B">
        <w:rPr>
          <w:sz w:val="20"/>
        </w:rPr>
        <w:t>L1-RSRP measurement requirements for ATG.</w:t>
      </w:r>
    </w:p>
    <w:p w:rsidR="00CE370B" w:rsidRPr="006314FB" w:rsidRDefault="00CE370B" w:rsidP="00CE370B">
      <w:pPr>
        <w:spacing w:before="0" w:after="120"/>
        <w:jc w:val="left"/>
        <w:rPr>
          <w:b/>
          <w:sz w:val="20"/>
        </w:rPr>
      </w:pPr>
      <w:r w:rsidRPr="006314FB">
        <w:rPr>
          <w:rFonts w:hint="eastAsia"/>
          <w:b/>
          <w:sz w:val="20"/>
        </w:rPr>
        <w:t xml:space="preserve">Proposal </w:t>
      </w:r>
      <w:r>
        <w:rPr>
          <w:rFonts w:hint="eastAsia"/>
          <w:b/>
          <w:sz w:val="20"/>
        </w:rPr>
        <w:t>4</w:t>
      </w:r>
      <w:r w:rsidRPr="006314FB">
        <w:rPr>
          <w:rFonts w:hint="eastAsia"/>
          <w:b/>
          <w:sz w:val="20"/>
        </w:rPr>
        <w:t>:</w:t>
      </w:r>
      <w:r w:rsidRPr="00135355">
        <w:t xml:space="preserve"> </w:t>
      </w:r>
      <w:r w:rsidRPr="00CE370B">
        <w:rPr>
          <w:b/>
          <w:sz w:val="20"/>
        </w:rPr>
        <w:t>Reuse the legacy L1-RSRP measurement requirements for ATG.</w:t>
      </w:r>
    </w:p>
    <w:p w:rsidR="00B078B7" w:rsidRPr="00602BA2" w:rsidRDefault="00B078B7" w:rsidP="00B52E9A">
      <w:pPr>
        <w:spacing w:before="0" w:after="120"/>
        <w:jc w:val="left"/>
        <w:rPr>
          <w:sz w:val="20"/>
        </w:rPr>
      </w:pPr>
    </w:p>
    <w:p w:rsidR="00CE370B" w:rsidRPr="00CE370B" w:rsidRDefault="00CE370B" w:rsidP="00CE370B">
      <w:pPr>
        <w:snapToGrid w:val="0"/>
        <w:spacing w:beforeLines="20" w:before="48" w:afterLines="20" w:after="48"/>
        <w:rPr>
          <w:sz w:val="20"/>
          <w:u w:val="single"/>
          <w:lang w:eastAsia="ko-KR"/>
        </w:rPr>
      </w:pPr>
      <w:r w:rsidRPr="00CE370B">
        <w:rPr>
          <w:b/>
          <w:sz w:val="20"/>
          <w:u w:val="single"/>
          <w:lang w:eastAsia="ko-KR"/>
        </w:rPr>
        <w:t>Issue 4-1-</w:t>
      </w:r>
      <w:r w:rsidRPr="00CE370B">
        <w:rPr>
          <w:rFonts w:hint="eastAsia"/>
          <w:b/>
          <w:sz w:val="20"/>
          <w:u w:val="single"/>
          <w:lang w:eastAsia="ko-KR"/>
        </w:rPr>
        <w:t>5</w:t>
      </w:r>
      <w:r w:rsidRPr="00CE370B">
        <w:rPr>
          <w:b/>
          <w:sz w:val="20"/>
          <w:u w:val="single"/>
          <w:lang w:eastAsia="ko-KR"/>
        </w:rPr>
        <w:t>:</w:t>
      </w:r>
      <w:r w:rsidRPr="00CE370B">
        <w:rPr>
          <w:sz w:val="20"/>
          <w:u w:val="single"/>
          <w:lang w:eastAsia="ko-KR"/>
        </w:rPr>
        <w:t xml:space="preserve"> Active TCI state switching delay</w:t>
      </w:r>
      <w:r w:rsidRPr="00CE370B">
        <w:rPr>
          <w:rFonts w:hint="eastAsia"/>
          <w:sz w:val="20"/>
          <w:u w:val="single"/>
          <w:lang w:eastAsia="ko-KR"/>
        </w:rPr>
        <w:t>,</w:t>
      </w:r>
      <w:r w:rsidRPr="00CE370B">
        <w:rPr>
          <w:sz w:val="20"/>
          <w:u w:val="single"/>
          <w:lang w:eastAsia="ko-KR"/>
        </w:rPr>
        <w:t xml:space="preserve"> Active downlink TCI state switching delay for unified TCI, Active uplink TCI state switching delay for unified TCI</w:t>
      </w:r>
    </w:p>
    <w:p w:rsidR="00CE370B" w:rsidRPr="00CE370B" w:rsidRDefault="00CE370B" w:rsidP="00CE370B">
      <w:pPr>
        <w:pStyle w:val="afa"/>
        <w:widowControl/>
        <w:numPr>
          <w:ilvl w:val="0"/>
          <w:numId w:val="38"/>
        </w:numPr>
        <w:snapToGrid w:val="0"/>
        <w:spacing w:before="0" w:line="240" w:lineRule="auto"/>
        <w:ind w:left="624" w:firstLineChars="0" w:hanging="340"/>
        <w:jc w:val="left"/>
        <w:rPr>
          <w:rFonts w:eastAsia="Calibri"/>
          <w:kern w:val="0"/>
          <w:sz w:val="20"/>
          <w:szCs w:val="20"/>
          <w:lang w:val="x-none" w:eastAsia="ja-JP"/>
        </w:rPr>
      </w:pPr>
      <w:r w:rsidRPr="00CE370B">
        <w:rPr>
          <w:rFonts w:eastAsia="Calibri" w:hint="eastAsia"/>
          <w:kern w:val="0"/>
          <w:sz w:val="20"/>
          <w:szCs w:val="20"/>
          <w:lang w:val="x-none" w:eastAsia="ja-JP"/>
        </w:rPr>
        <w:t>R</w:t>
      </w:r>
      <w:r w:rsidRPr="00CE370B">
        <w:rPr>
          <w:rFonts w:eastAsia="Calibri"/>
          <w:kern w:val="0"/>
          <w:sz w:val="20"/>
          <w:szCs w:val="20"/>
          <w:lang w:val="x-none" w:eastAsia="ja-JP"/>
        </w:rPr>
        <w:t xml:space="preserve">euse the legacy Active TCI state switching delay requirement for ATG. </w:t>
      </w:r>
    </w:p>
    <w:p w:rsidR="00CE370B" w:rsidRPr="00CE370B" w:rsidRDefault="00CE370B" w:rsidP="00CE370B">
      <w:pPr>
        <w:pStyle w:val="afa"/>
        <w:widowControl/>
        <w:numPr>
          <w:ilvl w:val="0"/>
          <w:numId w:val="38"/>
        </w:numPr>
        <w:snapToGrid w:val="0"/>
        <w:spacing w:before="0" w:line="240" w:lineRule="auto"/>
        <w:ind w:left="624" w:firstLineChars="0" w:hanging="340"/>
        <w:jc w:val="left"/>
        <w:rPr>
          <w:rFonts w:eastAsia="Calibri"/>
          <w:kern w:val="0"/>
          <w:sz w:val="20"/>
          <w:szCs w:val="20"/>
          <w:lang w:val="x-none" w:eastAsia="ja-JP"/>
        </w:rPr>
      </w:pPr>
      <w:r w:rsidRPr="00CE370B">
        <w:rPr>
          <w:rFonts w:eastAsia="Calibri"/>
          <w:kern w:val="0"/>
          <w:sz w:val="20"/>
          <w:szCs w:val="20"/>
          <w:lang w:val="x-none" w:eastAsia="ja-JP"/>
        </w:rPr>
        <w:t>Further check Active downlink TCI state switching delay for unified TCI, Active uplink TCI state switching delay measurement requirement.</w:t>
      </w:r>
    </w:p>
    <w:p w:rsidR="00CE370B" w:rsidRPr="006314FB" w:rsidRDefault="00CE370B" w:rsidP="00CE370B">
      <w:pPr>
        <w:spacing w:beforeLines="50" w:before="120" w:after="120"/>
        <w:jc w:val="left"/>
        <w:rPr>
          <w:b/>
          <w:sz w:val="20"/>
        </w:rPr>
      </w:pPr>
      <w:r w:rsidRPr="006314FB">
        <w:rPr>
          <w:rFonts w:hint="eastAsia"/>
          <w:b/>
          <w:sz w:val="20"/>
        </w:rPr>
        <w:t xml:space="preserve">Proposal </w:t>
      </w:r>
      <w:r>
        <w:rPr>
          <w:rFonts w:hint="eastAsia"/>
          <w:b/>
          <w:sz w:val="20"/>
        </w:rPr>
        <w:t>5</w:t>
      </w:r>
      <w:r w:rsidRPr="006314FB">
        <w:rPr>
          <w:rFonts w:hint="eastAsia"/>
          <w:b/>
          <w:sz w:val="20"/>
        </w:rPr>
        <w:t>:</w:t>
      </w:r>
      <w:r>
        <w:rPr>
          <w:rFonts w:hint="eastAsia"/>
          <w:b/>
          <w:sz w:val="20"/>
        </w:rPr>
        <w:t xml:space="preserve"> Prefer </w:t>
      </w:r>
      <w:r w:rsidR="005B1AE1">
        <w:rPr>
          <w:rFonts w:hint="eastAsia"/>
          <w:b/>
          <w:sz w:val="20"/>
        </w:rPr>
        <w:t>r</w:t>
      </w:r>
      <w:r w:rsidR="005B1AE1">
        <w:rPr>
          <w:b/>
          <w:sz w:val="20"/>
        </w:rPr>
        <w:t>eus</w:t>
      </w:r>
      <w:r w:rsidR="005B1AE1">
        <w:rPr>
          <w:rFonts w:hint="eastAsia"/>
          <w:b/>
          <w:sz w:val="20"/>
        </w:rPr>
        <w:t>ing</w:t>
      </w:r>
      <w:r w:rsidR="005B1AE1">
        <w:rPr>
          <w:b/>
          <w:sz w:val="20"/>
        </w:rPr>
        <w:t xml:space="preserve"> the legacy </w:t>
      </w:r>
      <w:r w:rsidR="005B1AE1">
        <w:rPr>
          <w:rFonts w:hint="eastAsia"/>
          <w:b/>
          <w:sz w:val="20"/>
        </w:rPr>
        <w:t>a</w:t>
      </w:r>
      <w:r w:rsidRPr="00CE370B">
        <w:rPr>
          <w:b/>
          <w:sz w:val="20"/>
        </w:rPr>
        <w:t>ctive TCI state switching delay requirement for ATG.</w:t>
      </w:r>
    </w:p>
    <w:p w:rsidR="00CE370B" w:rsidRDefault="00CE370B" w:rsidP="00B52E9A">
      <w:pPr>
        <w:spacing w:before="0" w:after="120"/>
        <w:jc w:val="left"/>
        <w:rPr>
          <w:sz w:val="20"/>
        </w:rPr>
      </w:pPr>
    </w:p>
    <w:p w:rsidR="00CE370B" w:rsidRPr="00CE370B" w:rsidRDefault="00CE370B" w:rsidP="00CE370B">
      <w:pPr>
        <w:snapToGrid w:val="0"/>
        <w:spacing w:beforeLines="20" w:before="48" w:afterLines="20" w:after="48"/>
        <w:rPr>
          <w:sz w:val="20"/>
          <w:u w:val="single"/>
          <w:lang w:eastAsia="ko-KR"/>
        </w:rPr>
      </w:pPr>
      <w:r w:rsidRPr="00CE370B">
        <w:rPr>
          <w:b/>
          <w:sz w:val="20"/>
          <w:u w:val="single"/>
          <w:lang w:eastAsia="ko-KR"/>
        </w:rPr>
        <w:t>Issue 4-1-6:</w:t>
      </w:r>
      <w:r w:rsidRPr="00CE370B">
        <w:rPr>
          <w:sz w:val="20"/>
          <w:u w:val="single"/>
          <w:lang w:eastAsia="ko-KR"/>
        </w:rPr>
        <w:t xml:space="preserve"> </w:t>
      </w:r>
      <w:proofErr w:type="spellStart"/>
      <w:r w:rsidRPr="00CE370B">
        <w:rPr>
          <w:sz w:val="20"/>
          <w:u w:val="single"/>
          <w:lang w:eastAsia="ko-KR"/>
        </w:rPr>
        <w:t>Pathloss</w:t>
      </w:r>
      <w:proofErr w:type="spellEnd"/>
      <w:r w:rsidRPr="00CE370B">
        <w:rPr>
          <w:sz w:val="20"/>
          <w:u w:val="single"/>
          <w:lang w:eastAsia="ko-KR"/>
        </w:rPr>
        <w:t xml:space="preserve"> reference signal switching delay</w:t>
      </w:r>
    </w:p>
    <w:p w:rsidR="00CE370B" w:rsidRPr="00CE370B" w:rsidRDefault="00CE370B" w:rsidP="00CE370B">
      <w:pPr>
        <w:pStyle w:val="afa"/>
        <w:widowControl/>
        <w:numPr>
          <w:ilvl w:val="0"/>
          <w:numId w:val="38"/>
        </w:numPr>
        <w:snapToGrid w:val="0"/>
        <w:spacing w:before="0" w:line="240" w:lineRule="auto"/>
        <w:ind w:left="624" w:firstLineChars="0" w:hanging="340"/>
        <w:jc w:val="left"/>
        <w:rPr>
          <w:rFonts w:eastAsia="Calibri"/>
          <w:kern w:val="0"/>
          <w:sz w:val="20"/>
          <w:szCs w:val="20"/>
          <w:lang w:val="x-none" w:eastAsia="ja-JP"/>
        </w:rPr>
      </w:pPr>
      <w:r w:rsidRPr="00CE370B">
        <w:rPr>
          <w:rFonts w:eastAsia="Calibri"/>
          <w:kern w:val="0"/>
          <w:sz w:val="20"/>
          <w:szCs w:val="20"/>
          <w:lang w:val="x-none" w:eastAsia="ja-JP"/>
        </w:rPr>
        <w:t xml:space="preserve">Option 1: Reuse the legacy </w:t>
      </w:r>
      <w:proofErr w:type="spellStart"/>
      <w:r w:rsidRPr="00CE370B">
        <w:rPr>
          <w:rFonts w:eastAsia="Calibri"/>
          <w:kern w:val="0"/>
          <w:sz w:val="20"/>
          <w:szCs w:val="20"/>
          <w:lang w:val="x-none" w:eastAsia="ja-JP"/>
        </w:rPr>
        <w:t>Pathloss</w:t>
      </w:r>
      <w:proofErr w:type="spellEnd"/>
      <w:r w:rsidRPr="00CE370B">
        <w:rPr>
          <w:rFonts w:eastAsia="Calibri"/>
          <w:kern w:val="0"/>
          <w:sz w:val="20"/>
          <w:szCs w:val="20"/>
          <w:lang w:val="x-none" w:eastAsia="ja-JP"/>
        </w:rPr>
        <w:t xml:space="preserve"> reference signal switching delay requirement for ATG. (CMCC, HW, ZTE, CATT)</w:t>
      </w:r>
    </w:p>
    <w:p w:rsidR="00CE370B" w:rsidRPr="00CE370B" w:rsidRDefault="00CE370B" w:rsidP="00CE370B">
      <w:pPr>
        <w:pStyle w:val="afa"/>
        <w:widowControl/>
        <w:numPr>
          <w:ilvl w:val="0"/>
          <w:numId w:val="38"/>
        </w:numPr>
        <w:snapToGrid w:val="0"/>
        <w:spacing w:before="0" w:line="240" w:lineRule="auto"/>
        <w:ind w:left="624" w:firstLineChars="0" w:hanging="340"/>
        <w:jc w:val="left"/>
        <w:rPr>
          <w:rFonts w:eastAsia="Calibri"/>
          <w:kern w:val="0"/>
          <w:sz w:val="20"/>
          <w:szCs w:val="20"/>
          <w:lang w:val="x-none" w:eastAsia="ja-JP"/>
        </w:rPr>
      </w:pPr>
      <w:r w:rsidRPr="00CE370B">
        <w:rPr>
          <w:rFonts w:eastAsia="Calibri"/>
          <w:kern w:val="0"/>
          <w:sz w:val="20"/>
          <w:szCs w:val="20"/>
          <w:lang w:val="x-none" w:eastAsia="ja-JP"/>
        </w:rPr>
        <w:t xml:space="preserve">Option 2: </w:t>
      </w:r>
      <w:r w:rsidRPr="00CE370B">
        <w:rPr>
          <w:rFonts w:eastAsia="Calibri" w:hint="eastAsia"/>
          <w:kern w:val="0"/>
          <w:sz w:val="20"/>
          <w:szCs w:val="20"/>
          <w:lang w:val="x-none" w:eastAsia="ja-JP"/>
        </w:rPr>
        <w:t>C</w:t>
      </w:r>
      <w:r w:rsidRPr="00CE370B">
        <w:rPr>
          <w:rFonts w:eastAsia="Calibri"/>
          <w:kern w:val="0"/>
          <w:sz w:val="20"/>
          <w:szCs w:val="20"/>
          <w:lang w:val="x-none" w:eastAsia="ja-JP"/>
        </w:rPr>
        <w:t xml:space="preserve">heck whether </w:t>
      </w:r>
      <w:proofErr w:type="spellStart"/>
      <w:r w:rsidRPr="00CE370B">
        <w:rPr>
          <w:rFonts w:eastAsia="Calibri"/>
          <w:kern w:val="0"/>
          <w:sz w:val="20"/>
          <w:szCs w:val="20"/>
          <w:lang w:val="x-none" w:eastAsia="ja-JP"/>
        </w:rPr>
        <w:t>eMIMO</w:t>
      </w:r>
      <w:proofErr w:type="spellEnd"/>
      <w:r w:rsidRPr="00CE370B">
        <w:rPr>
          <w:rFonts w:eastAsia="Calibri"/>
          <w:kern w:val="0"/>
          <w:sz w:val="20"/>
          <w:szCs w:val="20"/>
          <w:lang w:val="x-none" w:eastAsia="ja-JP"/>
        </w:rPr>
        <w:t xml:space="preserve"> is to be considered. (Ericsson)</w:t>
      </w:r>
    </w:p>
    <w:p w:rsidR="00CE370B" w:rsidRPr="006314FB" w:rsidRDefault="00CE370B" w:rsidP="00CE370B">
      <w:pPr>
        <w:spacing w:beforeLines="50" w:before="120" w:after="120"/>
        <w:jc w:val="left"/>
        <w:rPr>
          <w:b/>
          <w:sz w:val="20"/>
        </w:rPr>
      </w:pPr>
      <w:r w:rsidRPr="006314FB">
        <w:rPr>
          <w:rFonts w:hint="eastAsia"/>
          <w:b/>
          <w:sz w:val="20"/>
        </w:rPr>
        <w:t xml:space="preserve">Proposal </w:t>
      </w:r>
      <w:r>
        <w:rPr>
          <w:rFonts w:hint="eastAsia"/>
          <w:b/>
          <w:sz w:val="20"/>
        </w:rPr>
        <w:t>6</w:t>
      </w:r>
      <w:r w:rsidRPr="006314FB">
        <w:rPr>
          <w:rFonts w:hint="eastAsia"/>
          <w:b/>
          <w:sz w:val="20"/>
        </w:rPr>
        <w:t>:</w:t>
      </w:r>
      <w:r>
        <w:rPr>
          <w:rFonts w:hint="eastAsia"/>
          <w:b/>
          <w:sz w:val="20"/>
        </w:rPr>
        <w:t xml:space="preserve"> Prefer r</w:t>
      </w:r>
      <w:r w:rsidR="005B1AE1">
        <w:rPr>
          <w:b/>
          <w:sz w:val="20"/>
        </w:rPr>
        <w:t>eus</w:t>
      </w:r>
      <w:r w:rsidR="005B1AE1">
        <w:rPr>
          <w:rFonts w:hint="eastAsia"/>
          <w:b/>
          <w:sz w:val="20"/>
        </w:rPr>
        <w:t>ing</w:t>
      </w:r>
      <w:r w:rsidRPr="00CE370B">
        <w:rPr>
          <w:b/>
          <w:sz w:val="20"/>
        </w:rPr>
        <w:t xml:space="preserve"> the legacy </w:t>
      </w:r>
      <w:proofErr w:type="spellStart"/>
      <w:r w:rsidRPr="00CE370B">
        <w:rPr>
          <w:b/>
          <w:sz w:val="20"/>
        </w:rPr>
        <w:t>Pathloss</w:t>
      </w:r>
      <w:proofErr w:type="spellEnd"/>
      <w:r w:rsidRPr="00CE370B">
        <w:rPr>
          <w:b/>
          <w:sz w:val="20"/>
        </w:rPr>
        <w:t xml:space="preserve"> reference signal switching delay requirement for ATG.</w:t>
      </w:r>
    </w:p>
    <w:p w:rsidR="00CE370B" w:rsidRPr="00CE370B" w:rsidRDefault="00CE370B" w:rsidP="00B52E9A">
      <w:pPr>
        <w:spacing w:before="0" w:after="120"/>
        <w:jc w:val="left"/>
        <w:rPr>
          <w:sz w:val="20"/>
        </w:rPr>
      </w:pPr>
    </w:p>
    <w:p w:rsidR="00CE370B" w:rsidRPr="00CE370B" w:rsidRDefault="00CE370B" w:rsidP="00CE370B">
      <w:pPr>
        <w:snapToGrid w:val="0"/>
        <w:spacing w:beforeLines="20" w:before="48" w:afterLines="20" w:after="48"/>
        <w:rPr>
          <w:sz w:val="20"/>
          <w:u w:val="single"/>
          <w:lang w:eastAsia="ko-KR"/>
        </w:rPr>
      </w:pPr>
      <w:r w:rsidRPr="00CE370B">
        <w:rPr>
          <w:b/>
          <w:sz w:val="20"/>
          <w:u w:val="single"/>
          <w:lang w:eastAsia="ko-KR"/>
        </w:rPr>
        <w:t>Issue 4-1-7:</w:t>
      </w:r>
      <w:r w:rsidRPr="00CE370B">
        <w:rPr>
          <w:sz w:val="20"/>
          <w:u w:val="single"/>
          <w:lang w:eastAsia="ko-KR"/>
        </w:rPr>
        <w:t xml:space="preserve"> Uplink spatial relation switch delay</w:t>
      </w:r>
    </w:p>
    <w:p w:rsidR="00CE370B" w:rsidRPr="00CE370B" w:rsidRDefault="00CE370B" w:rsidP="00CE370B">
      <w:pPr>
        <w:pStyle w:val="afa"/>
        <w:widowControl/>
        <w:numPr>
          <w:ilvl w:val="0"/>
          <w:numId w:val="38"/>
        </w:numPr>
        <w:snapToGrid w:val="0"/>
        <w:spacing w:before="0" w:line="240" w:lineRule="auto"/>
        <w:ind w:left="624" w:firstLineChars="0" w:hanging="340"/>
        <w:jc w:val="left"/>
        <w:rPr>
          <w:rFonts w:eastAsia="Calibri"/>
          <w:kern w:val="0"/>
          <w:sz w:val="20"/>
          <w:szCs w:val="20"/>
          <w:lang w:val="x-none" w:eastAsia="ja-JP"/>
        </w:rPr>
      </w:pPr>
      <w:r w:rsidRPr="00CE370B">
        <w:rPr>
          <w:rFonts w:eastAsia="Calibri"/>
          <w:kern w:val="0"/>
          <w:sz w:val="20"/>
          <w:szCs w:val="20"/>
          <w:lang w:val="x-none" w:eastAsia="ja-JP"/>
        </w:rPr>
        <w:t xml:space="preserve">Option 1: Uplink spatial relation switch delay requirement will not be applicable for R18 ATG. (CMCC, ZTE) </w:t>
      </w:r>
    </w:p>
    <w:p w:rsidR="00CE370B" w:rsidRPr="00CE370B" w:rsidRDefault="00CE370B" w:rsidP="00CE370B">
      <w:pPr>
        <w:pStyle w:val="afa"/>
        <w:widowControl/>
        <w:numPr>
          <w:ilvl w:val="0"/>
          <w:numId w:val="38"/>
        </w:numPr>
        <w:snapToGrid w:val="0"/>
        <w:spacing w:before="0" w:line="240" w:lineRule="auto"/>
        <w:ind w:left="624" w:firstLineChars="0" w:hanging="340"/>
        <w:jc w:val="left"/>
        <w:rPr>
          <w:rFonts w:eastAsia="Calibri"/>
          <w:kern w:val="0"/>
          <w:sz w:val="20"/>
          <w:szCs w:val="20"/>
          <w:lang w:val="x-none" w:eastAsia="ja-JP"/>
        </w:rPr>
      </w:pPr>
      <w:r w:rsidRPr="00CE370B">
        <w:rPr>
          <w:rFonts w:eastAsia="Calibri"/>
          <w:kern w:val="0"/>
          <w:sz w:val="20"/>
          <w:szCs w:val="20"/>
          <w:lang w:val="x-none" w:eastAsia="ja-JP"/>
        </w:rPr>
        <w:t xml:space="preserve">Option 2: </w:t>
      </w:r>
      <w:r w:rsidRPr="00CE370B">
        <w:rPr>
          <w:rFonts w:eastAsia="Calibri" w:hint="eastAsia"/>
          <w:kern w:val="0"/>
          <w:sz w:val="20"/>
          <w:szCs w:val="20"/>
          <w:lang w:val="x-none" w:eastAsia="ja-JP"/>
        </w:rPr>
        <w:t>Reusing legacy requirements of</w:t>
      </w:r>
      <w:r w:rsidRPr="00CE370B">
        <w:rPr>
          <w:rFonts w:eastAsia="Calibri"/>
          <w:kern w:val="0"/>
          <w:sz w:val="20"/>
          <w:szCs w:val="20"/>
          <w:lang w:val="x-none" w:eastAsia="ja-JP"/>
        </w:rPr>
        <w:t xml:space="preserve"> </w:t>
      </w:r>
      <w:r w:rsidRPr="00CE370B">
        <w:rPr>
          <w:rFonts w:eastAsia="Calibri" w:hint="eastAsia"/>
          <w:kern w:val="0"/>
          <w:sz w:val="20"/>
          <w:szCs w:val="20"/>
          <w:lang w:val="x-none" w:eastAsia="ja-JP"/>
        </w:rPr>
        <w:t xml:space="preserve">spatial relation switching </w:t>
      </w:r>
      <w:r w:rsidRPr="00CE370B">
        <w:rPr>
          <w:rFonts w:eastAsia="Calibri"/>
          <w:kern w:val="0"/>
          <w:sz w:val="20"/>
          <w:szCs w:val="20"/>
          <w:lang w:val="x-none" w:eastAsia="ja-JP"/>
        </w:rPr>
        <w:t>for ATG. (Ericsson, CATT)</w:t>
      </w:r>
    </w:p>
    <w:p w:rsidR="00CE370B" w:rsidRDefault="00F116CC" w:rsidP="00CE370B">
      <w:pPr>
        <w:spacing w:beforeLines="50" w:before="120" w:after="120"/>
        <w:jc w:val="left"/>
        <w:rPr>
          <w:sz w:val="20"/>
        </w:rPr>
      </w:pPr>
      <w:r>
        <w:rPr>
          <w:sz w:val="20"/>
        </w:rPr>
        <w:t>B</w:t>
      </w:r>
      <w:r>
        <w:rPr>
          <w:rFonts w:hint="eastAsia"/>
          <w:sz w:val="20"/>
        </w:rPr>
        <w:t xml:space="preserve">y our understanding, the </w:t>
      </w:r>
      <w:r w:rsidRPr="00F116CC">
        <w:rPr>
          <w:sz w:val="20"/>
        </w:rPr>
        <w:t>legacy requirements of spatial relation switching for ATG</w:t>
      </w:r>
      <w:r w:rsidRPr="00F116CC">
        <w:rPr>
          <w:rFonts w:hint="eastAsia"/>
          <w:sz w:val="20"/>
        </w:rPr>
        <w:t xml:space="preserve"> </w:t>
      </w:r>
      <w:r>
        <w:rPr>
          <w:rFonts w:hint="eastAsia"/>
          <w:sz w:val="20"/>
        </w:rPr>
        <w:t xml:space="preserve">can be reused for ATG. </w:t>
      </w:r>
      <w:r>
        <w:rPr>
          <w:sz w:val="20"/>
        </w:rPr>
        <w:t>M</w:t>
      </w:r>
      <w:r>
        <w:rPr>
          <w:rFonts w:hint="eastAsia"/>
          <w:sz w:val="20"/>
        </w:rPr>
        <w:t xml:space="preserve">eanwhile considering the uplink spatial relation switch may not </w:t>
      </w:r>
      <w:r w:rsidR="00B26861">
        <w:rPr>
          <w:rFonts w:hint="eastAsia"/>
          <w:sz w:val="20"/>
        </w:rPr>
        <w:t xml:space="preserve">be </w:t>
      </w:r>
      <w:r>
        <w:rPr>
          <w:rFonts w:hint="eastAsia"/>
          <w:sz w:val="20"/>
        </w:rPr>
        <w:t>include</w:t>
      </w:r>
      <w:r w:rsidR="00B26861">
        <w:rPr>
          <w:rFonts w:hint="eastAsia"/>
          <w:sz w:val="20"/>
        </w:rPr>
        <w:t>d</w:t>
      </w:r>
      <w:r>
        <w:rPr>
          <w:rFonts w:hint="eastAsia"/>
          <w:sz w:val="20"/>
        </w:rPr>
        <w:t xml:space="preserve"> in </w:t>
      </w:r>
      <w:r w:rsidR="00B26861">
        <w:rPr>
          <w:rFonts w:hint="eastAsia"/>
          <w:sz w:val="20"/>
        </w:rPr>
        <w:t xml:space="preserve">the </w:t>
      </w:r>
      <w:r>
        <w:rPr>
          <w:rFonts w:hint="eastAsia"/>
          <w:sz w:val="20"/>
        </w:rPr>
        <w:t xml:space="preserve">scenario for Rel-18 ATG. </w:t>
      </w:r>
      <w:r>
        <w:rPr>
          <w:sz w:val="20"/>
        </w:rPr>
        <w:t>I</w:t>
      </w:r>
      <w:r>
        <w:rPr>
          <w:rFonts w:hint="eastAsia"/>
          <w:sz w:val="20"/>
        </w:rPr>
        <w:t>t is acceptable that</w:t>
      </w:r>
      <w:r w:rsidRPr="00F116CC">
        <w:t xml:space="preserve"> </w:t>
      </w:r>
      <w:r>
        <w:rPr>
          <w:rFonts w:hint="eastAsia"/>
        </w:rPr>
        <w:t>u</w:t>
      </w:r>
      <w:r w:rsidRPr="00F116CC">
        <w:rPr>
          <w:sz w:val="20"/>
        </w:rPr>
        <w:t>plink spatial relation switch delay requirement will not be applicable for R18 ATG.</w:t>
      </w:r>
    </w:p>
    <w:p w:rsidR="00B26861" w:rsidRDefault="00CE370B" w:rsidP="00B26861">
      <w:pPr>
        <w:spacing w:before="0" w:after="120"/>
        <w:jc w:val="left"/>
        <w:rPr>
          <w:rFonts w:hint="eastAsia"/>
          <w:b/>
          <w:sz w:val="20"/>
        </w:rPr>
      </w:pPr>
      <w:r w:rsidRPr="006314FB">
        <w:rPr>
          <w:rFonts w:hint="eastAsia"/>
          <w:b/>
          <w:sz w:val="20"/>
        </w:rPr>
        <w:t xml:space="preserve">Proposal </w:t>
      </w:r>
      <w:r w:rsidR="00167474">
        <w:rPr>
          <w:rFonts w:hint="eastAsia"/>
          <w:b/>
          <w:sz w:val="20"/>
        </w:rPr>
        <w:t>7</w:t>
      </w:r>
      <w:r w:rsidRPr="006314FB">
        <w:rPr>
          <w:rFonts w:hint="eastAsia"/>
          <w:b/>
          <w:sz w:val="20"/>
        </w:rPr>
        <w:t>:</w:t>
      </w:r>
      <w:r w:rsidR="00F116CC">
        <w:t xml:space="preserve"> </w:t>
      </w:r>
      <w:r w:rsidR="00F116CC">
        <w:rPr>
          <w:rFonts w:hint="eastAsia"/>
          <w:b/>
          <w:sz w:val="20"/>
        </w:rPr>
        <w:t xml:space="preserve">It is acceptable </w:t>
      </w:r>
      <w:r w:rsidR="00B26861">
        <w:rPr>
          <w:rFonts w:hint="eastAsia"/>
          <w:b/>
          <w:sz w:val="20"/>
        </w:rPr>
        <w:t xml:space="preserve">to </w:t>
      </w:r>
      <w:r w:rsidR="00F116CC">
        <w:rPr>
          <w:rFonts w:hint="eastAsia"/>
          <w:b/>
          <w:sz w:val="20"/>
        </w:rPr>
        <w:t>r</w:t>
      </w:r>
      <w:r w:rsidR="00B26861">
        <w:rPr>
          <w:b/>
          <w:sz w:val="20"/>
        </w:rPr>
        <w:t>euse</w:t>
      </w:r>
      <w:r w:rsidR="00F116CC" w:rsidRPr="00F116CC">
        <w:rPr>
          <w:b/>
          <w:sz w:val="20"/>
        </w:rPr>
        <w:t xml:space="preserve"> legacy requirements</w:t>
      </w:r>
      <w:r w:rsidR="00F116CC">
        <w:rPr>
          <w:rFonts w:hint="eastAsia"/>
          <w:b/>
          <w:sz w:val="20"/>
        </w:rPr>
        <w:t xml:space="preserve"> </w:t>
      </w:r>
      <w:r w:rsidR="00B26861" w:rsidRPr="00B26861">
        <w:rPr>
          <w:b/>
          <w:sz w:val="20"/>
        </w:rPr>
        <w:t>of spatial relation switching for ATG</w:t>
      </w:r>
      <w:r w:rsidR="00B26861">
        <w:rPr>
          <w:rFonts w:hint="eastAsia"/>
          <w:b/>
          <w:sz w:val="20"/>
        </w:rPr>
        <w:t>.</w:t>
      </w:r>
    </w:p>
    <w:p w:rsidR="00B26861" w:rsidRPr="006314FB" w:rsidRDefault="00B26861" w:rsidP="00B26861">
      <w:pPr>
        <w:spacing w:before="0" w:after="120"/>
        <w:jc w:val="left"/>
        <w:rPr>
          <w:b/>
          <w:sz w:val="20"/>
        </w:rPr>
      </w:pPr>
      <w:r w:rsidRPr="006314FB">
        <w:rPr>
          <w:rFonts w:hint="eastAsia"/>
          <w:b/>
          <w:sz w:val="20"/>
        </w:rPr>
        <w:t xml:space="preserve">Proposal </w:t>
      </w:r>
      <w:r>
        <w:rPr>
          <w:rFonts w:hint="eastAsia"/>
          <w:b/>
          <w:sz w:val="20"/>
        </w:rPr>
        <w:t>8</w:t>
      </w:r>
      <w:r w:rsidRPr="006314FB">
        <w:rPr>
          <w:rFonts w:hint="eastAsia"/>
          <w:b/>
          <w:sz w:val="20"/>
        </w:rPr>
        <w:t>:</w:t>
      </w:r>
      <w:r>
        <w:t xml:space="preserve"> </w:t>
      </w:r>
      <w:r>
        <w:rPr>
          <w:rFonts w:hint="eastAsia"/>
          <w:b/>
          <w:sz w:val="20"/>
        </w:rPr>
        <w:t xml:space="preserve">It is acceptable that </w:t>
      </w:r>
      <w:r>
        <w:rPr>
          <w:rFonts w:hint="eastAsia"/>
          <w:b/>
          <w:sz w:val="20"/>
        </w:rPr>
        <w:t>u</w:t>
      </w:r>
      <w:r w:rsidRPr="00B26861">
        <w:rPr>
          <w:b/>
          <w:sz w:val="20"/>
        </w:rPr>
        <w:t>plink spatial relation switch delay requirement will not be applicable for R18 ATG</w:t>
      </w:r>
      <w:r>
        <w:rPr>
          <w:rFonts w:hint="eastAsia"/>
          <w:b/>
          <w:sz w:val="20"/>
        </w:rPr>
        <w:t>.</w:t>
      </w:r>
    </w:p>
    <w:p w:rsidR="00CE370B" w:rsidRPr="00B26861" w:rsidRDefault="00CE370B" w:rsidP="00B52E9A">
      <w:pPr>
        <w:spacing w:before="0" w:after="120"/>
        <w:jc w:val="left"/>
        <w:rPr>
          <w:sz w:val="20"/>
        </w:rPr>
      </w:pPr>
    </w:p>
    <w:p w:rsidR="00F116CC" w:rsidRPr="00602BA2" w:rsidRDefault="00F116CC" w:rsidP="00602BA2">
      <w:pPr>
        <w:snapToGrid w:val="0"/>
        <w:spacing w:beforeLines="20" w:before="48" w:afterLines="20" w:after="48"/>
        <w:rPr>
          <w:sz w:val="20"/>
          <w:u w:val="single"/>
          <w:lang w:eastAsia="ko-KR"/>
        </w:rPr>
      </w:pPr>
      <w:r w:rsidRPr="00602BA2">
        <w:rPr>
          <w:b/>
          <w:sz w:val="20"/>
          <w:u w:val="single"/>
          <w:lang w:eastAsia="ko-KR"/>
        </w:rPr>
        <w:t>Issue 4-1-8:</w:t>
      </w:r>
      <w:r w:rsidRPr="00602BA2">
        <w:rPr>
          <w:sz w:val="20"/>
          <w:u w:val="single"/>
          <w:lang w:eastAsia="ko-KR"/>
        </w:rPr>
        <w:t xml:space="preserve"> UE-specific CBW change requirements</w:t>
      </w:r>
    </w:p>
    <w:p w:rsidR="00F116CC" w:rsidRPr="00602BA2" w:rsidRDefault="00F116CC" w:rsidP="00602BA2">
      <w:pPr>
        <w:pStyle w:val="afa"/>
        <w:widowControl/>
        <w:numPr>
          <w:ilvl w:val="0"/>
          <w:numId w:val="38"/>
        </w:numPr>
        <w:snapToGrid w:val="0"/>
        <w:spacing w:before="0" w:line="240" w:lineRule="auto"/>
        <w:ind w:left="624" w:firstLineChars="0" w:hanging="340"/>
        <w:jc w:val="left"/>
        <w:rPr>
          <w:rFonts w:eastAsia="Calibri"/>
          <w:kern w:val="0"/>
          <w:sz w:val="20"/>
          <w:szCs w:val="20"/>
          <w:lang w:val="x-none" w:eastAsia="ja-JP"/>
        </w:rPr>
      </w:pPr>
      <w:r w:rsidRPr="00602BA2">
        <w:rPr>
          <w:rFonts w:eastAsia="Calibri"/>
          <w:kern w:val="0"/>
          <w:sz w:val="20"/>
          <w:szCs w:val="20"/>
          <w:lang w:val="x-none" w:eastAsia="ja-JP"/>
        </w:rPr>
        <w:t>Existing requirements on UE-specific CBW change are reused for ATG.</w:t>
      </w:r>
    </w:p>
    <w:p w:rsidR="00B078B7" w:rsidRDefault="00B078B7" w:rsidP="00B078B7">
      <w:pPr>
        <w:spacing w:beforeLines="50" w:before="120" w:after="120"/>
        <w:jc w:val="left"/>
        <w:rPr>
          <w:sz w:val="20"/>
        </w:rPr>
      </w:pPr>
      <w:r>
        <w:rPr>
          <w:rFonts w:hint="eastAsia"/>
          <w:sz w:val="20"/>
        </w:rPr>
        <w:t xml:space="preserve">This issue can be agreed, and may not be </w:t>
      </w:r>
      <w:r w:rsidR="00B26861">
        <w:rPr>
          <w:rFonts w:hint="eastAsia"/>
          <w:sz w:val="20"/>
        </w:rPr>
        <w:t>further</w:t>
      </w:r>
      <w:r w:rsidR="00B26861">
        <w:rPr>
          <w:rFonts w:hint="eastAsia"/>
          <w:sz w:val="20"/>
        </w:rPr>
        <w:t xml:space="preserve"> </w:t>
      </w:r>
      <w:r>
        <w:rPr>
          <w:rFonts w:hint="eastAsia"/>
          <w:sz w:val="20"/>
        </w:rPr>
        <w:t>discussed in RRM session.</w:t>
      </w:r>
    </w:p>
    <w:p w:rsidR="00B52E9A" w:rsidRPr="00F116CC" w:rsidRDefault="00B52E9A" w:rsidP="00B52E9A">
      <w:pPr>
        <w:spacing w:before="0" w:after="120"/>
        <w:jc w:val="left"/>
        <w:rPr>
          <w:sz w:val="20"/>
        </w:rPr>
      </w:pPr>
    </w:p>
    <w:bookmarkEnd w:id="2"/>
    <w:bookmarkEnd w:id="3"/>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57C0A" w:rsidRDefault="00F57C0A" w:rsidP="00031F89">
      <w:pPr>
        <w:spacing w:before="0" w:after="120"/>
        <w:jc w:val="left"/>
        <w:rPr>
          <w:sz w:val="20"/>
        </w:rPr>
      </w:pPr>
      <w:r>
        <w:rPr>
          <w:sz w:val="20"/>
        </w:rPr>
        <w:t>T</w:t>
      </w:r>
      <w:r>
        <w:rPr>
          <w:rFonts w:hint="eastAsia"/>
          <w:sz w:val="20"/>
        </w:rPr>
        <w:t xml:space="preserve">his document discussed </w:t>
      </w:r>
      <w:r w:rsidR="00D869BE">
        <w:rPr>
          <w:rFonts w:hint="eastAsia"/>
          <w:sz w:val="20"/>
        </w:rPr>
        <w:t xml:space="preserve">issues for </w:t>
      </w:r>
      <w:r w:rsidR="00602BA2">
        <w:rPr>
          <w:rFonts w:hint="eastAsia"/>
          <w:sz w:val="20"/>
        </w:rPr>
        <w:t>signalling characteristics requirements</w:t>
      </w:r>
      <w:r>
        <w:rPr>
          <w:rFonts w:hint="eastAsia"/>
          <w:sz w:val="20"/>
        </w:rPr>
        <w:t xml:space="preserve"> and presented </w:t>
      </w:r>
      <w:r w:rsidR="00787CF4">
        <w:rPr>
          <w:rFonts w:hint="eastAsia"/>
          <w:sz w:val="20"/>
        </w:rPr>
        <w:t xml:space="preserve">the </w:t>
      </w:r>
      <w:r>
        <w:rPr>
          <w:rFonts w:hint="eastAsia"/>
          <w:sz w:val="20"/>
        </w:rPr>
        <w:t>following proposals:</w:t>
      </w:r>
    </w:p>
    <w:p w:rsidR="00602BA2" w:rsidRDefault="00602BA2" w:rsidP="00602BA2">
      <w:pPr>
        <w:spacing w:before="0" w:after="120"/>
        <w:jc w:val="left"/>
        <w:rPr>
          <w:b/>
          <w:sz w:val="20"/>
        </w:rPr>
      </w:pPr>
      <w:r w:rsidRPr="006314FB">
        <w:rPr>
          <w:rFonts w:hint="eastAsia"/>
          <w:b/>
          <w:sz w:val="20"/>
        </w:rPr>
        <w:t>Proposal 1:</w:t>
      </w:r>
      <w:r w:rsidRPr="00135355">
        <w:t xml:space="preserve"> </w:t>
      </w:r>
      <w:r w:rsidRPr="00135355">
        <w:rPr>
          <w:b/>
          <w:sz w:val="20"/>
        </w:rPr>
        <w:t>Legacy requirements for RLM can be reused for ATG UE.</w:t>
      </w:r>
    </w:p>
    <w:p w:rsidR="00602BA2" w:rsidRPr="006314FB" w:rsidRDefault="00602BA2" w:rsidP="00602BA2">
      <w:pPr>
        <w:spacing w:before="0" w:after="120"/>
        <w:jc w:val="left"/>
        <w:rPr>
          <w:b/>
          <w:sz w:val="20"/>
        </w:rPr>
      </w:pPr>
      <w:r w:rsidRPr="006314FB">
        <w:rPr>
          <w:rFonts w:hint="eastAsia"/>
          <w:b/>
          <w:sz w:val="20"/>
        </w:rPr>
        <w:t xml:space="preserve">Proposal </w:t>
      </w:r>
      <w:r>
        <w:rPr>
          <w:rFonts w:hint="eastAsia"/>
          <w:b/>
          <w:sz w:val="20"/>
        </w:rPr>
        <w:t>2</w:t>
      </w:r>
      <w:r w:rsidRPr="006314FB">
        <w:rPr>
          <w:rFonts w:hint="eastAsia"/>
          <w:b/>
          <w:sz w:val="20"/>
        </w:rPr>
        <w:t>:</w:t>
      </w:r>
      <w:r w:rsidRPr="00135355">
        <w:t xml:space="preserve"> </w:t>
      </w:r>
      <w:r w:rsidRPr="00135355">
        <w:rPr>
          <w:b/>
          <w:sz w:val="20"/>
        </w:rPr>
        <w:t>Legacy requirements for link recovery procedure can be reused for ATG UE.</w:t>
      </w:r>
    </w:p>
    <w:p w:rsidR="005B1AE1" w:rsidRPr="006314FB" w:rsidRDefault="005B1AE1" w:rsidP="005B1AE1">
      <w:pPr>
        <w:spacing w:before="0" w:after="120"/>
        <w:jc w:val="left"/>
        <w:rPr>
          <w:b/>
          <w:sz w:val="20"/>
        </w:rPr>
      </w:pPr>
      <w:r w:rsidRPr="006314FB">
        <w:rPr>
          <w:rFonts w:hint="eastAsia"/>
          <w:b/>
          <w:sz w:val="20"/>
        </w:rPr>
        <w:t xml:space="preserve">Proposal </w:t>
      </w:r>
      <w:r>
        <w:rPr>
          <w:rFonts w:hint="eastAsia"/>
          <w:b/>
          <w:sz w:val="20"/>
        </w:rPr>
        <w:t>3</w:t>
      </w:r>
      <w:r w:rsidRPr="006314FB">
        <w:rPr>
          <w:rFonts w:hint="eastAsia"/>
          <w:b/>
          <w:sz w:val="20"/>
        </w:rPr>
        <w:t>:</w:t>
      </w:r>
      <w:r w:rsidRPr="00135355">
        <w:t xml:space="preserve"> </w:t>
      </w:r>
      <w:r>
        <w:rPr>
          <w:rFonts w:hint="eastAsia"/>
          <w:b/>
          <w:sz w:val="20"/>
        </w:rPr>
        <w:t>Re</w:t>
      </w:r>
      <w:r>
        <w:rPr>
          <w:b/>
          <w:sz w:val="20"/>
        </w:rPr>
        <w:t xml:space="preserve">use the legacy </w:t>
      </w:r>
      <w:r>
        <w:rPr>
          <w:rFonts w:hint="eastAsia"/>
          <w:b/>
          <w:sz w:val="20"/>
        </w:rPr>
        <w:t>a</w:t>
      </w:r>
      <w:r w:rsidRPr="00B078B7">
        <w:rPr>
          <w:b/>
          <w:sz w:val="20"/>
        </w:rPr>
        <w:t xml:space="preserve">ctive BWP switching delay requirement </w:t>
      </w:r>
      <w:r>
        <w:rPr>
          <w:rFonts w:hint="eastAsia"/>
          <w:b/>
          <w:sz w:val="20"/>
        </w:rPr>
        <w:t xml:space="preserve">of single carrier </w:t>
      </w:r>
      <w:r w:rsidRPr="00B078B7">
        <w:rPr>
          <w:b/>
          <w:sz w:val="20"/>
        </w:rPr>
        <w:t xml:space="preserve">for </w:t>
      </w:r>
      <w:r>
        <w:rPr>
          <w:rFonts w:hint="eastAsia"/>
          <w:b/>
          <w:sz w:val="20"/>
        </w:rPr>
        <w:t xml:space="preserve">Rel-18 </w:t>
      </w:r>
      <w:r w:rsidRPr="00B078B7">
        <w:rPr>
          <w:b/>
          <w:sz w:val="20"/>
        </w:rPr>
        <w:t>ATG.</w:t>
      </w:r>
    </w:p>
    <w:p w:rsidR="00602BA2" w:rsidRPr="006314FB" w:rsidRDefault="00602BA2" w:rsidP="00602BA2">
      <w:pPr>
        <w:spacing w:before="0" w:after="120"/>
        <w:jc w:val="left"/>
        <w:rPr>
          <w:b/>
          <w:sz w:val="20"/>
        </w:rPr>
      </w:pPr>
      <w:r w:rsidRPr="006314FB">
        <w:rPr>
          <w:rFonts w:hint="eastAsia"/>
          <w:b/>
          <w:sz w:val="20"/>
        </w:rPr>
        <w:lastRenderedPageBreak/>
        <w:t xml:space="preserve">Proposal </w:t>
      </w:r>
      <w:r>
        <w:rPr>
          <w:rFonts w:hint="eastAsia"/>
          <w:b/>
          <w:sz w:val="20"/>
        </w:rPr>
        <w:t>4</w:t>
      </w:r>
      <w:r w:rsidRPr="006314FB">
        <w:rPr>
          <w:rFonts w:hint="eastAsia"/>
          <w:b/>
          <w:sz w:val="20"/>
        </w:rPr>
        <w:t>:</w:t>
      </w:r>
      <w:r w:rsidRPr="00135355">
        <w:t xml:space="preserve"> </w:t>
      </w:r>
      <w:r w:rsidRPr="00CE370B">
        <w:rPr>
          <w:b/>
          <w:sz w:val="20"/>
        </w:rPr>
        <w:t>Reuse the legacy L1-RSRP measurement requirements for ATG.</w:t>
      </w:r>
    </w:p>
    <w:p w:rsidR="005B1AE1" w:rsidRPr="006314FB" w:rsidRDefault="005B1AE1" w:rsidP="005B1AE1">
      <w:pPr>
        <w:spacing w:beforeLines="50" w:before="120" w:after="120"/>
        <w:jc w:val="left"/>
        <w:rPr>
          <w:b/>
          <w:sz w:val="20"/>
        </w:rPr>
      </w:pPr>
      <w:r w:rsidRPr="006314FB">
        <w:rPr>
          <w:rFonts w:hint="eastAsia"/>
          <w:b/>
          <w:sz w:val="20"/>
        </w:rPr>
        <w:t xml:space="preserve">Proposal </w:t>
      </w:r>
      <w:r>
        <w:rPr>
          <w:rFonts w:hint="eastAsia"/>
          <w:b/>
          <w:sz w:val="20"/>
        </w:rPr>
        <w:t>5</w:t>
      </w:r>
      <w:r w:rsidRPr="006314FB">
        <w:rPr>
          <w:rFonts w:hint="eastAsia"/>
          <w:b/>
          <w:sz w:val="20"/>
        </w:rPr>
        <w:t>:</w:t>
      </w:r>
      <w:r>
        <w:rPr>
          <w:rFonts w:hint="eastAsia"/>
          <w:b/>
          <w:sz w:val="20"/>
        </w:rPr>
        <w:t xml:space="preserve"> Prefer </w:t>
      </w:r>
      <w:r>
        <w:rPr>
          <w:rFonts w:hint="eastAsia"/>
          <w:b/>
          <w:sz w:val="20"/>
        </w:rPr>
        <w:t>r</w:t>
      </w:r>
      <w:r>
        <w:rPr>
          <w:b/>
          <w:sz w:val="20"/>
        </w:rPr>
        <w:t>eus</w:t>
      </w:r>
      <w:r>
        <w:rPr>
          <w:rFonts w:hint="eastAsia"/>
          <w:b/>
          <w:sz w:val="20"/>
        </w:rPr>
        <w:t>ing</w:t>
      </w:r>
      <w:r>
        <w:rPr>
          <w:b/>
          <w:sz w:val="20"/>
        </w:rPr>
        <w:t xml:space="preserve"> the legacy </w:t>
      </w:r>
      <w:r>
        <w:rPr>
          <w:rFonts w:hint="eastAsia"/>
          <w:b/>
          <w:sz w:val="20"/>
        </w:rPr>
        <w:t>a</w:t>
      </w:r>
      <w:r w:rsidRPr="00CE370B">
        <w:rPr>
          <w:b/>
          <w:sz w:val="20"/>
        </w:rPr>
        <w:t>ctive TCI state switching delay requirement for ATG.</w:t>
      </w:r>
    </w:p>
    <w:p w:rsidR="00602BA2" w:rsidRPr="005B1AE1" w:rsidRDefault="005B1AE1" w:rsidP="00602BA2">
      <w:pPr>
        <w:spacing w:beforeLines="50" w:before="120" w:after="120"/>
        <w:jc w:val="left"/>
        <w:rPr>
          <w:b/>
          <w:sz w:val="20"/>
        </w:rPr>
      </w:pPr>
      <w:r w:rsidRPr="006314FB">
        <w:rPr>
          <w:rFonts w:hint="eastAsia"/>
          <w:b/>
          <w:sz w:val="20"/>
        </w:rPr>
        <w:t xml:space="preserve">Proposal </w:t>
      </w:r>
      <w:r>
        <w:rPr>
          <w:rFonts w:hint="eastAsia"/>
          <w:b/>
          <w:sz w:val="20"/>
        </w:rPr>
        <w:t>6</w:t>
      </w:r>
      <w:r w:rsidRPr="006314FB">
        <w:rPr>
          <w:rFonts w:hint="eastAsia"/>
          <w:b/>
          <w:sz w:val="20"/>
        </w:rPr>
        <w:t>:</w:t>
      </w:r>
      <w:r>
        <w:rPr>
          <w:rFonts w:hint="eastAsia"/>
          <w:b/>
          <w:sz w:val="20"/>
        </w:rPr>
        <w:t xml:space="preserve"> Prefer r</w:t>
      </w:r>
      <w:r>
        <w:rPr>
          <w:b/>
          <w:sz w:val="20"/>
        </w:rPr>
        <w:t>eus</w:t>
      </w:r>
      <w:r>
        <w:rPr>
          <w:rFonts w:hint="eastAsia"/>
          <w:b/>
          <w:sz w:val="20"/>
        </w:rPr>
        <w:t>ing</w:t>
      </w:r>
      <w:r w:rsidRPr="00CE370B">
        <w:rPr>
          <w:b/>
          <w:sz w:val="20"/>
        </w:rPr>
        <w:t xml:space="preserve"> the legacy </w:t>
      </w:r>
      <w:proofErr w:type="spellStart"/>
      <w:r w:rsidRPr="00CE370B">
        <w:rPr>
          <w:b/>
          <w:sz w:val="20"/>
        </w:rPr>
        <w:t>Pathloss</w:t>
      </w:r>
      <w:proofErr w:type="spellEnd"/>
      <w:r w:rsidRPr="00CE370B">
        <w:rPr>
          <w:b/>
          <w:sz w:val="20"/>
        </w:rPr>
        <w:t xml:space="preserve"> reference signal switching delay requirement for ATG.</w:t>
      </w:r>
    </w:p>
    <w:p w:rsidR="00B26861" w:rsidRDefault="00B26861" w:rsidP="00B26861">
      <w:pPr>
        <w:spacing w:before="0" w:after="120"/>
        <w:jc w:val="left"/>
        <w:rPr>
          <w:rFonts w:hint="eastAsia"/>
          <w:b/>
          <w:sz w:val="20"/>
        </w:rPr>
      </w:pPr>
      <w:r w:rsidRPr="006314FB">
        <w:rPr>
          <w:rFonts w:hint="eastAsia"/>
          <w:b/>
          <w:sz w:val="20"/>
        </w:rPr>
        <w:t xml:space="preserve">Proposal </w:t>
      </w:r>
      <w:r>
        <w:rPr>
          <w:rFonts w:hint="eastAsia"/>
          <w:b/>
          <w:sz w:val="20"/>
        </w:rPr>
        <w:t>7</w:t>
      </w:r>
      <w:r w:rsidRPr="006314FB">
        <w:rPr>
          <w:rFonts w:hint="eastAsia"/>
          <w:b/>
          <w:sz w:val="20"/>
        </w:rPr>
        <w:t>:</w:t>
      </w:r>
      <w:r>
        <w:t xml:space="preserve"> </w:t>
      </w:r>
      <w:r>
        <w:rPr>
          <w:rFonts w:hint="eastAsia"/>
          <w:b/>
          <w:sz w:val="20"/>
        </w:rPr>
        <w:t>It is acceptable to r</w:t>
      </w:r>
      <w:r>
        <w:rPr>
          <w:b/>
          <w:sz w:val="20"/>
        </w:rPr>
        <w:t>euse</w:t>
      </w:r>
      <w:r w:rsidRPr="00F116CC">
        <w:rPr>
          <w:b/>
          <w:sz w:val="20"/>
        </w:rPr>
        <w:t xml:space="preserve"> legacy requirements</w:t>
      </w:r>
      <w:r>
        <w:rPr>
          <w:rFonts w:hint="eastAsia"/>
          <w:b/>
          <w:sz w:val="20"/>
        </w:rPr>
        <w:t xml:space="preserve"> </w:t>
      </w:r>
      <w:r w:rsidRPr="00B26861">
        <w:rPr>
          <w:b/>
          <w:sz w:val="20"/>
        </w:rPr>
        <w:t>of spatial relation switching for ATG</w:t>
      </w:r>
      <w:r>
        <w:rPr>
          <w:rFonts w:hint="eastAsia"/>
          <w:b/>
          <w:sz w:val="20"/>
        </w:rPr>
        <w:t>.</w:t>
      </w:r>
    </w:p>
    <w:p w:rsidR="00B26861" w:rsidRPr="006314FB" w:rsidRDefault="00B26861" w:rsidP="00B26861">
      <w:pPr>
        <w:spacing w:before="0" w:after="120"/>
        <w:jc w:val="left"/>
        <w:rPr>
          <w:b/>
          <w:sz w:val="20"/>
        </w:rPr>
      </w:pPr>
      <w:r w:rsidRPr="006314FB">
        <w:rPr>
          <w:rFonts w:hint="eastAsia"/>
          <w:b/>
          <w:sz w:val="20"/>
        </w:rPr>
        <w:t xml:space="preserve">Proposal </w:t>
      </w:r>
      <w:r>
        <w:rPr>
          <w:rFonts w:hint="eastAsia"/>
          <w:b/>
          <w:sz w:val="20"/>
        </w:rPr>
        <w:t>8</w:t>
      </w:r>
      <w:r w:rsidRPr="006314FB">
        <w:rPr>
          <w:rFonts w:hint="eastAsia"/>
          <w:b/>
          <w:sz w:val="20"/>
        </w:rPr>
        <w:t>:</w:t>
      </w:r>
      <w:r>
        <w:t xml:space="preserve"> </w:t>
      </w:r>
      <w:r>
        <w:rPr>
          <w:rFonts w:hint="eastAsia"/>
          <w:b/>
          <w:sz w:val="20"/>
        </w:rPr>
        <w:t>It is acceptable that u</w:t>
      </w:r>
      <w:r w:rsidRPr="00B26861">
        <w:rPr>
          <w:b/>
          <w:sz w:val="20"/>
        </w:rPr>
        <w:t>plink spatial relation switch delay requirement will not be applicable for R18 ATG</w:t>
      </w:r>
      <w:r>
        <w:rPr>
          <w:rFonts w:hint="eastAsia"/>
          <w:b/>
          <w:sz w:val="20"/>
        </w:rPr>
        <w:t>.</w:t>
      </w:r>
    </w:p>
    <w:p w:rsidR="00FD062D" w:rsidRPr="00B26861" w:rsidRDefault="00FD062D" w:rsidP="008758CC">
      <w:pPr>
        <w:spacing w:before="0" w:after="120"/>
        <w:jc w:val="left"/>
        <w:rPr>
          <w:sz w:val="20"/>
        </w:rPr>
      </w:pPr>
      <w:bookmarkStart w:id="4" w:name="_GoBack"/>
      <w:bookmarkEnd w:id="4"/>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C67841" w:rsidRDefault="009973FC" w:rsidP="009973FC">
      <w:pPr>
        <w:pStyle w:val="ab"/>
        <w:ind w:left="540" w:hangingChars="270" w:hanging="540"/>
        <w:rPr>
          <w:sz w:val="20"/>
        </w:rPr>
      </w:pPr>
      <w:r>
        <w:rPr>
          <w:rFonts w:hint="eastAsia"/>
          <w:sz w:val="20"/>
        </w:rPr>
        <w:t>[1]</w:t>
      </w:r>
      <w:r w:rsidR="00C02493">
        <w:rPr>
          <w:rFonts w:hint="eastAsia"/>
          <w:sz w:val="20"/>
        </w:rPr>
        <w:tab/>
      </w:r>
      <w:r w:rsidR="00DE43AA" w:rsidRPr="00DE43AA">
        <w:rPr>
          <w:sz w:val="20"/>
        </w:rPr>
        <w:t>R4-2217256</w:t>
      </w:r>
      <w:r w:rsidR="00246DF8">
        <w:rPr>
          <w:rFonts w:hint="eastAsia"/>
          <w:sz w:val="20"/>
        </w:rPr>
        <w:t xml:space="preserve">, </w:t>
      </w:r>
      <w:r w:rsidR="00DE43AA" w:rsidRPr="00DE43AA">
        <w:rPr>
          <w:sz w:val="20"/>
        </w:rPr>
        <w:t>WF on NR ATG RRM core requirements</w:t>
      </w:r>
      <w:r w:rsidR="00246DF8">
        <w:rPr>
          <w:rFonts w:hint="eastAsia"/>
          <w:sz w:val="20"/>
        </w:rPr>
        <w:t>,</w:t>
      </w:r>
      <w:r w:rsidR="00246DF8" w:rsidRPr="00246DF8">
        <w:rPr>
          <w:sz w:val="20"/>
        </w:rPr>
        <w:tab/>
      </w:r>
      <w:r w:rsidR="00DE43AA">
        <w:rPr>
          <w:rFonts w:hint="eastAsia"/>
          <w:sz w:val="20"/>
        </w:rPr>
        <w:t xml:space="preserve"> </w:t>
      </w:r>
      <w:r w:rsidR="00246DF8" w:rsidRPr="00246DF8">
        <w:rPr>
          <w:sz w:val="20"/>
        </w:rPr>
        <w:t>C</w:t>
      </w:r>
      <w:r w:rsidR="00DE43AA">
        <w:rPr>
          <w:rFonts w:hint="eastAsia"/>
          <w:sz w:val="20"/>
        </w:rPr>
        <w:t>MCC</w:t>
      </w:r>
    </w:p>
    <w:p w:rsidR="00B534BF" w:rsidRPr="00B534BF" w:rsidRDefault="00B534BF" w:rsidP="009973FC">
      <w:pPr>
        <w:pStyle w:val="ab"/>
        <w:ind w:left="540" w:hangingChars="270" w:hanging="540"/>
        <w:rPr>
          <w:sz w:val="20"/>
        </w:rPr>
      </w:pPr>
    </w:p>
    <w:sectPr w:rsidR="00B534BF" w:rsidRPr="00B534BF"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0DF2" w:rsidRDefault="00040DF2" w:rsidP="0095591C">
      <w:pPr>
        <w:spacing w:after="60"/>
        <w:ind w:left="210"/>
      </w:pPr>
      <w:r>
        <w:separator/>
      </w:r>
    </w:p>
    <w:p w:rsidR="00040DF2" w:rsidRDefault="00040DF2"/>
  </w:endnote>
  <w:endnote w:type="continuationSeparator" w:id="0">
    <w:p w:rsidR="00040DF2" w:rsidRDefault="00040DF2" w:rsidP="0095591C">
      <w:pPr>
        <w:spacing w:after="60"/>
        <w:ind w:left="210"/>
      </w:pPr>
      <w:r>
        <w:continuationSeparator/>
      </w:r>
    </w:p>
    <w:p w:rsidR="00040DF2" w:rsidRDefault="00040D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default"/>
    <w:sig w:usb0="00000000" w:usb1="00000000"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00"/>
    <w:family w:val="modern"/>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26861">
      <w:t>3</w:t>
    </w:r>
    <w:r>
      <w:fldChar w:fldCharType="end"/>
    </w:r>
  </w:p>
  <w:p w:rsidR="00D2645F" w:rsidRDefault="00D2645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0DF2" w:rsidRDefault="00040DF2" w:rsidP="0095591C">
      <w:pPr>
        <w:spacing w:after="60"/>
        <w:ind w:left="210"/>
      </w:pPr>
      <w:r>
        <w:separator/>
      </w:r>
    </w:p>
    <w:p w:rsidR="00040DF2" w:rsidRDefault="00040DF2"/>
  </w:footnote>
  <w:footnote w:type="continuationSeparator" w:id="0">
    <w:p w:rsidR="00040DF2" w:rsidRDefault="00040DF2" w:rsidP="0095591C">
      <w:pPr>
        <w:spacing w:after="60"/>
        <w:ind w:left="210"/>
      </w:pPr>
      <w:r>
        <w:continuationSeparator/>
      </w:r>
    </w:p>
    <w:p w:rsidR="00040DF2" w:rsidRDefault="00040DF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D2645F" w:rsidRDefault="00D2645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2">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nsid w:val="0E3E0936"/>
    <w:multiLevelType w:val="hybridMultilevel"/>
    <w:tmpl w:val="2728887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9">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10">
    <w:nsid w:val="15226DD7"/>
    <w:multiLevelType w:val="hybridMultilevel"/>
    <w:tmpl w:val="5624F4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2">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3">
    <w:nsid w:val="263E5508"/>
    <w:multiLevelType w:val="multilevel"/>
    <w:tmpl w:val="C1A6940A"/>
    <w:lvl w:ilvl="0">
      <w:numFmt w:val="decimal"/>
      <w:lvlText w:val="%1."/>
      <w:lvlJc w:val="left"/>
      <w:pPr>
        <w:ind w:left="425" w:hanging="425"/>
      </w:pPr>
      <w:rPr>
        <w:rFonts w:hint="eastAsia"/>
      </w:rPr>
    </w:lvl>
    <w:lvl w:ilvl="1">
      <w:start w:val="1"/>
      <w:numFmt w:val="decimal"/>
      <w:lvlText w:val="%1.%2."/>
      <w:lvlJc w:val="left"/>
      <w:pPr>
        <w:ind w:left="567" w:hanging="567"/>
      </w:pPr>
      <w:rPr>
        <w:rFonts w:hint="eastAsia"/>
        <w:sz w:val="24"/>
        <w:szCs w:val="22"/>
        <w:lang w:val="en-US"/>
      </w:rPr>
    </w:lvl>
    <w:lvl w:ilvl="2">
      <w:start w:val="1"/>
      <w:numFmt w:val="decimal"/>
      <w:lvlText w:val="%1.%2.%3."/>
      <w:lvlJc w:val="left"/>
      <w:pPr>
        <w:ind w:left="709" w:hanging="709"/>
      </w:pPr>
      <w:rPr>
        <w:rFonts w:hint="eastAsia"/>
        <w:lang w:val="en-US"/>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BFB5204"/>
    <w:multiLevelType w:val="multilevel"/>
    <w:tmpl w:val="4FAE418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微软雅黑" w:eastAsia="微软雅黑" w:hAnsi="微软雅黑" w:hint="eastAsia"/>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nsid w:val="3D941EC1"/>
    <w:multiLevelType w:val="hybridMultilevel"/>
    <w:tmpl w:val="02E4229E"/>
    <w:lvl w:ilvl="0" w:tplc="FFFFFFFF">
      <w:start w:val="1"/>
      <w:numFmt w:val="bullet"/>
      <w:lvlText w:val=""/>
      <w:lvlJc w:val="left"/>
      <w:pPr>
        <w:ind w:left="104" w:hanging="360"/>
      </w:pPr>
      <w:rPr>
        <w:rFonts w:ascii="Symbol" w:hAnsi="Symbol" w:hint="default"/>
      </w:rPr>
    </w:lvl>
    <w:lvl w:ilvl="1" w:tplc="FFFFFFFF">
      <w:start w:val="1"/>
      <w:numFmt w:val="bullet"/>
      <w:lvlText w:val="o"/>
      <w:lvlJc w:val="left"/>
      <w:pPr>
        <w:ind w:left="824" w:hanging="360"/>
      </w:pPr>
      <w:rPr>
        <w:rFonts w:ascii="Courier New" w:hAnsi="Courier New" w:cs="Courier New" w:hint="default"/>
      </w:rPr>
    </w:lvl>
    <w:lvl w:ilvl="2" w:tplc="04190003">
      <w:start w:val="1"/>
      <w:numFmt w:val="bullet"/>
      <w:lvlText w:val="o"/>
      <w:lvlJc w:val="left"/>
      <w:pPr>
        <w:ind w:left="1604" w:hanging="420"/>
      </w:pPr>
      <w:rPr>
        <w:rFonts w:ascii="Courier New" w:hAnsi="Courier New" w:cs="Courier New" w:hint="default"/>
      </w:rPr>
    </w:lvl>
    <w:lvl w:ilvl="3" w:tplc="FFFFFFFF">
      <w:start w:val="1"/>
      <w:numFmt w:val="bullet"/>
      <w:lvlText w:val=""/>
      <w:lvlJc w:val="left"/>
      <w:pPr>
        <w:ind w:left="2264" w:hanging="360"/>
      </w:pPr>
      <w:rPr>
        <w:rFonts w:ascii="Symbol" w:hAnsi="Symbol" w:hint="default"/>
      </w:rPr>
    </w:lvl>
    <w:lvl w:ilvl="4" w:tplc="FFFFFFFF">
      <w:start w:val="1"/>
      <w:numFmt w:val="bullet"/>
      <w:lvlText w:val="o"/>
      <w:lvlJc w:val="left"/>
      <w:pPr>
        <w:ind w:left="2984" w:hanging="360"/>
      </w:pPr>
      <w:rPr>
        <w:rFonts w:ascii="Courier New" w:hAnsi="Courier New" w:cs="Courier New" w:hint="default"/>
      </w:rPr>
    </w:lvl>
    <w:lvl w:ilvl="5" w:tplc="FFFFFFFF" w:tentative="1">
      <w:start w:val="1"/>
      <w:numFmt w:val="bullet"/>
      <w:lvlText w:val=""/>
      <w:lvlJc w:val="left"/>
      <w:pPr>
        <w:ind w:left="3704" w:hanging="360"/>
      </w:pPr>
      <w:rPr>
        <w:rFonts w:ascii="Wingdings" w:hAnsi="Wingdings" w:hint="default"/>
      </w:rPr>
    </w:lvl>
    <w:lvl w:ilvl="6" w:tplc="FFFFFFFF" w:tentative="1">
      <w:start w:val="1"/>
      <w:numFmt w:val="bullet"/>
      <w:lvlText w:val=""/>
      <w:lvlJc w:val="left"/>
      <w:pPr>
        <w:ind w:left="4424" w:hanging="360"/>
      </w:pPr>
      <w:rPr>
        <w:rFonts w:ascii="Symbol" w:hAnsi="Symbol" w:hint="default"/>
      </w:rPr>
    </w:lvl>
    <w:lvl w:ilvl="7" w:tplc="FFFFFFFF" w:tentative="1">
      <w:start w:val="1"/>
      <w:numFmt w:val="bullet"/>
      <w:lvlText w:val="o"/>
      <w:lvlJc w:val="left"/>
      <w:pPr>
        <w:ind w:left="5144" w:hanging="360"/>
      </w:pPr>
      <w:rPr>
        <w:rFonts w:ascii="Courier New" w:hAnsi="Courier New" w:cs="Courier New" w:hint="default"/>
      </w:rPr>
    </w:lvl>
    <w:lvl w:ilvl="8" w:tplc="FFFFFFFF" w:tentative="1">
      <w:start w:val="1"/>
      <w:numFmt w:val="bullet"/>
      <w:lvlText w:val=""/>
      <w:lvlJc w:val="left"/>
      <w:pPr>
        <w:ind w:left="5864" w:hanging="360"/>
      </w:pPr>
      <w:rPr>
        <w:rFonts w:ascii="Wingdings" w:hAnsi="Wingdings" w:hint="default"/>
      </w:rPr>
    </w:lvl>
  </w:abstractNum>
  <w:abstractNum w:abstractNumId="22">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6">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8">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2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1">
    <w:nsid w:val="528C02FE"/>
    <w:multiLevelType w:val="hybridMultilevel"/>
    <w:tmpl w:val="2728887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7">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1">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30"/>
  </w:num>
  <w:num w:numId="2">
    <w:abstractNumId w:val="11"/>
  </w:num>
  <w:num w:numId="3">
    <w:abstractNumId w:val="3"/>
  </w:num>
  <w:num w:numId="4">
    <w:abstractNumId w:val="26"/>
  </w:num>
  <w:num w:numId="5">
    <w:abstractNumId w:val="15"/>
  </w:num>
  <w:num w:numId="6">
    <w:abstractNumId w:val="42"/>
  </w:num>
  <w:num w:numId="7">
    <w:abstractNumId w:val="7"/>
  </w:num>
  <w:num w:numId="8">
    <w:abstractNumId w:val="29"/>
  </w:num>
  <w:num w:numId="9">
    <w:abstractNumId w:val="18"/>
  </w:num>
  <w:num w:numId="10">
    <w:abstractNumId w:val="39"/>
  </w:num>
  <w:num w:numId="11">
    <w:abstractNumId w:val="43"/>
  </w:num>
  <w:num w:numId="12">
    <w:abstractNumId w:val="44"/>
  </w:num>
  <w:num w:numId="13">
    <w:abstractNumId w:val="19"/>
  </w:num>
  <w:num w:numId="14">
    <w:abstractNumId w:val="24"/>
  </w:num>
  <w:num w:numId="15">
    <w:abstractNumId w:val="17"/>
  </w:num>
  <w:num w:numId="16">
    <w:abstractNumId w:val="38"/>
  </w:num>
  <w:num w:numId="17">
    <w:abstractNumId w:val="0"/>
  </w:num>
  <w:num w:numId="18">
    <w:abstractNumId w:val="27"/>
  </w:num>
  <w:num w:numId="19">
    <w:abstractNumId w:val="34"/>
  </w:num>
  <w:num w:numId="20">
    <w:abstractNumId w:val="37"/>
  </w:num>
  <w:num w:numId="21">
    <w:abstractNumId w:val="35"/>
  </w:num>
  <w:num w:numId="22">
    <w:abstractNumId w:val="22"/>
  </w:num>
  <w:num w:numId="23">
    <w:abstractNumId w:val="4"/>
  </w:num>
  <w:num w:numId="24">
    <w:abstractNumId w:val="45"/>
  </w:num>
  <w:num w:numId="25">
    <w:abstractNumId w:val="41"/>
  </w:num>
  <w:num w:numId="26">
    <w:abstractNumId w:val="14"/>
  </w:num>
  <w:num w:numId="27">
    <w:abstractNumId w:val="25"/>
  </w:num>
  <w:num w:numId="28">
    <w:abstractNumId w:val="28"/>
  </w:num>
  <w:num w:numId="29">
    <w:abstractNumId w:val="16"/>
  </w:num>
  <w:num w:numId="30">
    <w:abstractNumId w:val="9"/>
  </w:num>
  <w:num w:numId="31">
    <w:abstractNumId w:val="8"/>
  </w:num>
  <w:num w:numId="32">
    <w:abstractNumId w:val="1"/>
  </w:num>
  <w:num w:numId="33">
    <w:abstractNumId w:val="23"/>
  </w:num>
  <w:num w:numId="34">
    <w:abstractNumId w:val="36"/>
  </w:num>
  <w:num w:numId="35">
    <w:abstractNumId w:val="6"/>
  </w:num>
  <w:num w:numId="36">
    <w:abstractNumId w:val="40"/>
  </w:num>
  <w:num w:numId="37">
    <w:abstractNumId w:val="12"/>
  </w:num>
  <w:num w:numId="38">
    <w:abstractNumId w:val="33"/>
  </w:num>
  <w:num w:numId="39">
    <w:abstractNumId w:val="32"/>
  </w:num>
  <w:num w:numId="40">
    <w:abstractNumId w:val="2"/>
  </w:num>
  <w:num w:numId="41">
    <w:abstractNumId w:val="21"/>
  </w:num>
  <w:num w:numId="42">
    <w:abstractNumId w:val="5"/>
  </w:num>
  <w:num w:numId="43">
    <w:abstractNumId w:val="31"/>
  </w:num>
  <w:num w:numId="44">
    <w:abstractNumId w:val="10"/>
  </w:num>
  <w:num w:numId="45">
    <w:abstractNumId w:val="13"/>
  </w:num>
  <w:num w:numId="46">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6"/>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3D"/>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8BD"/>
    <w:rsid w:val="00035A34"/>
    <w:rsid w:val="00036370"/>
    <w:rsid w:val="00036379"/>
    <w:rsid w:val="00036CBF"/>
    <w:rsid w:val="00036EE0"/>
    <w:rsid w:val="000373FB"/>
    <w:rsid w:val="00037A61"/>
    <w:rsid w:val="000400BB"/>
    <w:rsid w:val="00040715"/>
    <w:rsid w:val="00040A6C"/>
    <w:rsid w:val="00040DF2"/>
    <w:rsid w:val="00040FF7"/>
    <w:rsid w:val="0004165F"/>
    <w:rsid w:val="00041A26"/>
    <w:rsid w:val="0004232E"/>
    <w:rsid w:val="00042751"/>
    <w:rsid w:val="0004435A"/>
    <w:rsid w:val="0004464F"/>
    <w:rsid w:val="000450E6"/>
    <w:rsid w:val="00045184"/>
    <w:rsid w:val="00045419"/>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814"/>
    <w:rsid w:val="00077EDB"/>
    <w:rsid w:val="00080509"/>
    <w:rsid w:val="00080ACE"/>
    <w:rsid w:val="00080D43"/>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7A4"/>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4371"/>
    <w:rsid w:val="000E4A9B"/>
    <w:rsid w:val="000E5879"/>
    <w:rsid w:val="000E5934"/>
    <w:rsid w:val="000E5E29"/>
    <w:rsid w:val="000E6FAE"/>
    <w:rsid w:val="000E75F3"/>
    <w:rsid w:val="000F04CD"/>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32A8"/>
    <w:rsid w:val="00103A77"/>
    <w:rsid w:val="001042E9"/>
    <w:rsid w:val="00104894"/>
    <w:rsid w:val="00105D6A"/>
    <w:rsid w:val="00106EBC"/>
    <w:rsid w:val="0010715C"/>
    <w:rsid w:val="00107581"/>
    <w:rsid w:val="00107936"/>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564F"/>
    <w:rsid w:val="00115BCF"/>
    <w:rsid w:val="00115E4E"/>
    <w:rsid w:val="001166C0"/>
    <w:rsid w:val="001166EC"/>
    <w:rsid w:val="00117102"/>
    <w:rsid w:val="00117363"/>
    <w:rsid w:val="00117570"/>
    <w:rsid w:val="001176F3"/>
    <w:rsid w:val="00117D5C"/>
    <w:rsid w:val="001202FD"/>
    <w:rsid w:val="00120A0E"/>
    <w:rsid w:val="00121213"/>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C00"/>
    <w:rsid w:val="00133F99"/>
    <w:rsid w:val="0013443E"/>
    <w:rsid w:val="001346AD"/>
    <w:rsid w:val="00135355"/>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12B"/>
    <w:rsid w:val="00165816"/>
    <w:rsid w:val="00166042"/>
    <w:rsid w:val="00166236"/>
    <w:rsid w:val="0016649F"/>
    <w:rsid w:val="001664A6"/>
    <w:rsid w:val="00167474"/>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D29"/>
    <w:rsid w:val="00174F4F"/>
    <w:rsid w:val="0017520F"/>
    <w:rsid w:val="001755BD"/>
    <w:rsid w:val="001767C6"/>
    <w:rsid w:val="00176A12"/>
    <w:rsid w:val="00177337"/>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AB3"/>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4260"/>
    <w:rsid w:val="001C5BCF"/>
    <w:rsid w:val="001C5CCE"/>
    <w:rsid w:val="001C5D28"/>
    <w:rsid w:val="001C6FB5"/>
    <w:rsid w:val="001C72D7"/>
    <w:rsid w:val="001C7D11"/>
    <w:rsid w:val="001D04D8"/>
    <w:rsid w:val="001D109B"/>
    <w:rsid w:val="001D11DA"/>
    <w:rsid w:val="001D11E8"/>
    <w:rsid w:val="001D1B1E"/>
    <w:rsid w:val="001D1EBB"/>
    <w:rsid w:val="001D1F9C"/>
    <w:rsid w:val="001D2EA8"/>
    <w:rsid w:val="001D40F2"/>
    <w:rsid w:val="001D45D5"/>
    <w:rsid w:val="001D49AD"/>
    <w:rsid w:val="001D4D23"/>
    <w:rsid w:val="001D580C"/>
    <w:rsid w:val="001D5B21"/>
    <w:rsid w:val="001D6C2E"/>
    <w:rsid w:val="001D7430"/>
    <w:rsid w:val="001D7B02"/>
    <w:rsid w:val="001E05B9"/>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190"/>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10E29"/>
    <w:rsid w:val="002116DB"/>
    <w:rsid w:val="002118A8"/>
    <w:rsid w:val="00212CEE"/>
    <w:rsid w:val="00213644"/>
    <w:rsid w:val="002136ED"/>
    <w:rsid w:val="00213953"/>
    <w:rsid w:val="00213C3B"/>
    <w:rsid w:val="0021401C"/>
    <w:rsid w:val="002140F1"/>
    <w:rsid w:val="002141FB"/>
    <w:rsid w:val="00214851"/>
    <w:rsid w:val="00214BBE"/>
    <w:rsid w:val="00215A5E"/>
    <w:rsid w:val="00215AC2"/>
    <w:rsid w:val="00215BCE"/>
    <w:rsid w:val="002174B4"/>
    <w:rsid w:val="002175F1"/>
    <w:rsid w:val="0022024B"/>
    <w:rsid w:val="00220892"/>
    <w:rsid w:val="002208C7"/>
    <w:rsid w:val="00221759"/>
    <w:rsid w:val="0022240E"/>
    <w:rsid w:val="00222719"/>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377D"/>
    <w:rsid w:val="0023412D"/>
    <w:rsid w:val="00234440"/>
    <w:rsid w:val="00235545"/>
    <w:rsid w:val="002357A1"/>
    <w:rsid w:val="00236307"/>
    <w:rsid w:val="0023685C"/>
    <w:rsid w:val="0024094A"/>
    <w:rsid w:val="00240C4E"/>
    <w:rsid w:val="00241551"/>
    <w:rsid w:val="00241BAE"/>
    <w:rsid w:val="00241E48"/>
    <w:rsid w:val="00241EED"/>
    <w:rsid w:val="00243682"/>
    <w:rsid w:val="00243E57"/>
    <w:rsid w:val="00243E93"/>
    <w:rsid w:val="002443EF"/>
    <w:rsid w:val="00244D36"/>
    <w:rsid w:val="002450C7"/>
    <w:rsid w:val="00245BF6"/>
    <w:rsid w:val="0024629E"/>
    <w:rsid w:val="00246D80"/>
    <w:rsid w:val="00246DF8"/>
    <w:rsid w:val="00246FFE"/>
    <w:rsid w:val="002474BB"/>
    <w:rsid w:val="002479DD"/>
    <w:rsid w:val="00247CD6"/>
    <w:rsid w:val="00250668"/>
    <w:rsid w:val="002519C5"/>
    <w:rsid w:val="00251C7B"/>
    <w:rsid w:val="00252B1D"/>
    <w:rsid w:val="00253080"/>
    <w:rsid w:val="0025390D"/>
    <w:rsid w:val="00254079"/>
    <w:rsid w:val="00254308"/>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7B8"/>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73F5"/>
    <w:rsid w:val="00277607"/>
    <w:rsid w:val="002800A9"/>
    <w:rsid w:val="0028041A"/>
    <w:rsid w:val="00280B27"/>
    <w:rsid w:val="00281149"/>
    <w:rsid w:val="00281D4A"/>
    <w:rsid w:val="00281F1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5F3B"/>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0893"/>
    <w:rsid w:val="00341432"/>
    <w:rsid w:val="003420B6"/>
    <w:rsid w:val="003434AB"/>
    <w:rsid w:val="0034365C"/>
    <w:rsid w:val="00343B9A"/>
    <w:rsid w:val="0034428A"/>
    <w:rsid w:val="003444CF"/>
    <w:rsid w:val="00344C54"/>
    <w:rsid w:val="003454F3"/>
    <w:rsid w:val="003465E0"/>
    <w:rsid w:val="00346872"/>
    <w:rsid w:val="00346CAD"/>
    <w:rsid w:val="00346D6D"/>
    <w:rsid w:val="0034768C"/>
    <w:rsid w:val="003477FC"/>
    <w:rsid w:val="00347AA1"/>
    <w:rsid w:val="00347F3B"/>
    <w:rsid w:val="00350933"/>
    <w:rsid w:val="00350979"/>
    <w:rsid w:val="00351623"/>
    <w:rsid w:val="00351A25"/>
    <w:rsid w:val="00352026"/>
    <w:rsid w:val="00352AE6"/>
    <w:rsid w:val="003537FC"/>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23EA"/>
    <w:rsid w:val="00362DA1"/>
    <w:rsid w:val="00362E93"/>
    <w:rsid w:val="00363612"/>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A6E27"/>
    <w:rsid w:val="003A7723"/>
    <w:rsid w:val="003B01CF"/>
    <w:rsid w:val="003B041E"/>
    <w:rsid w:val="003B1AAD"/>
    <w:rsid w:val="003B2154"/>
    <w:rsid w:val="003B3318"/>
    <w:rsid w:val="003B4720"/>
    <w:rsid w:val="003B52CB"/>
    <w:rsid w:val="003B56C8"/>
    <w:rsid w:val="003B58C8"/>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807"/>
    <w:rsid w:val="003E7EB9"/>
    <w:rsid w:val="003F003A"/>
    <w:rsid w:val="003F0278"/>
    <w:rsid w:val="003F0344"/>
    <w:rsid w:val="003F07D7"/>
    <w:rsid w:val="003F1A35"/>
    <w:rsid w:val="003F1E87"/>
    <w:rsid w:val="003F4519"/>
    <w:rsid w:val="003F453B"/>
    <w:rsid w:val="003F4816"/>
    <w:rsid w:val="003F49B8"/>
    <w:rsid w:val="003F4D47"/>
    <w:rsid w:val="003F5CA4"/>
    <w:rsid w:val="003F5DF8"/>
    <w:rsid w:val="003F6309"/>
    <w:rsid w:val="003F655B"/>
    <w:rsid w:val="003F6CD9"/>
    <w:rsid w:val="003F6F94"/>
    <w:rsid w:val="003F7107"/>
    <w:rsid w:val="0040036F"/>
    <w:rsid w:val="004007AC"/>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1BB0"/>
    <w:rsid w:val="00422172"/>
    <w:rsid w:val="0042357B"/>
    <w:rsid w:val="004236CA"/>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D9A"/>
    <w:rsid w:val="004669C7"/>
    <w:rsid w:val="00466FE2"/>
    <w:rsid w:val="00467619"/>
    <w:rsid w:val="00467807"/>
    <w:rsid w:val="00467890"/>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96D0D"/>
    <w:rsid w:val="00497F64"/>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286"/>
    <w:rsid w:val="004A68FF"/>
    <w:rsid w:val="004A6CE8"/>
    <w:rsid w:val="004A6FA6"/>
    <w:rsid w:val="004A799B"/>
    <w:rsid w:val="004B011F"/>
    <w:rsid w:val="004B07CA"/>
    <w:rsid w:val="004B1152"/>
    <w:rsid w:val="004B12FD"/>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4BC5"/>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6E8"/>
    <w:rsid w:val="004F387E"/>
    <w:rsid w:val="004F3976"/>
    <w:rsid w:val="004F40F5"/>
    <w:rsid w:val="004F465C"/>
    <w:rsid w:val="004F4F1E"/>
    <w:rsid w:val="004F5285"/>
    <w:rsid w:val="004F5C39"/>
    <w:rsid w:val="004F6436"/>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3D7C"/>
    <w:rsid w:val="00564273"/>
    <w:rsid w:val="0056469E"/>
    <w:rsid w:val="00566BC9"/>
    <w:rsid w:val="0056728F"/>
    <w:rsid w:val="00570059"/>
    <w:rsid w:val="00570AD1"/>
    <w:rsid w:val="00570B3E"/>
    <w:rsid w:val="00570B87"/>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99A"/>
    <w:rsid w:val="00580534"/>
    <w:rsid w:val="00580BB5"/>
    <w:rsid w:val="00581795"/>
    <w:rsid w:val="005819EC"/>
    <w:rsid w:val="00581A98"/>
    <w:rsid w:val="005821CD"/>
    <w:rsid w:val="0058252C"/>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4CC5"/>
    <w:rsid w:val="00595260"/>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43C"/>
    <w:rsid w:val="005A283B"/>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73D"/>
    <w:rsid w:val="005B185B"/>
    <w:rsid w:val="005B193C"/>
    <w:rsid w:val="005B1AE1"/>
    <w:rsid w:val="005B1E64"/>
    <w:rsid w:val="005B2241"/>
    <w:rsid w:val="005B237B"/>
    <w:rsid w:val="005B28E8"/>
    <w:rsid w:val="005B2BB0"/>
    <w:rsid w:val="005B403E"/>
    <w:rsid w:val="005B4B3B"/>
    <w:rsid w:val="005B5481"/>
    <w:rsid w:val="005B60A6"/>
    <w:rsid w:val="005B6402"/>
    <w:rsid w:val="005B6DDC"/>
    <w:rsid w:val="005B734C"/>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E7A61"/>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2B8"/>
    <w:rsid w:val="0060064D"/>
    <w:rsid w:val="006009F1"/>
    <w:rsid w:val="00600DB4"/>
    <w:rsid w:val="00601054"/>
    <w:rsid w:val="00601463"/>
    <w:rsid w:val="00601AA5"/>
    <w:rsid w:val="0060249D"/>
    <w:rsid w:val="00602AF1"/>
    <w:rsid w:val="00602BA2"/>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1DB"/>
    <w:rsid w:val="0063076F"/>
    <w:rsid w:val="0063086D"/>
    <w:rsid w:val="0063103A"/>
    <w:rsid w:val="006314FB"/>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066"/>
    <w:rsid w:val="006462E0"/>
    <w:rsid w:val="00646829"/>
    <w:rsid w:val="0064792E"/>
    <w:rsid w:val="00647D1F"/>
    <w:rsid w:val="00647FB1"/>
    <w:rsid w:val="00650584"/>
    <w:rsid w:val="00650E96"/>
    <w:rsid w:val="00650E98"/>
    <w:rsid w:val="006517BF"/>
    <w:rsid w:val="006519E2"/>
    <w:rsid w:val="00652515"/>
    <w:rsid w:val="006529C2"/>
    <w:rsid w:val="0065303E"/>
    <w:rsid w:val="00653A67"/>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E2F"/>
    <w:rsid w:val="00665EC2"/>
    <w:rsid w:val="00666242"/>
    <w:rsid w:val="00666301"/>
    <w:rsid w:val="006664F3"/>
    <w:rsid w:val="00666AC3"/>
    <w:rsid w:val="00666CD5"/>
    <w:rsid w:val="00667956"/>
    <w:rsid w:val="00667B55"/>
    <w:rsid w:val="00667F39"/>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686A"/>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220E"/>
    <w:rsid w:val="006B36CB"/>
    <w:rsid w:val="006B3A02"/>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D7D79"/>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2AFD"/>
    <w:rsid w:val="006F3492"/>
    <w:rsid w:val="006F356D"/>
    <w:rsid w:val="006F35BF"/>
    <w:rsid w:val="006F3CC0"/>
    <w:rsid w:val="006F43AF"/>
    <w:rsid w:val="006F4C19"/>
    <w:rsid w:val="006F53BB"/>
    <w:rsid w:val="006F560C"/>
    <w:rsid w:val="006F5AF5"/>
    <w:rsid w:val="006F6677"/>
    <w:rsid w:val="006F6E90"/>
    <w:rsid w:val="006F6F89"/>
    <w:rsid w:val="006F7346"/>
    <w:rsid w:val="006F78ED"/>
    <w:rsid w:val="006F7D9D"/>
    <w:rsid w:val="007013B6"/>
    <w:rsid w:val="00701B01"/>
    <w:rsid w:val="007034CB"/>
    <w:rsid w:val="0070353E"/>
    <w:rsid w:val="007043FD"/>
    <w:rsid w:val="00704735"/>
    <w:rsid w:val="00704AA4"/>
    <w:rsid w:val="00704D95"/>
    <w:rsid w:val="00705D5C"/>
    <w:rsid w:val="00706AD6"/>
    <w:rsid w:val="00706FA4"/>
    <w:rsid w:val="00707217"/>
    <w:rsid w:val="007078CE"/>
    <w:rsid w:val="00707F90"/>
    <w:rsid w:val="00710766"/>
    <w:rsid w:val="00710953"/>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CDC"/>
    <w:rsid w:val="00761ECB"/>
    <w:rsid w:val="00761FF7"/>
    <w:rsid w:val="007621B2"/>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23A3"/>
    <w:rsid w:val="007B2425"/>
    <w:rsid w:val="007B2758"/>
    <w:rsid w:val="007B2EDA"/>
    <w:rsid w:val="007B37AD"/>
    <w:rsid w:val="007B4BD9"/>
    <w:rsid w:val="007B4BFE"/>
    <w:rsid w:val="007B4E37"/>
    <w:rsid w:val="007B5C8C"/>
    <w:rsid w:val="007B5C9F"/>
    <w:rsid w:val="007B5E72"/>
    <w:rsid w:val="007B667A"/>
    <w:rsid w:val="007B6A31"/>
    <w:rsid w:val="007B729E"/>
    <w:rsid w:val="007B7479"/>
    <w:rsid w:val="007B7503"/>
    <w:rsid w:val="007B7F36"/>
    <w:rsid w:val="007C00F5"/>
    <w:rsid w:val="007C0413"/>
    <w:rsid w:val="007C0541"/>
    <w:rsid w:val="007C0570"/>
    <w:rsid w:val="007C09FD"/>
    <w:rsid w:val="007C1292"/>
    <w:rsid w:val="007C1BC5"/>
    <w:rsid w:val="007C1DDC"/>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6B4"/>
    <w:rsid w:val="00827FC2"/>
    <w:rsid w:val="00830D9B"/>
    <w:rsid w:val="00830ECB"/>
    <w:rsid w:val="00831240"/>
    <w:rsid w:val="00831F92"/>
    <w:rsid w:val="00832073"/>
    <w:rsid w:val="0083305E"/>
    <w:rsid w:val="0083365F"/>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D6"/>
    <w:rsid w:val="008603E3"/>
    <w:rsid w:val="008605B4"/>
    <w:rsid w:val="00861667"/>
    <w:rsid w:val="00861B5A"/>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571"/>
    <w:rsid w:val="00867A14"/>
    <w:rsid w:val="00867DBB"/>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5C4"/>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DA0"/>
    <w:rsid w:val="009412B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8"/>
    <w:rsid w:val="009522BC"/>
    <w:rsid w:val="0095257D"/>
    <w:rsid w:val="009527F7"/>
    <w:rsid w:val="00952DAC"/>
    <w:rsid w:val="009537B7"/>
    <w:rsid w:val="00953D22"/>
    <w:rsid w:val="00953E3C"/>
    <w:rsid w:val="00955728"/>
    <w:rsid w:val="0095591C"/>
    <w:rsid w:val="0095682C"/>
    <w:rsid w:val="009575E5"/>
    <w:rsid w:val="00960D63"/>
    <w:rsid w:val="009618B7"/>
    <w:rsid w:val="00962B95"/>
    <w:rsid w:val="00962D49"/>
    <w:rsid w:val="00962EEA"/>
    <w:rsid w:val="009632F4"/>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0D3A"/>
    <w:rsid w:val="00991458"/>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653"/>
    <w:rsid w:val="009B4738"/>
    <w:rsid w:val="009B4D3D"/>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80"/>
    <w:rsid w:val="009D2CF5"/>
    <w:rsid w:val="009D2F47"/>
    <w:rsid w:val="009D310E"/>
    <w:rsid w:val="009D33C0"/>
    <w:rsid w:val="009D344B"/>
    <w:rsid w:val="009D35F7"/>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3344"/>
    <w:rsid w:val="00A03547"/>
    <w:rsid w:val="00A03886"/>
    <w:rsid w:val="00A0478C"/>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1520"/>
    <w:rsid w:val="00A7173F"/>
    <w:rsid w:val="00A72439"/>
    <w:rsid w:val="00A7259E"/>
    <w:rsid w:val="00A7326D"/>
    <w:rsid w:val="00A73808"/>
    <w:rsid w:val="00A73D44"/>
    <w:rsid w:val="00A74463"/>
    <w:rsid w:val="00A7457F"/>
    <w:rsid w:val="00A74C7D"/>
    <w:rsid w:val="00A755E7"/>
    <w:rsid w:val="00A75D8F"/>
    <w:rsid w:val="00A7625B"/>
    <w:rsid w:val="00A7660C"/>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87"/>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570"/>
    <w:rsid w:val="00AA493D"/>
    <w:rsid w:val="00AA4C2C"/>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A75"/>
    <w:rsid w:val="00AF3ED2"/>
    <w:rsid w:val="00AF476A"/>
    <w:rsid w:val="00AF49BD"/>
    <w:rsid w:val="00AF4A8A"/>
    <w:rsid w:val="00AF4B60"/>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F3B"/>
    <w:rsid w:val="00B076BA"/>
    <w:rsid w:val="00B078B7"/>
    <w:rsid w:val="00B07945"/>
    <w:rsid w:val="00B07A5D"/>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86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74D"/>
    <w:rsid w:val="00B37B2A"/>
    <w:rsid w:val="00B37DAC"/>
    <w:rsid w:val="00B37FBA"/>
    <w:rsid w:val="00B4008D"/>
    <w:rsid w:val="00B4246E"/>
    <w:rsid w:val="00B42686"/>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2E9A"/>
    <w:rsid w:val="00B534BF"/>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61A"/>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F2"/>
    <w:rsid w:val="00BA45B8"/>
    <w:rsid w:val="00BA4659"/>
    <w:rsid w:val="00BA5394"/>
    <w:rsid w:val="00BA6447"/>
    <w:rsid w:val="00BA6B31"/>
    <w:rsid w:val="00BA6CDE"/>
    <w:rsid w:val="00BA7280"/>
    <w:rsid w:val="00BA7611"/>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C11"/>
    <w:rsid w:val="00BB6D11"/>
    <w:rsid w:val="00BB7979"/>
    <w:rsid w:val="00BB7BEA"/>
    <w:rsid w:val="00BB7DEF"/>
    <w:rsid w:val="00BB7E8A"/>
    <w:rsid w:val="00BC0B40"/>
    <w:rsid w:val="00BC0F55"/>
    <w:rsid w:val="00BC1C50"/>
    <w:rsid w:val="00BC1C6E"/>
    <w:rsid w:val="00BC2F66"/>
    <w:rsid w:val="00BC3349"/>
    <w:rsid w:val="00BC33E8"/>
    <w:rsid w:val="00BC3A0D"/>
    <w:rsid w:val="00BC3B23"/>
    <w:rsid w:val="00BC3E0D"/>
    <w:rsid w:val="00BC3F33"/>
    <w:rsid w:val="00BC3F70"/>
    <w:rsid w:val="00BC411B"/>
    <w:rsid w:val="00BC499E"/>
    <w:rsid w:val="00BC5ACA"/>
    <w:rsid w:val="00BC6357"/>
    <w:rsid w:val="00BC6591"/>
    <w:rsid w:val="00BC6745"/>
    <w:rsid w:val="00BC69D9"/>
    <w:rsid w:val="00BC7472"/>
    <w:rsid w:val="00BC7CA8"/>
    <w:rsid w:val="00BD0E50"/>
    <w:rsid w:val="00BD1002"/>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424"/>
    <w:rsid w:val="00BE0D7D"/>
    <w:rsid w:val="00BE1623"/>
    <w:rsid w:val="00BE1796"/>
    <w:rsid w:val="00BE2030"/>
    <w:rsid w:val="00BE236A"/>
    <w:rsid w:val="00BE2464"/>
    <w:rsid w:val="00BE2D10"/>
    <w:rsid w:val="00BE2DAE"/>
    <w:rsid w:val="00BE32D8"/>
    <w:rsid w:val="00BE35DE"/>
    <w:rsid w:val="00BE4703"/>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39DD"/>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694"/>
    <w:rsid w:val="00C318C4"/>
    <w:rsid w:val="00C32090"/>
    <w:rsid w:val="00C32242"/>
    <w:rsid w:val="00C32418"/>
    <w:rsid w:val="00C32808"/>
    <w:rsid w:val="00C32C43"/>
    <w:rsid w:val="00C33168"/>
    <w:rsid w:val="00C3333C"/>
    <w:rsid w:val="00C33B5C"/>
    <w:rsid w:val="00C33EF2"/>
    <w:rsid w:val="00C34497"/>
    <w:rsid w:val="00C34588"/>
    <w:rsid w:val="00C345E4"/>
    <w:rsid w:val="00C34A11"/>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4042"/>
    <w:rsid w:val="00C440F1"/>
    <w:rsid w:val="00C44421"/>
    <w:rsid w:val="00C4491E"/>
    <w:rsid w:val="00C44940"/>
    <w:rsid w:val="00C44999"/>
    <w:rsid w:val="00C45C96"/>
    <w:rsid w:val="00C4625E"/>
    <w:rsid w:val="00C46890"/>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3B"/>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EB3"/>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FB0"/>
    <w:rsid w:val="00CD10F0"/>
    <w:rsid w:val="00CD1319"/>
    <w:rsid w:val="00CD1593"/>
    <w:rsid w:val="00CD1BD9"/>
    <w:rsid w:val="00CD2136"/>
    <w:rsid w:val="00CD237E"/>
    <w:rsid w:val="00CD27B3"/>
    <w:rsid w:val="00CD2908"/>
    <w:rsid w:val="00CD2948"/>
    <w:rsid w:val="00CD29FF"/>
    <w:rsid w:val="00CD2FA7"/>
    <w:rsid w:val="00CD30F1"/>
    <w:rsid w:val="00CD4043"/>
    <w:rsid w:val="00CD4A53"/>
    <w:rsid w:val="00CD4AC5"/>
    <w:rsid w:val="00CD4F96"/>
    <w:rsid w:val="00CD566D"/>
    <w:rsid w:val="00CD56C6"/>
    <w:rsid w:val="00CD5A93"/>
    <w:rsid w:val="00CD66A4"/>
    <w:rsid w:val="00CD68D1"/>
    <w:rsid w:val="00CD6C00"/>
    <w:rsid w:val="00CD763F"/>
    <w:rsid w:val="00CD7ACF"/>
    <w:rsid w:val="00CE0068"/>
    <w:rsid w:val="00CE04D9"/>
    <w:rsid w:val="00CE0FB4"/>
    <w:rsid w:val="00CE147C"/>
    <w:rsid w:val="00CE1D29"/>
    <w:rsid w:val="00CE1E03"/>
    <w:rsid w:val="00CE235F"/>
    <w:rsid w:val="00CE28FF"/>
    <w:rsid w:val="00CE370B"/>
    <w:rsid w:val="00CE3E48"/>
    <w:rsid w:val="00CE54D9"/>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4F13"/>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9BE"/>
    <w:rsid w:val="00D86D91"/>
    <w:rsid w:val="00D90213"/>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871"/>
    <w:rsid w:val="00DB78E6"/>
    <w:rsid w:val="00DB7CEF"/>
    <w:rsid w:val="00DC1442"/>
    <w:rsid w:val="00DC25DE"/>
    <w:rsid w:val="00DC2FDA"/>
    <w:rsid w:val="00DC33DC"/>
    <w:rsid w:val="00DC3656"/>
    <w:rsid w:val="00DC3890"/>
    <w:rsid w:val="00DC4704"/>
    <w:rsid w:val="00DC4D5D"/>
    <w:rsid w:val="00DC50D7"/>
    <w:rsid w:val="00DC511A"/>
    <w:rsid w:val="00DC5213"/>
    <w:rsid w:val="00DC53B7"/>
    <w:rsid w:val="00DC55A6"/>
    <w:rsid w:val="00DC5B73"/>
    <w:rsid w:val="00DC6E4E"/>
    <w:rsid w:val="00DC7E95"/>
    <w:rsid w:val="00DD1C36"/>
    <w:rsid w:val="00DD2147"/>
    <w:rsid w:val="00DD2A63"/>
    <w:rsid w:val="00DD2F05"/>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43AA"/>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46F4"/>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7AE1"/>
    <w:rsid w:val="00E67F67"/>
    <w:rsid w:val="00E702FC"/>
    <w:rsid w:val="00E70346"/>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A56"/>
    <w:rsid w:val="00E77C7C"/>
    <w:rsid w:val="00E77DEE"/>
    <w:rsid w:val="00E77E9A"/>
    <w:rsid w:val="00E801B9"/>
    <w:rsid w:val="00E80310"/>
    <w:rsid w:val="00E804D8"/>
    <w:rsid w:val="00E80B06"/>
    <w:rsid w:val="00E81053"/>
    <w:rsid w:val="00E81738"/>
    <w:rsid w:val="00E81F2E"/>
    <w:rsid w:val="00E82718"/>
    <w:rsid w:val="00E82C9E"/>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9A1"/>
    <w:rsid w:val="00EB7C59"/>
    <w:rsid w:val="00EB7F31"/>
    <w:rsid w:val="00EC02CC"/>
    <w:rsid w:val="00EC0838"/>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CE4"/>
    <w:rsid w:val="00ED01E8"/>
    <w:rsid w:val="00ED02C4"/>
    <w:rsid w:val="00ED08B7"/>
    <w:rsid w:val="00ED0B7D"/>
    <w:rsid w:val="00ED0D00"/>
    <w:rsid w:val="00ED0F3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16CC"/>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A97"/>
    <w:rsid w:val="00F35D9D"/>
    <w:rsid w:val="00F364D1"/>
    <w:rsid w:val="00F36E72"/>
    <w:rsid w:val="00F3795E"/>
    <w:rsid w:val="00F37B23"/>
    <w:rsid w:val="00F406F9"/>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70D"/>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1E2"/>
    <w:rsid w:val="00FA42C7"/>
    <w:rsid w:val="00FA4488"/>
    <w:rsid w:val="00FA4946"/>
    <w:rsid w:val="00FA4974"/>
    <w:rsid w:val="00FA61DA"/>
    <w:rsid w:val="00FA662B"/>
    <w:rsid w:val="00FA695A"/>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62D"/>
    <w:rsid w:val="00FD0C18"/>
    <w:rsid w:val="00FD11FD"/>
    <w:rsid w:val="00FD130D"/>
    <w:rsid w:val="00FD1909"/>
    <w:rsid w:val="00FD3067"/>
    <w:rsid w:val="00FD3769"/>
    <w:rsid w:val="00FD376A"/>
    <w:rsid w:val="00FD41CC"/>
    <w:rsid w:val="00FD44D9"/>
    <w:rsid w:val="00FD4B0C"/>
    <w:rsid w:val="00FD500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B1BAC0-7862-4E09-9317-8137DEF61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937</TotalTime>
  <Pages>3</Pages>
  <Words>851</Words>
  <Characters>4856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5696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Lingyu Gao - CATT</cp:lastModifiedBy>
  <cp:revision>90</cp:revision>
  <cp:lastPrinted>2007-04-24T00:59:00Z</cp:lastPrinted>
  <dcterms:created xsi:type="dcterms:W3CDTF">2022-08-09T16:43:00Z</dcterms:created>
  <dcterms:modified xsi:type="dcterms:W3CDTF">2022-11-07T11:33:00Z</dcterms:modified>
</cp:coreProperties>
</file>