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737B" w14:textId="51656BDE" w:rsidR="00F72F2D" w:rsidRPr="00F72F2D" w:rsidRDefault="00F72F2D" w:rsidP="00F72F2D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F72F2D">
        <w:rPr>
          <w:b/>
          <w:noProof/>
          <w:sz w:val="24"/>
          <w:szCs w:val="24"/>
          <w:lang w:val="en-US"/>
        </w:rPr>
        <w:t>3GPP TSG-RAN WG4 Meeting # 105</w:t>
      </w:r>
      <w:r w:rsidRPr="00F72F2D">
        <w:rPr>
          <w:b/>
          <w:noProof/>
          <w:sz w:val="24"/>
          <w:szCs w:val="24"/>
          <w:lang w:val="en-US"/>
        </w:rPr>
        <w:tab/>
      </w:r>
      <w:r w:rsidR="00CE5A8A" w:rsidRPr="00CE5A8A">
        <w:rPr>
          <w:b/>
          <w:noProof/>
          <w:sz w:val="24"/>
          <w:szCs w:val="24"/>
          <w:lang w:val="en-US"/>
        </w:rPr>
        <w:t>R4-2218021</w:t>
      </w:r>
    </w:p>
    <w:p w14:paraId="74721B39" w14:textId="41E7A079" w:rsidR="00F72F2D" w:rsidRDefault="00F72F2D" w:rsidP="00F72F2D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F72F2D">
        <w:rPr>
          <w:b/>
          <w:noProof/>
          <w:sz w:val="24"/>
          <w:szCs w:val="24"/>
          <w:lang w:val="en-US"/>
        </w:rPr>
        <w:t>Toulouse, France, November 14 –</w:t>
      </w:r>
      <w:r w:rsidR="00F71FEB">
        <w:rPr>
          <w:b/>
          <w:noProof/>
          <w:sz w:val="24"/>
          <w:szCs w:val="24"/>
          <w:lang w:val="en-US"/>
        </w:rPr>
        <w:t xml:space="preserve"> </w:t>
      </w:r>
      <w:r w:rsidRPr="00F72F2D">
        <w:rPr>
          <w:b/>
          <w:noProof/>
          <w:sz w:val="24"/>
          <w:szCs w:val="24"/>
          <w:lang w:val="en-US"/>
        </w:rPr>
        <w:t>November 18, 2022</w:t>
      </w:r>
    </w:p>
    <w:p w14:paraId="718170DF" w14:textId="77777777" w:rsidR="00F72F2D" w:rsidRDefault="00F72F2D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588B4275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8B293C" w:rsidRPr="008B293C">
        <w:rPr>
          <w:b/>
          <w:noProof/>
          <w:sz w:val="24"/>
          <w:szCs w:val="24"/>
          <w:lang w:val="en-US"/>
        </w:rPr>
        <w:t>R1-2210674</w:t>
      </w:r>
    </w:p>
    <w:p w14:paraId="21D2646D" w14:textId="2CC61C6A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– 26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71F1DB5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>LS on work split principles adopted in RAN1 for power domain enhancement</w:t>
      </w:r>
      <w:r w:rsidR="00FC629B">
        <w:rPr>
          <w:rFonts w:ascii="Arial" w:hAnsi="Arial" w:cs="Arial"/>
          <w:bCs/>
          <w:color w:val="000000"/>
          <w:lang w:val="en-US"/>
        </w:rPr>
        <w:t>s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5E78784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23F34ADA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discussed 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work split principles </w:t>
      </w:r>
      <w:r>
        <w:rPr>
          <w:rFonts w:ascii="Arial" w:eastAsia="Yu Mincho" w:hAnsi="Arial" w:cs="Arial"/>
          <w:bCs/>
          <w:iCs/>
          <w:lang w:val="en-US" w:eastAsia="ja-JP"/>
        </w:rPr>
        <w:t>to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be adopted in RAN1 for power domain enhancement</w:t>
      </w:r>
      <w:r w:rsidR="00FC629B">
        <w:rPr>
          <w:rFonts w:ascii="Arial" w:eastAsia="Yu Mincho" w:hAnsi="Arial" w:cs="Arial"/>
          <w:bCs/>
          <w:iCs/>
          <w:lang w:val="en-US" w:eastAsia="ja-JP"/>
        </w:rPr>
        <w:t>s</w:t>
      </w:r>
      <w:r w:rsidRPr="0004789B">
        <w:rPr>
          <w:rFonts w:ascii="Arial" w:eastAsia="Yu Mincho" w:hAnsi="Arial" w:cs="Arial"/>
          <w:bCs/>
          <w:iCs/>
          <w:lang w:val="en-US" w:eastAsia="ja-JP"/>
        </w:rPr>
        <w:t xml:space="preserve"> throughout Rel-18 </w:t>
      </w:r>
      <w:r>
        <w:rPr>
          <w:rFonts w:ascii="Arial" w:eastAsia="Yu Mincho" w:hAnsi="Arial" w:cs="Arial"/>
          <w:bCs/>
          <w:iCs/>
          <w:lang w:val="en-US" w:eastAsia="ja-JP"/>
        </w:rPr>
        <w:t>and made the following agreement:</w:t>
      </w:r>
    </w:p>
    <w:p w14:paraId="22BC5360" w14:textId="77777777" w:rsidR="00172EEC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14:paraId="157F7089" w14:textId="77777777" w:rsidTr="00404105">
        <w:tc>
          <w:tcPr>
            <w:tcW w:w="9855" w:type="dxa"/>
          </w:tcPr>
          <w:p w14:paraId="2DD744D8" w14:textId="77777777" w:rsidR="00172EEC" w:rsidRDefault="00172EEC" w:rsidP="00404105">
            <w:pPr>
              <w:jc w:val="both"/>
              <w:rPr>
                <w:b/>
                <w:bCs/>
                <w:iCs/>
                <w:sz w:val="22"/>
                <w:szCs w:val="22"/>
                <w:highlight w:val="green"/>
                <w:lang w:eastAsia="en-US"/>
              </w:rPr>
            </w:pPr>
            <w:r>
              <w:rPr>
                <w:b/>
                <w:bCs/>
                <w:iCs/>
                <w:sz w:val="22"/>
                <w:szCs w:val="22"/>
                <w:highlight w:val="green"/>
              </w:rPr>
              <w:t>Agreement</w:t>
            </w:r>
          </w:p>
          <w:p w14:paraId="3678EA6F" w14:textId="77777777" w:rsidR="00172EEC" w:rsidRDefault="00172EEC" w:rsidP="0040410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The following work split principles will be adopted in RAN1 for power domain enhancement throughout Rel-18 from RAN1 perspective and send LS to RAN4 in this meeting:</w:t>
            </w:r>
          </w:p>
          <w:p w14:paraId="57C6879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performs link level simulations of candidate solutions for power domain enhancements to study at least the SNR variation, PAPR/CM, and EVM, brought by each solution.</w:t>
            </w:r>
          </w:p>
          <w:p w14:paraId="764D12A2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Transparent MPR/PAR reduction solutions can be considered as a benchmark for studying the performance of non-transparent solutions.</w:t>
            </w:r>
          </w:p>
          <w:p w14:paraId="05D0BC14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is not expected to perform RF simulations of candidate solutions for power domain enhancements</w:t>
            </w:r>
          </w:p>
          <w:p w14:paraId="33CBFC0C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rFonts w:eastAsia="DengXian"/>
                <w:iCs/>
                <w:sz w:val="22"/>
                <w:szCs w:val="22"/>
                <w:lang w:eastAsia="zh-CN"/>
              </w:rPr>
              <w:t>Results of R</w:t>
            </w:r>
            <w:r>
              <w:rPr>
                <w:iCs/>
                <w:sz w:val="22"/>
                <w:szCs w:val="22"/>
              </w:rPr>
              <w:t>F</w:t>
            </w:r>
            <w:r>
              <w:rPr>
                <w:rFonts w:eastAsia="DengXian"/>
                <w:iCs/>
                <w:sz w:val="22"/>
                <w:szCs w:val="22"/>
                <w:lang w:eastAsia="zh-CN"/>
              </w:rPr>
              <w:t xml:space="preserve"> simulations can be included in RAN1 contributions</w:t>
            </w:r>
          </w:p>
          <w:p w14:paraId="3391155A" w14:textId="77777777" w:rsidR="00172EEC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RAN1 will assess RAN1 specification impact of candidate MPR/PAR reduction solutions</w:t>
            </w:r>
          </w:p>
          <w:p w14:paraId="5FECF1FD" w14:textId="77777777" w:rsidR="00172EEC" w:rsidRDefault="00172EEC" w:rsidP="00172EEC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A list of candidate solutions, including necessary parameters, from RAN1 perspective should be ready before the end of RAN1 #111, and should be included in an LS to RAN4.</w:t>
            </w:r>
          </w:p>
          <w:p w14:paraId="200C5E04" w14:textId="77777777" w:rsidR="00172EEC" w:rsidRPr="0004789B" w:rsidRDefault="00172EEC" w:rsidP="00172EEC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iCs/>
                <w:sz w:val="22"/>
                <w:szCs w:val="22"/>
                <w:lang w:eastAsia="x-none"/>
              </w:rPr>
            </w:pPr>
            <w:r>
              <w:rPr>
                <w:iCs/>
                <w:sz w:val="22"/>
                <w:szCs w:val="22"/>
              </w:rPr>
              <w:t>RAN1 understands that RAN4 is responsible for selecting the Rel-18 MPR/PAR reduction solution, if any.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>RAN</w:t>
      </w:r>
      <w:r w:rsidR="006B2115">
        <w:rPr>
          <w:rFonts w:ascii="Arial" w:hAnsi="Arial" w:cs="Arial"/>
          <w:bCs/>
          <w:lang w:val="en-US"/>
        </w:rPr>
        <w:t>4</w:t>
      </w:r>
      <w:r w:rsidR="00BC012C" w:rsidRPr="00A301C9">
        <w:rPr>
          <w:rFonts w:ascii="Arial" w:hAnsi="Arial" w:cs="Arial"/>
          <w:bCs/>
          <w:lang w:val="en-US"/>
        </w:rPr>
        <w:t xml:space="preserve">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lastRenderedPageBreak/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23BE4059" w:rsidR="0024401A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172EEC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647B57">
        <w:rPr>
          <w:rFonts w:ascii="Arial" w:hAnsi="Arial" w:cs="Arial"/>
          <w:bCs/>
          <w:color w:val="000000"/>
          <w:lang w:val="en-US"/>
        </w:rPr>
        <w:t>T</w:t>
      </w:r>
      <w:r w:rsidR="00172EEC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0E5896D9" w:rsidR="00172EEC" w:rsidRPr="00881104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2</w:t>
      </w:r>
      <w:r>
        <w:rPr>
          <w:rFonts w:ascii="Arial" w:hAnsi="Arial" w:cs="Arial"/>
          <w:bCs/>
          <w:color w:val="000000"/>
          <w:lang w:val="en-US"/>
        </w:rPr>
        <w:tab/>
        <w:t>February 27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</w:t>
      </w:r>
      <w:r>
        <w:rPr>
          <w:rFonts w:ascii="Arial" w:hAnsi="Arial" w:cs="Arial"/>
          <w:bCs/>
          <w:color w:val="000000"/>
          <w:lang w:val="en-US"/>
        </w:rPr>
        <w:t>March</w:t>
      </w:r>
      <w:r w:rsidRPr="00A301C9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03</w:t>
      </w:r>
      <w:r w:rsidRPr="00172EEC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A301C9"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bookmarkEnd w:id="8"/>
      <w:bookmarkEnd w:id="9"/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C949" w14:textId="77777777" w:rsidR="002E1C1F" w:rsidRDefault="002E1C1F">
      <w:pPr>
        <w:spacing w:after="0"/>
      </w:pPr>
      <w:r>
        <w:separator/>
      </w:r>
    </w:p>
  </w:endnote>
  <w:endnote w:type="continuationSeparator" w:id="0">
    <w:p w14:paraId="241851E8" w14:textId="77777777" w:rsidR="002E1C1F" w:rsidRDefault="002E1C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16FC" w14:textId="77777777" w:rsidR="002E1C1F" w:rsidRDefault="002E1C1F">
      <w:pPr>
        <w:spacing w:after="0"/>
      </w:pPr>
      <w:r>
        <w:separator/>
      </w:r>
    </w:p>
  </w:footnote>
  <w:footnote w:type="continuationSeparator" w:id="0">
    <w:p w14:paraId="0EB08172" w14:textId="77777777" w:rsidR="002E1C1F" w:rsidRDefault="002E1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839417006">
    <w:abstractNumId w:val="19"/>
  </w:num>
  <w:num w:numId="2" w16cid:durableId="705830494">
    <w:abstractNumId w:val="17"/>
  </w:num>
  <w:num w:numId="3" w16cid:durableId="1067611614">
    <w:abstractNumId w:val="12"/>
  </w:num>
  <w:num w:numId="4" w16cid:durableId="911542692">
    <w:abstractNumId w:val="6"/>
  </w:num>
  <w:num w:numId="5" w16cid:durableId="1867329895">
    <w:abstractNumId w:val="11"/>
  </w:num>
  <w:num w:numId="6" w16cid:durableId="1887982526">
    <w:abstractNumId w:val="5"/>
  </w:num>
  <w:num w:numId="7" w16cid:durableId="43870024">
    <w:abstractNumId w:val="13"/>
  </w:num>
  <w:num w:numId="8" w16cid:durableId="5780995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764497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469470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5760048">
    <w:abstractNumId w:val="3"/>
  </w:num>
  <w:num w:numId="12" w16cid:durableId="1604800136">
    <w:abstractNumId w:val="14"/>
  </w:num>
  <w:num w:numId="13" w16cid:durableId="1185435586">
    <w:abstractNumId w:val="5"/>
  </w:num>
  <w:num w:numId="14" w16cid:durableId="1549534704">
    <w:abstractNumId w:val="4"/>
  </w:num>
  <w:num w:numId="15" w16cid:durableId="1565028160">
    <w:abstractNumId w:val="15"/>
  </w:num>
  <w:num w:numId="16" w16cid:durableId="85732976">
    <w:abstractNumId w:val="9"/>
  </w:num>
  <w:num w:numId="17" w16cid:durableId="105663150">
    <w:abstractNumId w:val="2"/>
  </w:num>
  <w:num w:numId="18" w16cid:durableId="1292782362">
    <w:abstractNumId w:val="1"/>
  </w:num>
  <w:num w:numId="19" w16cid:durableId="1619219244">
    <w:abstractNumId w:val="10"/>
  </w:num>
  <w:num w:numId="20" w16cid:durableId="1737976127">
    <w:abstractNumId w:val="7"/>
  </w:num>
  <w:num w:numId="21" w16cid:durableId="1826702315">
    <w:abstractNumId w:val="16"/>
  </w:num>
  <w:num w:numId="22" w16cid:durableId="148178197">
    <w:abstractNumId w:val="20"/>
  </w:num>
  <w:num w:numId="23" w16cid:durableId="678120973">
    <w:abstractNumId w:val="0"/>
  </w:num>
  <w:num w:numId="24" w16cid:durableId="138497698">
    <w:abstractNumId w:val="18"/>
  </w:num>
  <w:num w:numId="25" w16cid:durableId="30265677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81123"/>
    <w:rsid w:val="00294840"/>
    <w:rsid w:val="002A56C5"/>
    <w:rsid w:val="002B7998"/>
    <w:rsid w:val="002E1C1F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B293C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6B06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E5A8A"/>
    <w:rsid w:val="00CF607A"/>
    <w:rsid w:val="00CF6087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71FEB"/>
    <w:rsid w:val="00F72F2D"/>
    <w:rsid w:val="00FB3460"/>
    <w:rsid w:val="00FC629B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F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71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71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1FE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1FE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1FE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1FEB"/>
    <w:pPr>
      <w:outlineLvl w:val="5"/>
    </w:pPr>
  </w:style>
  <w:style w:type="paragraph" w:styleId="Heading7">
    <w:name w:val="heading 7"/>
    <w:basedOn w:val="H6"/>
    <w:next w:val="Normal"/>
    <w:qFormat/>
    <w:rsid w:val="00F71FEB"/>
    <w:pPr>
      <w:outlineLvl w:val="6"/>
    </w:pPr>
  </w:style>
  <w:style w:type="paragraph" w:styleId="Heading8">
    <w:name w:val="heading 8"/>
    <w:basedOn w:val="Heading1"/>
    <w:next w:val="Normal"/>
    <w:qFormat/>
    <w:rsid w:val="00F71F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FEB"/>
    <w:pPr>
      <w:outlineLvl w:val="8"/>
    </w:pPr>
  </w:style>
  <w:style w:type="character" w:default="1" w:styleId="DefaultParagraphFont">
    <w:name w:val="Default Paragraph Font"/>
    <w:semiHidden/>
    <w:rsid w:val="00F71F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1FEB"/>
  </w:style>
  <w:style w:type="paragraph" w:styleId="Header">
    <w:name w:val="header"/>
    <w:link w:val="HeaderChar"/>
    <w:rsid w:val="00F71F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71FE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1FE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71FEB"/>
    <w:pPr>
      <w:spacing w:before="180"/>
      <w:ind w:left="2693" w:hanging="2693"/>
    </w:pPr>
    <w:rPr>
      <w:b/>
    </w:rPr>
  </w:style>
  <w:style w:type="paragraph" w:styleId="TOC1">
    <w:name w:val="toc 1"/>
    <w:semiHidden/>
    <w:rsid w:val="00F71F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71F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1FEB"/>
    <w:pPr>
      <w:ind w:left="1701" w:hanging="1701"/>
    </w:pPr>
  </w:style>
  <w:style w:type="paragraph" w:styleId="TOC4">
    <w:name w:val="toc 4"/>
    <w:basedOn w:val="TOC3"/>
    <w:semiHidden/>
    <w:rsid w:val="00F71FEB"/>
    <w:pPr>
      <w:ind w:left="1418" w:hanging="1418"/>
    </w:pPr>
  </w:style>
  <w:style w:type="paragraph" w:styleId="TOC3">
    <w:name w:val="toc 3"/>
    <w:basedOn w:val="TOC2"/>
    <w:semiHidden/>
    <w:rsid w:val="00F71FEB"/>
    <w:pPr>
      <w:ind w:left="1134" w:hanging="1134"/>
    </w:pPr>
  </w:style>
  <w:style w:type="paragraph" w:styleId="TOC2">
    <w:name w:val="toc 2"/>
    <w:basedOn w:val="TOC1"/>
    <w:semiHidden/>
    <w:rsid w:val="00F71F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1FEB"/>
    <w:pPr>
      <w:ind w:left="284"/>
    </w:pPr>
  </w:style>
  <w:style w:type="paragraph" w:styleId="Index1">
    <w:name w:val="index 1"/>
    <w:basedOn w:val="Normal"/>
    <w:semiHidden/>
    <w:rsid w:val="00F71FEB"/>
    <w:pPr>
      <w:keepLines/>
      <w:spacing w:after="0"/>
    </w:pPr>
  </w:style>
  <w:style w:type="paragraph" w:customStyle="1" w:styleId="ZH">
    <w:name w:val="ZH"/>
    <w:rsid w:val="00F71F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1FEB"/>
    <w:pPr>
      <w:outlineLvl w:val="9"/>
    </w:pPr>
  </w:style>
  <w:style w:type="paragraph" w:styleId="ListNumber2">
    <w:name w:val="List Number 2"/>
    <w:basedOn w:val="ListNumber"/>
    <w:semiHidden/>
    <w:rsid w:val="00F71FEB"/>
    <w:pPr>
      <w:ind w:left="851"/>
    </w:pPr>
  </w:style>
  <w:style w:type="character" w:styleId="FootnoteReference">
    <w:name w:val="footnote reference"/>
    <w:basedOn w:val="DefaultParagraphFont"/>
    <w:semiHidden/>
    <w:rsid w:val="00F71F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1FE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71FEB"/>
    <w:rPr>
      <w:b/>
    </w:rPr>
  </w:style>
  <w:style w:type="paragraph" w:customStyle="1" w:styleId="TAC">
    <w:name w:val="TAC"/>
    <w:basedOn w:val="TAL"/>
    <w:rsid w:val="00F71FEB"/>
    <w:pPr>
      <w:jc w:val="center"/>
    </w:pPr>
  </w:style>
  <w:style w:type="paragraph" w:customStyle="1" w:styleId="TF">
    <w:name w:val="TF"/>
    <w:basedOn w:val="TH"/>
    <w:rsid w:val="00F71FEB"/>
    <w:pPr>
      <w:keepNext w:val="0"/>
      <w:spacing w:before="0" w:after="240"/>
    </w:pPr>
  </w:style>
  <w:style w:type="paragraph" w:customStyle="1" w:styleId="NO">
    <w:name w:val="NO"/>
    <w:basedOn w:val="Normal"/>
    <w:rsid w:val="00F71FEB"/>
    <w:pPr>
      <w:keepLines/>
      <w:ind w:left="1135" w:hanging="851"/>
    </w:pPr>
  </w:style>
  <w:style w:type="paragraph" w:styleId="TOC9">
    <w:name w:val="toc 9"/>
    <w:basedOn w:val="TOC8"/>
    <w:semiHidden/>
    <w:rsid w:val="00F71FEB"/>
    <w:pPr>
      <w:ind w:left="1418" w:hanging="1418"/>
    </w:pPr>
  </w:style>
  <w:style w:type="paragraph" w:customStyle="1" w:styleId="EX">
    <w:name w:val="EX"/>
    <w:basedOn w:val="Normal"/>
    <w:rsid w:val="00F71FEB"/>
    <w:pPr>
      <w:keepLines/>
      <w:ind w:left="1702" w:hanging="1418"/>
    </w:pPr>
  </w:style>
  <w:style w:type="paragraph" w:customStyle="1" w:styleId="FP">
    <w:name w:val="FP"/>
    <w:basedOn w:val="Normal"/>
    <w:rsid w:val="00F71FEB"/>
    <w:pPr>
      <w:spacing w:after="0"/>
    </w:pPr>
  </w:style>
  <w:style w:type="paragraph" w:customStyle="1" w:styleId="LD">
    <w:name w:val="LD"/>
    <w:rsid w:val="00F71F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71FEB"/>
    <w:pPr>
      <w:spacing w:after="0"/>
    </w:pPr>
  </w:style>
  <w:style w:type="paragraph" w:customStyle="1" w:styleId="EW">
    <w:name w:val="EW"/>
    <w:basedOn w:val="EX"/>
    <w:rsid w:val="00F71FEB"/>
    <w:pPr>
      <w:spacing w:after="0"/>
    </w:pPr>
  </w:style>
  <w:style w:type="paragraph" w:styleId="TOC6">
    <w:name w:val="toc 6"/>
    <w:basedOn w:val="TOC5"/>
    <w:next w:val="Normal"/>
    <w:semiHidden/>
    <w:rsid w:val="00F71FEB"/>
    <w:pPr>
      <w:ind w:left="1985" w:hanging="1985"/>
    </w:pPr>
  </w:style>
  <w:style w:type="paragraph" w:styleId="TOC7">
    <w:name w:val="toc 7"/>
    <w:basedOn w:val="TOC6"/>
    <w:next w:val="Normal"/>
    <w:semiHidden/>
    <w:rsid w:val="00F71FEB"/>
    <w:pPr>
      <w:ind w:left="2268" w:hanging="2268"/>
    </w:pPr>
  </w:style>
  <w:style w:type="paragraph" w:styleId="ListBullet2">
    <w:name w:val="List Bullet 2"/>
    <w:basedOn w:val="ListBullet"/>
    <w:semiHidden/>
    <w:rsid w:val="00F71FEB"/>
    <w:pPr>
      <w:ind w:left="851"/>
    </w:pPr>
  </w:style>
  <w:style w:type="paragraph" w:styleId="ListBullet3">
    <w:name w:val="List Bullet 3"/>
    <w:basedOn w:val="ListBullet2"/>
    <w:semiHidden/>
    <w:rsid w:val="00F71FEB"/>
    <w:pPr>
      <w:ind w:left="1135"/>
    </w:pPr>
  </w:style>
  <w:style w:type="paragraph" w:styleId="ListNumber">
    <w:name w:val="List Number"/>
    <w:basedOn w:val="List"/>
    <w:semiHidden/>
    <w:rsid w:val="00F71FEB"/>
  </w:style>
  <w:style w:type="paragraph" w:customStyle="1" w:styleId="EQ">
    <w:name w:val="EQ"/>
    <w:basedOn w:val="Normal"/>
    <w:next w:val="Normal"/>
    <w:rsid w:val="00F71F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1F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1F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1F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1FEB"/>
    <w:pPr>
      <w:jc w:val="right"/>
    </w:pPr>
  </w:style>
  <w:style w:type="paragraph" w:customStyle="1" w:styleId="H6">
    <w:name w:val="H6"/>
    <w:basedOn w:val="Heading5"/>
    <w:next w:val="Normal"/>
    <w:rsid w:val="00F71F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1FEB"/>
    <w:pPr>
      <w:ind w:left="851" w:hanging="851"/>
    </w:pPr>
  </w:style>
  <w:style w:type="paragraph" w:customStyle="1" w:styleId="TAL">
    <w:name w:val="TAL"/>
    <w:basedOn w:val="Normal"/>
    <w:rsid w:val="00F71F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1F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71F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71F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71F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71FEB"/>
    <w:pPr>
      <w:framePr w:wrap="notBeside" w:y="16161"/>
    </w:pPr>
  </w:style>
  <w:style w:type="character" w:customStyle="1" w:styleId="ZGSM">
    <w:name w:val="ZGSM"/>
    <w:rsid w:val="00F71FEB"/>
  </w:style>
  <w:style w:type="paragraph" w:styleId="List2">
    <w:name w:val="List 2"/>
    <w:basedOn w:val="List"/>
    <w:semiHidden/>
    <w:rsid w:val="00F71FEB"/>
    <w:pPr>
      <w:ind w:left="851"/>
    </w:pPr>
  </w:style>
  <w:style w:type="paragraph" w:customStyle="1" w:styleId="ZG">
    <w:name w:val="ZG"/>
    <w:rsid w:val="00F71F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71FEB"/>
    <w:pPr>
      <w:ind w:left="1135"/>
    </w:pPr>
  </w:style>
  <w:style w:type="paragraph" w:styleId="List4">
    <w:name w:val="List 4"/>
    <w:basedOn w:val="List3"/>
    <w:semiHidden/>
    <w:rsid w:val="00F71FEB"/>
    <w:pPr>
      <w:ind w:left="1418"/>
    </w:pPr>
  </w:style>
  <w:style w:type="paragraph" w:styleId="List5">
    <w:name w:val="List 5"/>
    <w:basedOn w:val="List4"/>
    <w:semiHidden/>
    <w:rsid w:val="00F71FEB"/>
    <w:pPr>
      <w:ind w:left="1702"/>
    </w:pPr>
  </w:style>
  <w:style w:type="paragraph" w:customStyle="1" w:styleId="EditorsNote">
    <w:name w:val="Editor's Note"/>
    <w:basedOn w:val="NO"/>
    <w:rsid w:val="00F71FEB"/>
    <w:rPr>
      <w:color w:val="FF0000"/>
    </w:rPr>
  </w:style>
  <w:style w:type="paragraph" w:styleId="List">
    <w:name w:val="List"/>
    <w:basedOn w:val="Normal"/>
    <w:semiHidden/>
    <w:rsid w:val="00F71FEB"/>
    <w:pPr>
      <w:ind w:left="568" w:hanging="284"/>
    </w:pPr>
  </w:style>
  <w:style w:type="paragraph" w:styleId="ListBullet">
    <w:name w:val="List Bullet"/>
    <w:basedOn w:val="List"/>
    <w:semiHidden/>
    <w:rsid w:val="00F71FEB"/>
  </w:style>
  <w:style w:type="paragraph" w:styleId="ListBullet4">
    <w:name w:val="List Bullet 4"/>
    <w:basedOn w:val="ListBullet3"/>
    <w:semiHidden/>
    <w:rsid w:val="00F71FEB"/>
    <w:pPr>
      <w:ind w:left="1418"/>
    </w:pPr>
  </w:style>
  <w:style w:type="paragraph" w:styleId="ListBullet5">
    <w:name w:val="List Bullet 5"/>
    <w:basedOn w:val="ListBullet4"/>
    <w:semiHidden/>
    <w:rsid w:val="00F71FEB"/>
    <w:pPr>
      <w:ind w:left="1702"/>
    </w:pPr>
  </w:style>
  <w:style w:type="paragraph" w:customStyle="1" w:styleId="B2">
    <w:name w:val="B2"/>
    <w:basedOn w:val="List2"/>
    <w:rsid w:val="00F71FEB"/>
  </w:style>
  <w:style w:type="paragraph" w:customStyle="1" w:styleId="B3">
    <w:name w:val="B3"/>
    <w:basedOn w:val="List3"/>
    <w:rsid w:val="00F71FEB"/>
  </w:style>
  <w:style w:type="paragraph" w:customStyle="1" w:styleId="B4">
    <w:name w:val="B4"/>
    <w:basedOn w:val="List4"/>
    <w:rsid w:val="00F71FEB"/>
  </w:style>
  <w:style w:type="paragraph" w:customStyle="1" w:styleId="B5">
    <w:name w:val="B5"/>
    <w:basedOn w:val="List5"/>
    <w:rsid w:val="00F71FEB"/>
  </w:style>
  <w:style w:type="paragraph" w:customStyle="1" w:styleId="ZTD">
    <w:name w:val="ZTD"/>
    <w:basedOn w:val="ZB"/>
    <w:rsid w:val="00F71FE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2022-10-18T04:52:00Z</dcterms:created>
  <dcterms:modified xsi:type="dcterms:W3CDTF">2022-11-03T12:50:00Z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