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f8"/>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f8"/>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f8"/>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f8"/>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aff8"/>
        <w:numPr>
          <w:ilvl w:val="0"/>
          <w:numId w:val="24"/>
        </w:numPr>
        <w:ind w:firstLineChars="0"/>
        <w:rPr>
          <w:color w:val="000000" w:themeColor="text1"/>
          <w:lang w:eastAsia="zh-CN"/>
        </w:rPr>
      </w:pPr>
      <w:r w:rsidRPr="00EE3E22">
        <w:rPr>
          <w:color w:val="000000" w:themeColor="text1"/>
          <w:lang w:eastAsia="zh-CN"/>
        </w:rPr>
        <w:t xml:space="preserve">UE antenna </w:t>
      </w:r>
      <w:proofErr w:type="gramStart"/>
      <w:r w:rsidRPr="00EE3E22">
        <w:rPr>
          <w:color w:val="000000" w:themeColor="text1"/>
          <w:lang w:eastAsia="zh-CN"/>
        </w:rPr>
        <w:t>gain</w:t>
      </w:r>
      <w:proofErr w:type="gramEnd"/>
      <w:r w:rsidRPr="00EE3E22">
        <w:rPr>
          <w:color w:val="000000" w:themeColor="text1"/>
          <w:lang w:eastAsia="zh-CN"/>
        </w:rPr>
        <w:t xml:space="preserve"> for NR NTN coverage enhancement (R1-2205623)</w:t>
      </w:r>
    </w:p>
    <w:p w14:paraId="609286E5" w14:textId="6746CD2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5084" w:rsidRPr="004A5084">
        <w:rPr>
          <w:lang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thanks RAN5 LS on the plan to remove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w:t>
            </w:r>
            <w:r w:rsidRPr="0055043E">
              <w:rPr>
                <w:rFonts w:eastAsia="宋体" w:cs="Arial"/>
                <w:b w:val="0"/>
                <w:noProof w:val="0"/>
                <w:sz w:val="20"/>
                <w:lang w:eastAsia="zh-CN"/>
              </w:rPr>
              <w:lastRenderedPageBreak/>
              <w:t xml:space="preserve">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 xml:space="preserve">Since RAN5 has decided to remove the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30AE">
        <w:rPr>
          <w:sz w:val="24"/>
          <w:szCs w:val="16"/>
        </w:rPr>
        <w:t xml:space="preserve">: </w:t>
      </w:r>
      <w:r w:rsidR="00B6551F">
        <w:rPr>
          <w:sz w:val="24"/>
          <w:szCs w:val="16"/>
        </w:rPr>
        <w:t>On p</w:t>
      </w:r>
      <w:r w:rsidR="00475D33">
        <w:rPr>
          <w:sz w:val="24"/>
          <w:szCs w:val="16"/>
        </w:rPr>
        <w:t>ossible ways to resolve the inconsistency</w:t>
      </w:r>
    </w:p>
    <w:p w14:paraId="3C3336B6" w14:textId="24C88F1D"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E52F69" w14:paraId="4B9B9E58" w14:textId="77777777" w:rsidTr="002B7BEC">
        <w:tc>
          <w:tcPr>
            <w:tcW w:w="1236" w:type="dxa"/>
          </w:tcPr>
          <w:p w14:paraId="329A3DEE" w14:textId="77777777" w:rsidR="00E52F69" w:rsidRPr="00805BE8" w:rsidRDefault="00E52F69"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2B7BEC">
        <w:tc>
          <w:tcPr>
            <w:tcW w:w="1236" w:type="dxa"/>
          </w:tcPr>
          <w:p w14:paraId="2C167188" w14:textId="77777777" w:rsidR="00E52F69" w:rsidRPr="003418CB" w:rsidRDefault="00E52F69"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0E46E5" w14:textId="77777777" w:rsidR="00E52F69" w:rsidRPr="003418CB" w:rsidRDefault="00E52F69" w:rsidP="002B7BEC">
            <w:pPr>
              <w:spacing w:after="120"/>
              <w:rPr>
                <w:rFonts w:eastAsiaTheme="minorEastAsia"/>
                <w:color w:val="0070C0"/>
                <w:lang w:val="en-US" w:eastAsia="zh-CN"/>
              </w:rPr>
            </w:pP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f8"/>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87501" w:rsidRPr="00587501">
        <w:rPr>
          <w:lang w:eastAsia="ja-JP"/>
        </w:rPr>
        <w:t xml:space="preserve">Modified MPR-Behaviour clarification for different power classes </w:t>
      </w:r>
      <w:r w:rsidR="008B708D" w:rsidRPr="008B708D">
        <w:rPr>
          <w:lang w:eastAsia="ja-JP"/>
        </w:rPr>
        <w:t>(</w:t>
      </w:r>
      <w:r w:rsidR="00587501" w:rsidRPr="00587501">
        <w:rPr>
          <w:lang w:eastAsia="ja-JP"/>
        </w:rPr>
        <w:t>R5-223635</w:t>
      </w:r>
      <w:r w:rsidR="008B708D" w:rsidRPr="008B708D">
        <w:rPr>
          <w:lang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045592">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045592">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045592">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045592">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el-15 and Rel-16 PC3 UE can optionally support the improved MPR and indicate </w:t>
            </w:r>
            <w:proofErr w:type="spellStart"/>
            <w:r w:rsidRPr="00B2567A">
              <w:rPr>
                <w:rFonts w:eastAsia="等线"/>
                <w:b/>
                <w:i/>
                <w:lang w:eastAsia="zh-CN"/>
              </w:rPr>
              <w:t>modifiedMPR</w:t>
            </w:r>
            <w:proofErr w:type="spellEnd"/>
            <w:r w:rsidRPr="00B2567A">
              <w:rPr>
                <w:rFonts w:eastAsia="等线"/>
                <w:b/>
                <w:i/>
                <w:lang w:eastAsia="zh-CN"/>
              </w:rPr>
              <w:t>-Behaviour bit 0=1</w:t>
            </w:r>
          </w:p>
          <w:p w14:paraId="519FED70"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el-17 PC3 UE mandatory support the improved MPR, and no need to further define the </w:t>
            </w:r>
            <w:proofErr w:type="spellStart"/>
            <w:r w:rsidRPr="00B2567A">
              <w:rPr>
                <w:rFonts w:eastAsia="等线"/>
                <w:b/>
                <w:i/>
                <w:lang w:eastAsia="zh-CN"/>
              </w:rPr>
              <w:t>modifiedMPRbehavio</w:t>
            </w:r>
            <w:r w:rsidRPr="00B2567A">
              <w:rPr>
                <w:rFonts w:eastAsia="等线"/>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 w:author="OPPO-JQ" w:date="2022-07-28T14:31:00Z">
              <w:r w:rsidRPr="00751F49">
                <w:rPr>
                  <w:rFonts w:cs="Arial"/>
                  <w:b/>
                  <w:i/>
                </w:rPr>
                <w:t xml:space="preserve">from </w:t>
              </w:r>
            </w:ins>
            <w:r w:rsidRPr="00751F49">
              <w:rPr>
                <w:rFonts w:cs="Arial"/>
                <w:b/>
                <w:i/>
              </w:rPr>
              <w:t>v16.2.0</w:t>
            </w:r>
            <w:ins w:id="4"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 xml:space="preserve">Proposed to remove the </w:t>
            </w:r>
            <w:proofErr w:type="spellStart"/>
            <w:r w:rsidRPr="00B2567A">
              <w:rPr>
                <w:rFonts w:eastAsia="等线"/>
                <w:b/>
                <w:i/>
                <w:lang w:val="en-US" w:eastAsia="zh-CN"/>
              </w:rPr>
              <w:t>modifiedMPRbehavior</w:t>
            </w:r>
            <w:proofErr w:type="spellEnd"/>
            <w:r w:rsidRPr="00B2567A">
              <w:rPr>
                <w:rFonts w:eastAsia="等线"/>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 w:name="_Hlk109901664"/>
            <w:r w:rsidRPr="00125601">
              <w:rPr>
                <w:rFonts w:ascii="Arial" w:hAnsi="Arial" w:cs="Arial"/>
                <w:b/>
                <w:sz w:val="18"/>
              </w:rPr>
              <w:t>MPR as defined in 38.101-2 v16.2.0 applicable</w:t>
            </w:r>
            <w:bookmarkEnd w:id="5"/>
            <w:r w:rsidRPr="00125601">
              <w:rPr>
                <w:rFonts w:ascii="Arial" w:hAnsi="Arial" w:cs="Arial"/>
                <w:b/>
                <w:sz w:val="18"/>
              </w:rPr>
              <w:t xml:space="preserve"> </w:t>
            </w:r>
            <w:bookmarkStart w:id="6"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6"/>
            <w:r w:rsidRPr="00125601">
              <w:rPr>
                <w:rFonts w:ascii="Arial" w:hAnsi="Arial" w:cs="Arial"/>
                <w:b/>
                <w:sz w:val="18"/>
              </w:rPr>
              <w:t>?</w:t>
            </w:r>
          </w:p>
          <w:p w14:paraId="32695DF4"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table also introduced in Rel-15 to allow Rel-15 UE leverage the improved MPR. Therefore, if the UE supports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af5"/>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5"/>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7" w:name="_Hlk109902619"/>
            <w:r w:rsidRPr="00125601">
              <w:rPr>
                <w:rFonts w:ascii="Arial" w:hAnsi="Arial" w:cs="Arial"/>
                <w:b/>
                <w:sz w:val="18"/>
              </w:rPr>
              <w:t>version of specification is taken as default MPR requirement</w:t>
            </w:r>
            <w:bookmarkEnd w:id="7"/>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8" w:name="_Hlk109913040"/>
            <w:bookmarkStart w:id="9"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8"/>
          </w:p>
          <w:p w14:paraId="19A544ED"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9"/>
          </w:p>
          <w:p w14:paraId="0A6782CC"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af5"/>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AF65D2" w:rsidRDefault="00DD19DE" w:rsidP="00AF65D2">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F2D90">
        <w:rPr>
          <w:sz w:val="24"/>
          <w:szCs w:val="16"/>
        </w:rPr>
        <w:t xml:space="preserve">: </w:t>
      </w:r>
      <w:r w:rsidR="00201D11">
        <w:rPr>
          <w:sz w:val="24"/>
          <w:szCs w:val="16"/>
        </w:rPr>
        <w:t xml:space="preserve">Can we </w:t>
      </w:r>
      <w:r w:rsidR="00AF65D2">
        <w:rPr>
          <w:sz w:val="24"/>
          <w:szCs w:val="16"/>
        </w:rPr>
        <w:t>agree</w:t>
      </w:r>
      <w:r w:rsidR="00201D11">
        <w:rPr>
          <w:sz w:val="24"/>
          <w:szCs w:val="16"/>
        </w:rPr>
        <w:t xml:space="preserve"> </w:t>
      </w:r>
      <w:r w:rsidR="00AF65D2">
        <w:rPr>
          <w:sz w:val="24"/>
          <w:szCs w:val="16"/>
        </w:rPr>
        <w:t>”</w:t>
      </w:r>
      <w:r w:rsidR="00AF65D2" w:rsidRPr="00AF65D2">
        <w:rPr>
          <w:sz w:val="24"/>
          <w:szCs w:val="16"/>
        </w:rPr>
        <w:t>The improved MPR was only considered for PC3 UE, thus should not be applicable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23523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23523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23523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413590" w14:paraId="1E8F2EC9" w14:textId="77777777" w:rsidTr="002B7BEC">
        <w:tc>
          <w:tcPr>
            <w:tcW w:w="1236" w:type="dxa"/>
          </w:tcPr>
          <w:p w14:paraId="4C31FD4F" w14:textId="77777777" w:rsidR="00413590" w:rsidRPr="00805BE8" w:rsidRDefault="00413590"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2B7BEC">
        <w:tc>
          <w:tcPr>
            <w:tcW w:w="1236" w:type="dxa"/>
          </w:tcPr>
          <w:p w14:paraId="76029814" w14:textId="77777777" w:rsidR="00413590" w:rsidRPr="003418CB" w:rsidRDefault="00413590"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2B7BEC">
            <w:pPr>
              <w:spacing w:after="120"/>
              <w:rPr>
                <w:rFonts w:eastAsiaTheme="minorEastAsia"/>
                <w:color w:val="0070C0"/>
                <w:lang w:val="en-US" w:eastAsia="zh-CN"/>
              </w:rPr>
            </w:pPr>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Can we </w:t>
      </w:r>
      <w:r w:rsidR="00DA2B42">
        <w:rPr>
          <w:sz w:val="24"/>
          <w:szCs w:val="16"/>
        </w:rPr>
        <w:t>agree</w:t>
      </w:r>
      <w:r>
        <w:rPr>
          <w:sz w:val="24"/>
          <w:szCs w:val="16"/>
        </w:rPr>
        <w:t xml:space="preserve"> ”</w:t>
      </w:r>
      <w:r w:rsidRPr="00AF65D2">
        <w:rPr>
          <w:sz w:val="24"/>
          <w:szCs w:val="16"/>
        </w:rPr>
        <w:t>Rel-15 and Rel-16 PC3 UE can optionally support the improved MPR and indicate modifiedMPR-Behaviour bit 0=1.”?</w:t>
      </w:r>
    </w:p>
    <w:p w14:paraId="0EA7A09F"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1A9A0BB2" w14:textId="77777777" w:rsidTr="00067BFB">
        <w:tc>
          <w:tcPr>
            <w:tcW w:w="1236" w:type="dxa"/>
          </w:tcPr>
          <w:p w14:paraId="41179425"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067BFB">
        <w:tc>
          <w:tcPr>
            <w:tcW w:w="1236" w:type="dxa"/>
          </w:tcPr>
          <w:p w14:paraId="22BF5F97"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2C2F8FA" w14:textId="77777777" w:rsidR="00AF65D2" w:rsidRPr="003418CB" w:rsidRDefault="00AF65D2" w:rsidP="00067BFB">
            <w:pPr>
              <w:spacing w:after="120"/>
              <w:rPr>
                <w:rFonts w:eastAsiaTheme="minorEastAsia"/>
                <w:color w:val="0070C0"/>
                <w:lang w:val="en-US" w:eastAsia="zh-CN"/>
              </w:rPr>
            </w:pPr>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Can we </w:t>
      </w:r>
      <w:r w:rsidR="00DA2B42">
        <w:rPr>
          <w:sz w:val="24"/>
          <w:szCs w:val="16"/>
        </w:rPr>
        <w:t>agree</w:t>
      </w:r>
      <w:r>
        <w:rPr>
          <w:sz w:val="24"/>
          <w:szCs w:val="16"/>
        </w:rPr>
        <w:t xml:space="preserve"> ”</w:t>
      </w:r>
      <w:r w:rsidRPr="00AF65D2">
        <w:rPr>
          <w:sz w:val="24"/>
          <w:szCs w:val="16"/>
        </w:rPr>
        <w:t>Rel-17 PC3 UE mandatory support the improved MPR, and no need to further define the modifiedMPRbehavior.”?</w:t>
      </w:r>
    </w:p>
    <w:p w14:paraId="0E0113B1"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63924D5F" w14:textId="77777777" w:rsidTr="00067BFB">
        <w:tc>
          <w:tcPr>
            <w:tcW w:w="1236" w:type="dxa"/>
          </w:tcPr>
          <w:p w14:paraId="45DFD117"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067BFB">
        <w:tc>
          <w:tcPr>
            <w:tcW w:w="1236" w:type="dxa"/>
          </w:tcPr>
          <w:p w14:paraId="7EAF1258"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067BFB">
            <w:pPr>
              <w:spacing w:after="120"/>
              <w:rPr>
                <w:rFonts w:eastAsiaTheme="minorEastAsia"/>
                <w:color w:val="0070C0"/>
                <w:lang w:val="en-US" w:eastAsia="zh-CN"/>
              </w:rPr>
            </w:pPr>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66147985" w:rsidR="00DD19DE" w:rsidRPr="003418CB" w:rsidRDefault="00D73042" w:rsidP="00045592">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130CBED1" w:rsidR="00DD19DE" w:rsidRDefault="00326BD0" w:rsidP="00045592">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1"/>
        <w:rPr>
          <w:lang w:eastAsia="ja-JP"/>
        </w:rPr>
      </w:pPr>
      <w:r>
        <w:rPr>
          <w:lang w:eastAsia="ja-JP"/>
        </w:rPr>
        <w:t>Topic</w:t>
      </w:r>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9D569E">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9D569E">
            <w:pPr>
              <w:spacing w:before="120" w:after="120"/>
              <w:rPr>
                <w:b/>
                <w:bCs/>
              </w:rPr>
            </w:pPr>
            <w:r w:rsidRPr="00045592">
              <w:rPr>
                <w:b/>
                <w:bCs/>
              </w:rPr>
              <w:t>Company</w:t>
            </w:r>
          </w:p>
        </w:tc>
        <w:tc>
          <w:tcPr>
            <w:tcW w:w="6592" w:type="dxa"/>
            <w:vAlign w:val="center"/>
          </w:tcPr>
          <w:p w14:paraId="78C33172"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9D569E">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9D569E">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9D569E">
            <w:pPr>
              <w:jc w:val="both"/>
              <w:rPr>
                <w:bCs/>
                <w:lang w:val="en-US" w:eastAsia="zh-CN"/>
              </w:rPr>
            </w:pPr>
          </w:p>
          <w:p w14:paraId="4A1C8A85" w14:textId="7FD8AD9F" w:rsidR="00766471" w:rsidRDefault="00766471" w:rsidP="009D569E">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9D569E">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9D569E">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7F404D" w:rsidRDefault="005E3516" w:rsidP="007F404D">
      <w:pPr>
        <w:rPr>
          <w:lang w:val="sv-SE" w:eastAsia="zh-CN"/>
        </w:rPr>
      </w:pPr>
      <w:r w:rsidRPr="00BD2A47">
        <w:rPr>
          <w:highlight w:val="yellow"/>
          <w:lang w:val="sv-SE" w:eastAsia="zh-CN"/>
        </w:rPr>
        <w:t>T</w:t>
      </w:r>
      <w:r w:rsidR="007F404D" w:rsidRPr="00BD2A47">
        <w:rPr>
          <w:highlight w:val="yellow"/>
          <w:lang w:val="sv-SE" w:eastAsia="zh-CN"/>
        </w:rPr>
        <w:t>his issue has been discussed for many meetings without an agreement, and the contribut</w:t>
      </w:r>
      <w:r w:rsidR="00BD2A47">
        <w:rPr>
          <w:highlight w:val="yellow"/>
          <w:lang w:val="sv-SE" w:eastAsia="zh-CN"/>
        </w:rPr>
        <w:t>i</w:t>
      </w:r>
      <w:r w:rsidR="007F404D" w:rsidRPr="00BD2A47">
        <w:rPr>
          <w:highlight w:val="yellow"/>
          <w:lang w:val="sv-SE" w:eastAsia="zh-CN"/>
        </w:rPr>
        <w:t xml:space="preserve">ons to this meeting are </w:t>
      </w:r>
      <w:r w:rsidRPr="00BD2A47">
        <w:rPr>
          <w:highlight w:val="yellow"/>
          <w:lang w:val="sv-SE" w:eastAsia="zh-CN"/>
        </w:rPr>
        <w:t xml:space="preserve">repeating the previous arguments. As such, Moderator proposes to </w:t>
      </w:r>
      <w:r w:rsidR="006C60AE">
        <w:rPr>
          <w:highlight w:val="yellow"/>
          <w:lang w:val="sv-SE" w:eastAsia="zh-CN"/>
        </w:rPr>
        <w:t>ask RAN4 chair to treat it in GTW if there is no agreement after the first round email discussion</w:t>
      </w:r>
      <w:r w:rsidR="00A50EE3">
        <w:rPr>
          <w:lang w:val="sv-SE" w:eastAsia="zh-CN"/>
        </w:rPr>
        <w:t>.</w:t>
      </w:r>
    </w:p>
    <w:p w14:paraId="15C012C0" w14:textId="199F326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4845A6">
        <w:rPr>
          <w:sz w:val="24"/>
          <w:szCs w:val="16"/>
        </w:rPr>
        <w:t>3</w:t>
      </w:r>
      <w:r w:rsidRPr="00805BE8">
        <w:rPr>
          <w:sz w:val="24"/>
          <w:szCs w:val="16"/>
        </w:rPr>
        <w:t>-1</w:t>
      </w:r>
      <w:r>
        <w:rPr>
          <w:sz w:val="24"/>
          <w:szCs w:val="16"/>
        </w:rPr>
        <w:t xml:space="preserve">: </w:t>
      </w:r>
      <w:r w:rsidR="00A50EE3">
        <w:rPr>
          <w:sz w:val="24"/>
          <w:szCs w:val="16"/>
        </w:rPr>
        <w:t>Which version to use in the reply LS</w:t>
      </w:r>
      <w:r w:rsidR="005E3516" w:rsidRPr="005E3516">
        <w:rPr>
          <w:sz w:val="24"/>
          <w:szCs w:val="16"/>
        </w:rPr>
        <w:t>?</w:t>
      </w:r>
    </w:p>
    <w:p w14:paraId="049C1DE7"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f8"/>
        <w:numPr>
          <w:ilvl w:val="1"/>
          <w:numId w:val="4"/>
        </w:numPr>
        <w:overflowPunct/>
        <w:autoSpaceDE/>
        <w:autoSpaceDN/>
        <w:adjustRightInd/>
        <w:spacing w:after="120"/>
        <w:ind w:left="1440" w:firstLineChars="0"/>
        <w:textAlignment w:val="auto"/>
        <w:rPr>
          <w:ins w:id="10" w:author="Ruixin(vivo)" w:date="2022-08-12T19:56:00Z"/>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f8"/>
        <w:numPr>
          <w:ilvl w:val="1"/>
          <w:numId w:val="4"/>
        </w:numPr>
        <w:overflowPunct/>
        <w:autoSpaceDE/>
        <w:autoSpaceDN/>
        <w:adjustRightInd/>
        <w:spacing w:after="120"/>
        <w:ind w:left="1440" w:firstLineChars="0"/>
        <w:textAlignment w:val="auto"/>
        <w:rPr>
          <w:ins w:id="11" w:author="Ruixin(vivo)" w:date="2022-08-12T19:56:00Z"/>
          <w:rFonts w:eastAsia="宋体"/>
          <w:color w:val="0070C0"/>
          <w:szCs w:val="24"/>
          <w:lang w:eastAsia="zh-CN"/>
        </w:rPr>
      </w:pPr>
      <w:ins w:id="12" w:author="Ruixin(vivo)" w:date="2022-08-12T19:56:00Z">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13"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14"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f8"/>
        <w:numPr>
          <w:ilvl w:val="1"/>
          <w:numId w:val="4"/>
        </w:numPr>
        <w:overflowPunct/>
        <w:autoSpaceDE/>
        <w:autoSpaceDN/>
        <w:adjustRightInd/>
        <w:spacing w:after="120"/>
        <w:ind w:left="1440" w:firstLineChars="0"/>
        <w:textAlignment w:val="auto"/>
        <w:rPr>
          <w:del w:id="15" w:author="Ruixin(vivo)" w:date="2022-08-12T19:56:00Z"/>
          <w:rFonts w:eastAsia="宋体"/>
          <w:color w:val="0070C0"/>
          <w:szCs w:val="24"/>
          <w:lang w:eastAsia="zh-CN"/>
        </w:rPr>
      </w:pPr>
    </w:p>
    <w:p w14:paraId="46AC23FE" w14:textId="18C50DFD"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16" w:author="Ruixin(vivo)" w:date="2022-08-12T19:56:00Z">
        <w:r w:rsidDel="00EE27F9">
          <w:rPr>
            <w:rFonts w:eastAsia="宋体"/>
            <w:color w:val="0070C0"/>
            <w:szCs w:val="24"/>
            <w:lang w:eastAsia="zh-CN"/>
          </w:rPr>
          <w:delText>3</w:delText>
        </w:r>
      </w:del>
      <w:ins w:id="17"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3C10FE49"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45A18EE9" w14:textId="77777777" w:rsidTr="009D569E">
        <w:tc>
          <w:tcPr>
            <w:tcW w:w="1236" w:type="dxa"/>
          </w:tcPr>
          <w:p w14:paraId="72F80019"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9D569E">
        <w:tc>
          <w:tcPr>
            <w:tcW w:w="1236" w:type="dxa"/>
          </w:tcPr>
          <w:p w14:paraId="61F45144"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DE889F" w14:textId="77777777" w:rsidR="00766471" w:rsidRPr="003418CB" w:rsidRDefault="00766471" w:rsidP="009D569E">
            <w:pPr>
              <w:spacing w:after="120"/>
              <w:rPr>
                <w:rFonts w:eastAsiaTheme="minorEastAsia"/>
                <w:color w:val="0070C0"/>
                <w:lang w:val="en-US" w:eastAsia="zh-CN"/>
              </w:rPr>
            </w:pPr>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197BF1F2" w14:textId="77777777" w:rsidTr="009D569E">
        <w:tc>
          <w:tcPr>
            <w:tcW w:w="1242" w:type="dxa"/>
          </w:tcPr>
          <w:p w14:paraId="18E6A17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9D569E">
        <w:tc>
          <w:tcPr>
            <w:tcW w:w="1242" w:type="dxa"/>
            <w:vMerge w:val="restart"/>
          </w:tcPr>
          <w:p w14:paraId="42FD9B3E"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9D569E">
        <w:tc>
          <w:tcPr>
            <w:tcW w:w="1242" w:type="dxa"/>
            <w:vMerge/>
          </w:tcPr>
          <w:p w14:paraId="70E67F65" w14:textId="77777777" w:rsidR="00766471" w:rsidRDefault="00766471" w:rsidP="009D569E">
            <w:pPr>
              <w:spacing w:after="120"/>
              <w:rPr>
                <w:rFonts w:eastAsiaTheme="minorEastAsia"/>
                <w:color w:val="0070C0"/>
                <w:lang w:val="en-US" w:eastAsia="zh-CN"/>
              </w:rPr>
            </w:pPr>
          </w:p>
        </w:tc>
        <w:tc>
          <w:tcPr>
            <w:tcW w:w="8615" w:type="dxa"/>
          </w:tcPr>
          <w:p w14:paraId="55B237E2"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9D569E">
        <w:tc>
          <w:tcPr>
            <w:tcW w:w="1242" w:type="dxa"/>
            <w:vMerge/>
          </w:tcPr>
          <w:p w14:paraId="4DD3251F" w14:textId="77777777" w:rsidR="00766471" w:rsidRDefault="00766471" w:rsidP="009D569E">
            <w:pPr>
              <w:spacing w:after="120"/>
              <w:rPr>
                <w:rFonts w:eastAsiaTheme="minorEastAsia"/>
                <w:color w:val="0070C0"/>
                <w:lang w:val="en-US" w:eastAsia="zh-CN"/>
              </w:rPr>
            </w:pPr>
          </w:p>
        </w:tc>
        <w:tc>
          <w:tcPr>
            <w:tcW w:w="8615" w:type="dxa"/>
          </w:tcPr>
          <w:p w14:paraId="3843EB28" w14:textId="77777777" w:rsidR="00766471" w:rsidRDefault="00766471" w:rsidP="009D569E">
            <w:pPr>
              <w:spacing w:after="120"/>
              <w:rPr>
                <w:rFonts w:eastAsiaTheme="minorEastAsia"/>
                <w:color w:val="0070C0"/>
                <w:lang w:val="en-US" w:eastAsia="zh-CN"/>
              </w:rPr>
            </w:pPr>
          </w:p>
        </w:tc>
      </w:tr>
      <w:tr w:rsidR="00766471" w:rsidRPr="00571777" w14:paraId="302E4392" w14:textId="77777777" w:rsidTr="009D569E">
        <w:tc>
          <w:tcPr>
            <w:tcW w:w="1242" w:type="dxa"/>
            <w:vMerge w:val="restart"/>
          </w:tcPr>
          <w:p w14:paraId="62ADF681"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9D569E">
        <w:tc>
          <w:tcPr>
            <w:tcW w:w="1242" w:type="dxa"/>
            <w:vMerge/>
          </w:tcPr>
          <w:p w14:paraId="79E3153F" w14:textId="77777777" w:rsidR="00766471" w:rsidRDefault="00766471" w:rsidP="009D569E">
            <w:pPr>
              <w:spacing w:after="120"/>
              <w:rPr>
                <w:rFonts w:eastAsiaTheme="minorEastAsia"/>
                <w:color w:val="0070C0"/>
                <w:lang w:val="en-US" w:eastAsia="zh-CN"/>
              </w:rPr>
            </w:pPr>
          </w:p>
        </w:tc>
        <w:tc>
          <w:tcPr>
            <w:tcW w:w="8615" w:type="dxa"/>
          </w:tcPr>
          <w:p w14:paraId="17B31098"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9D569E">
        <w:tc>
          <w:tcPr>
            <w:tcW w:w="1242" w:type="dxa"/>
            <w:vMerge/>
          </w:tcPr>
          <w:p w14:paraId="7A7455FD" w14:textId="77777777" w:rsidR="00766471" w:rsidRDefault="00766471" w:rsidP="009D569E">
            <w:pPr>
              <w:spacing w:after="120"/>
              <w:rPr>
                <w:rFonts w:eastAsiaTheme="minorEastAsia"/>
                <w:color w:val="0070C0"/>
                <w:lang w:val="en-US" w:eastAsia="zh-CN"/>
              </w:rPr>
            </w:pPr>
          </w:p>
        </w:tc>
        <w:tc>
          <w:tcPr>
            <w:tcW w:w="8615" w:type="dxa"/>
          </w:tcPr>
          <w:p w14:paraId="5C13B3E2" w14:textId="77777777" w:rsidR="00766471" w:rsidRDefault="00766471" w:rsidP="009D569E">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74846142" w14:textId="77777777" w:rsidTr="009D569E">
        <w:tc>
          <w:tcPr>
            <w:tcW w:w="1242" w:type="dxa"/>
          </w:tcPr>
          <w:p w14:paraId="1E20011B" w14:textId="77777777" w:rsidR="00766471" w:rsidRPr="00045592" w:rsidRDefault="00766471" w:rsidP="009D569E">
            <w:pPr>
              <w:rPr>
                <w:rFonts w:eastAsiaTheme="minorEastAsia"/>
                <w:b/>
                <w:bCs/>
                <w:color w:val="0070C0"/>
                <w:lang w:val="en-US" w:eastAsia="zh-CN"/>
              </w:rPr>
            </w:pPr>
          </w:p>
        </w:tc>
        <w:tc>
          <w:tcPr>
            <w:tcW w:w="8615" w:type="dxa"/>
          </w:tcPr>
          <w:p w14:paraId="4CD723C7"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9D569E">
        <w:tc>
          <w:tcPr>
            <w:tcW w:w="1242" w:type="dxa"/>
          </w:tcPr>
          <w:p w14:paraId="15940442"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578AE5D9" w14:textId="77777777" w:rsidTr="009D569E">
        <w:tc>
          <w:tcPr>
            <w:tcW w:w="1242" w:type="dxa"/>
          </w:tcPr>
          <w:p w14:paraId="4CD41D2A"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9D569E">
        <w:tc>
          <w:tcPr>
            <w:tcW w:w="1242" w:type="dxa"/>
          </w:tcPr>
          <w:p w14:paraId="06A098BE"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A1066F8"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2"/>
      </w:pPr>
      <w:r>
        <w:rPr>
          <w:rFonts w:hint="eastAsia"/>
        </w:rPr>
        <w:t>Discussion on 2nd round</w:t>
      </w:r>
      <w: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1"/>
        <w:rPr>
          <w:lang w:eastAsia="ja-JP"/>
        </w:rPr>
      </w:pPr>
      <w:r>
        <w:rPr>
          <w:lang w:eastAsia="ja-JP"/>
        </w:rPr>
        <w:t>Topic</w:t>
      </w:r>
      <w:r w:rsidRPr="00045592">
        <w:rPr>
          <w:lang w:eastAsia="ja-JP"/>
        </w:rPr>
        <w:t xml:space="preserve"> #</w:t>
      </w:r>
      <w:r w:rsidR="00F765B7">
        <w:rPr>
          <w:lang w:eastAsia="ja-JP"/>
        </w:rPr>
        <w:t>4</w:t>
      </w:r>
      <w:r w:rsidRPr="00045592">
        <w:rPr>
          <w:lang w:eastAsia="ja-JP"/>
        </w:rPr>
        <w:t xml:space="preserve">: </w:t>
      </w:r>
      <w:r w:rsidR="00F765B7" w:rsidRPr="00F765B7">
        <w:rPr>
          <w:lang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9D569E">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9D569E">
            <w:pPr>
              <w:spacing w:before="120" w:after="120"/>
              <w:rPr>
                <w:b/>
                <w:bCs/>
              </w:rPr>
            </w:pPr>
            <w:r w:rsidRPr="00045592">
              <w:rPr>
                <w:b/>
                <w:bCs/>
              </w:rPr>
              <w:t>Company</w:t>
            </w:r>
          </w:p>
        </w:tc>
        <w:tc>
          <w:tcPr>
            <w:tcW w:w="6587" w:type="dxa"/>
            <w:vAlign w:val="center"/>
          </w:tcPr>
          <w:p w14:paraId="5D9DAF98"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9D569E">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9D569E">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9D569E">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w:t>
            </w:r>
            <w:r>
              <w:rPr>
                <w:sz w:val="22"/>
                <w:szCs w:val="22"/>
              </w:rPr>
              <w:lastRenderedPageBreak/>
              <w:t>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9D569E">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9D569E">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9D569E">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9D569E">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9D569E">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9D569E">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w:t>
            </w:r>
            <w:r w:rsidRPr="00005360">
              <w:rPr>
                <w:rFonts w:eastAsia="宋体"/>
                <w:lang w:eastAsia="zh-CN"/>
              </w:rPr>
              <w:lastRenderedPageBreak/>
              <w:t xml:space="preserve">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9D569E">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9D569E">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1, i.e. power limitation per panel for </w:t>
            </w:r>
            <w:proofErr w:type="spellStart"/>
            <w:r>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 xml:space="preserve">total power limitation per UE over all UE panels used for </w:t>
            </w:r>
            <w:proofErr w:type="spellStart"/>
            <w:r w:rsidRPr="00216ED1">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9D569E">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9D569E">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r>
              <w:rPr>
                <w:color w:val="000000"/>
                <w:lang w:val="sv-SE"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Pr>
                <w:color w:val="000000"/>
                <w:lang w:val="sv-SE"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9D569E">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9D569E">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98035B">
        <w:rPr>
          <w:sz w:val="24"/>
          <w:szCs w:val="16"/>
        </w:rPr>
        <w:t>4</w:t>
      </w:r>
      <w:r w:rsidRPr="00805BE8">
        <w:rPr>
          <w:sz w:val="24"/>
          <w:szCs w:val="16"/>
        </w:rPr>
        <w:t>-1</w:t>
      </w:r>
      <w:r>
        <w:rPr>
          <w:sz w:val="24"/>
          <w:szCs w:val="16"/>
        </w:rPr>
        <w:t xml:space="preserve">: </w:t>
      </w:r>
      <w:r w:rsidR="00746FCE">
        <w:rPr>
          <w:sz w:val="24"/>
          <w:szCs w:val="16"/>
        </w:rPr>
        <w:t xml:space="preserve">Is </w:t>
      </w:r>
      <w:r w:rsidR="008D4B26">
        <w:rPr>
          <w:sz w:val="24"/>
          <w:szCs w:val="16"/>
        </w:rPr>
        <w:t>assumption 1 (</w:t>
      </w:r>
      <w:r w:rsidR="008D4B26" w:rsidRPr="008D4B26">
        <w:rPr>
          <w:sz w:val="24"/>
          <w:szCs w:val="16"/>
        </w:rPr>
        <w:t>Power limitation per panel for STxMP</w:t>
      </w:r>
      <w:r w:rsidR="008D4B26">
        <w:rPr>
          <w:sz w:val="24"/>
          <w:szCs w:val="16"/>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05D3B8FA" w14:textId="77777777" w:rsidTr="009D569E">
        <w:tc>
          <w:tcPr>
            <w:tcW w:w="1236" w:type="dxa"/>
          </w:tcPr>
          <w:p w14:paraId="705A4C5D"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9D569E">
        <w:tc>
          <w:tcPr>
            <w:tcW w:w="1236" w:type="dxa"/>
          </w:tcPr>
          <w:p w14:paraId="266C0B3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9D569E">
            <w:pPr>
              <w:spacing w:after="120"/>
              <w:rPr>
                <w:rFonts w:eastAsiaTheme="minorEastAsia"/>
                <w:color w:val="0070C0"/>
                <w:lang w:val="en-US" w:eastAsia="zh-CN"/>
              </w:rPr>
            </w:pPr>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805BE8">
        <w:rPr>
          <w:sz w:val="24"/>
          <w:szCs w:val="16"/>
        </w:rPr>
        <w:t>Sub-</w:t>
      </w:r>
      <w:r>
        <w:rPr>
          <w:sz w:val="24"/>
          <w:szCs w:val="16"/>
        </w:rPr>
        <w:t>topic</w:t>
      </w:r>
      <w:r w:rsidRPr="00805BE8">
        <w:rPr>
          <w:sz w:val="24"/>
          <w:szCs w:val="16"/>
        </w:rPr>
        <w:t xml:space="preserve"> </w:t>
      </w:r>
      <w:r w:rsidR="00746FCE">
        <w:rPr>
          <w:sz w:val="24"/>
          <w:szCs w:val="16"/>
        </w:rPr>
        <w:t>4</w:t>
      </w:r>
      <w:r w:rsidRPr="00805BE8">
        <w:rPr>
          <w:sz w:val="24"/>
          <w:szCs w:val="16"/>
        </w:rPr>
        <w:t>-</w:t>
      </w:r>
      <w:r>
        <w:rPr>
          <w:sz w:val="24"/>
          <w:szCs w:val="16"/>
        </w:rPr>
        <w:t>2:</w:t>
      </w:r>
      <w:r w:rsidR="00C0672F">
        <w:rPr>
          <w:sz w:val="24"/>
          <w:szCs w:val="16"/>
        </w:rPr>
        <w:t xml:space="preserve"> </w:t>
      </w:r>
      <w:r w:rsidR="00746FCE">
        <w:rPr>
          <w:sz w:val="24"/>
          <w:szCs w:val="16"/>
        </w:rPr>
        <w:t>Is assumption 2 (</w:t>
      </w:r>
      <w:r w:rsidR="00746FCE" w:rsidRPr="00746FCE">
        <w:rPr>
          <w:sz w:val="24"/>
          <w:szCs w:val="16"/>
        </w:rPr>
        <w:t>A total power limitation per UE over all UE panels used for STxMP</w:t>
      </w:r>
      <w:r w:rsidR="00746FCE">
        <w:rPr>
          <w:sz w:val="24"/>
          <w:szCs w:val="16"/>
        </w:rPr>
        <w:t>) feasible? 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B71AA" w14:paraId="1CDE58B7" w14:textId="77777777" w:rsidTr="009D569E">
        <w:tc>
          <w:tcPr>
            <w:tcW w:w="1236" w:type="dxa"/>
          </w:tcPr>
          <w:p w14:paraId="516FF25F" w14:textId="77777777" w:rsidR="003B71AA" w:rsidRPr="00805BE8" w:rsidRDefault="003B71AA"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9D569E">
        <w:tc>
          <w:tcPr>
            <w:tcW w:w="1236" w:type="dxa"/>
          </w:tcPr>
          <w:p w14:paraId="18FE2E4A" w14:textId="77777777" w:rsidR="003B71AA" w:rsidRPr="003418CB" w:rsidRDefault="003B71AA"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9D569E">
            <w:pPr>
              <w:spacing w:after="120"/>
              <w:rPr>
                <w:rFonts w:eastAsiaTheme="minorEastAsia"/>
                <w:color w:val="0070C0"/>
                <w:lang w:val="en-US" w:eastAsia="zh-CN"/>
              </w:rPr>
            </w:pPr>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3: On </w:t>
      </w:r>
      <w:r w:rsidR="00010AB3">
        <w:rPr>
          <w:sz w:val="24"/>
          <w:szCs w:val="16"/>
        </w:rPr>
        <w:t>Q</w:t>
      </w:r>
      <w:r>
        <w:rPr>
          <w:sz w:val="24"/>
          <w:szCs w:val="16"/>
        </w:rPr>
        <w:t xml:space="preserve">uestion 3 from RAN1, if </w:t>
      </w:r>
      <w:r w:rsidRPr="00CE4498">
        <w:rPr>
          <w:sz w:val="24"/>
          <w:szCs w:val="16"/>
        </w:rPr>
        <w:t>the existing power limitation for a given power class</w:t>
      </w:r>
      <w:r>
        <w:rPr>
          <w:sz w:val="24"/>
          <w:szCs w:val="16"/>
        </w:rPr>
        <w:t xml:space="preserve"> is violated, is there any issue on regulatory compliance</w:t>
      </w:r>
      <w:r w:rsidRPr="00CE4498">
        <w:rPr>
          <w:sz w:val="24"/>
          <w:szCs w:val="16"/>
        </w:rPr>
        <w:t>?</w:t>
      </w:r>
    </w:p>
    <w:p w14:paraId="784BF6FA"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CE4498" w14:paraId="1F9EAA4E" w14:textId="77777777" w:rsidTr="00067BFB">
        <w:tc>
          <w:tcPr>
            <w:tcW w:w="1236" w:type="dxa"/>
          </w:tcPr>
          <w:p w14:paraId="1DABBA57" w14:textId="77777777" w:rsidR="00CE4498" w:rsidRPr="00805BE8" w:rsidRDefault="00CE4498"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067BFB">
        <w:tc>
          <w:tcPr>
            <w:tcW w:w="1236" w:type="dxa"/>
          </w:tcPr>
          <w:p w14:paraId="24F8255D" w14:textId="77777777" w:rsidR="00CE4498" w:rsidRPr="003418CB" w:rsidRDefault="00CE4498"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067BFB">
            <w:pPr>
              <w:spacing w:after="120"/>
              <w:rPr>
                <w:rFonts w:eastAsiaTheme="minorEastAsia"/>
                <w:color w:val="0070C0"/>
                <w:lang w:val="en-US" w:eastAsia="zh-CN"/>
              </w:rPr>
            </w:pPr>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44C13C77" w14:textId="77777777" w:rsidTr="009D569E">
        <w:tc>
          <w:tcPr>
            <w:tcW w:w="1242" w:type="dxa"/>
          </w:tcPr>
          <w:p w14:paraId="1FE9458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9D569E">
        <w:tc>
          <w:tcPr>
            <w:tcW w:w="1242" w:type="dxa"/>
            <w:vMerge w:val="restart"/>
          </w:tcPr>
          <w:p w14:paraId="443975F9"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9D569E">
        <w:tc>
          <w:tcPr>
            <w:tcW w:w="1242" w:type="dxa"/>
            <w:vMerge/>
          </w:tcPr>
          <w:p w14:paraId="7B03653C" w14:textId="77777777" w:rsidR="00766471" w:rsidRDefault="00766471" w:rsidP="009D569E">
            <w:pPr>
              <w:spacing w:after="120"/>
              <w:rPr>
                <w:rFonts w:eastAsiaTheme="minorEastAsia"/>
                <w:color w:val="0070C0"/>
                <w:lang w:val="en-US" w:eastAsia="zh-CN"/>
              </w:rPr>
            </w:pPr>
          </w:p>
        </w:tc>
        <w:tc>
          <w:tcPr>
            <w:tcW w:w="8615" w:type="dxa"/>
          </w:tcPr>
          <w:p w14:paraId="4C4FB12C"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9D569E">
        <w:tc>
          <w:tcPr>
            <w:tcW w:w="1242" w:type="dxa"/>
            <w:vMerge/>
          </w:tcPr>
          <w:p w14:paraId="2391F2B5" w14:textId="77777777" w:rsidR="00766471" w:rsidRDefault="00766471" w:rsidP="009D569E">
            <w:pPr>
              <w:spacing w:after="120"/>
              <w:rPr>
                <w:rFonts w:eastAsiaTheme="minorEastAsia"/>
                <w:color w:val="0070C0"/>
                <w:lang w:val="en-US" w:eastAsia="zh-CN"/>
              </w:rPr>
            </w:pPr>
          </w:p>
        </w:tc>
        <w:tc>
          <w:tcPr>
            <w:tcW w:w="8615" w:type="dxa"/>
          </w:tcPr>
          <w:p w14:paraId="3118BC7B" w14:textId="77777777" w:rsidR="00766471" w:rsidRDefault="00766471" w:rsidP="009D569E">
            <w:pPr>
              <w:spacing w:after="120"/>
              <w:rPr>
                <w:rFonts w:eastAsiaTheme="minorEastAsia"/>
                <w:color w:val="0070C0"/>
                <w:lang w:val="en-US" w:eastAsia="zh-CN"/>
              </w:rPr>
            </w:pPr>
          </w:p>
        </w:tc>
      </w:tr>
      <w:tr w:rsidR="00766471" w:rsidRPr="00571777" w14:paraId="34411F2D" w14:textId="77777777" w:rsidTr="009D569E">
        <w:tc>
          <w:tcPr>
            <w:tcW w:w="1242" w:type="dxa"/>
            <w:vMerge w:val="restart"/>
          </w:tcPr>
          <w:p w14:paraId="2D3A8C4B"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9D569E">
        <w:tc>
          <w:tcPr>
            <w:tcW w:w="1242" w:type="dxa"/>
            <w:vMerge/>
          </w:tcPr>
          <w:p w14:paraId="4155DB90" w14:textId="77777777" w:rsidR="00766471" w:rsidRDefault="00766471" w:rsidP="009D569E">
            <w:pPr>
              <w:spacing w:after="120"/>
              <w:rPr>
                <w:rFonts w:eastAsiaTheme="minorEastAsia"/>
                <w:color w:val="0070C0"/>
                <w:lang w:val="en-US" w:eastAsia="zh-CN"/>
              </w:rPr>
            </w:pPr>
          </w:p>
        </w:tc>
        <w:tc>
          <w:tcPr>
            <w:tcW w:w="8615" w:type="dxa"/>
          </w:tcPr>
          <w:p w14:paraId="15D4F177"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9D569E">
        <w:tc>
          <w:tcPr>
            <w:tcW w:w="1242" w:type="dxa"/>
            <w:vMerge/>
          </w:tcPr>
          <w:p w14:paraId="2925948E" w14:textId="77777777" w:rsidR="00766471" w:rsidRDefault="00766471" w:rsidP="009D569E">
            <w:pPr>
              <w:spacing w:after="120"/>
              <w:rPr>
                <w:rFonts w:eastAsiaTheme="minorEastAsia"/>
                <w:color w:val="0070C0"/>
                <w:lang w:val="en-US" w:eastAsia="zh-CN"/>
              </w:rPr>
            </w:pPr>
          </w:p>
        </w:tc>
        <w:tc>
          <w:tcPr>
            <w:tcW w:w="8615" w:type="dxa"/>
          </w:tcPr>
          <w:p w14:paraId="21C0C5BC" w14:textId="77777777" w:rsidR="00766471" w:rsidRDefault="00766471" w:rsidP="009D569E">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3FFE19B" w14:textId="77777777" w:rsidTr="009D569E">
        <w:tc>
          <w:tcPr>
            <w:tcW w:w="1242" w:type="dxa"/>
          </w:tcPr>
          <w:p w14:paraId="6707DEC6" w14:textId="77777777" w:rsidR="00766471" w:rsidRPr="00045592" w:rsidRDefault="00766471" w:rsidP="009D569E">
            <w:pPr>
              <w:rPr>
                <w:rFonts w:eastAsiaTheme="minorEastAsia"/>
                <w:b/>
                <w:bCs/>
                <w:color w:val="0070C0"/>
                <w:lang w:val="en-US" w:eastAsia="zh-CN"/>
              </w:rPr>
            </w:pPr>
          </w:p>
        </w:tc>
        <w:tc>
          <w:tcPr>
            <w:tcW w:w="8615" w:type="dxa"/>
          </w:tcPr>
          <w:p w14:paraId="33FA4A44"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9D569E">
        <w:tc>
          <w:tcPr>
            <w:tcW w:w="1242" w:type="dxa"/>
          </w:tcPr>
          <w:p w14:paraId="2A7EB50D"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47589006" w14:textId="77777777" w:rsidTr="009D569E">
        <w:tc>
          <w:tcPr>
            <w:tcW w:w="1242" w:type="dxa"/>
          </w:tcPr>
          <w:p w14:paraId="02628975"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9D569E">
        <w:tc>
          <w:tcPr>
            <w:tcW w:w="1242" w:type="dxa"/>
          </w:tcPr>
          <w:p w14:paraId="2B99FEF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2"/>
      </w:pPr>
      <w:r>
        <w:rPr>
          <w:rFonts w:hint="eastAsia"/>
        </w:rPr>
        <w:lastRenderedPageBreak/>
        <w:t>Discussion on 2nd round</w:t>
      </w:r>
      <w: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4E5B5763" w:rsidR="00766471" w:rsidRPr="00786EF9" w:rsidRDefault="00766471" w:rsidP="00766471">
      <w:pPr>
        <w:pStyle w:val="1"/>
        <w:rPr>
          <w:lang w:eastAsia="ja-JP"/>
        </w:rPr>
      </w:pPr>
      <w:r>
        <w:rPr>
          <w:lang w:eastAsia="ja-JP"/>
        </w:rPr>
        <w:t>Topic</w:t>
      </w:r>
      <w:r w:rsidRPr="00045592">
        <w:rPr>
          <w:lang w:eastAsia="ja-JP"/>
        </w:rPr>
        <w:t xml:space="preserve"> #</w:t>
      </w:r>
      <w:r w:rsidR="00A921DE">
        <w:rPr>
          <w:lang w:eastAsia="ja-JP"/>
        </w:rPr>
        <w:t>5</w:t>
      </w:r>
      <w:r w:rsidRPr="00045592">
        <w:rPr>
          <w:lang w:eastAsia="ja-JP"/>
        </w:rPr>
        <w:t xml:space="preserve">: </w:t>
      </w:r>
      <w:r w:rsidR="004D7D80">
        <w:rPr>
          <w:lang w:eastAsia="ja-JP"/>
        </w:rPr>
        <w:t xml:space="preserve">Reply </w:t>
      </w:r>
      <w:r w:rsidR="004D7D80" w:rsidRPr="004D7D80">
        <w:rPr>
          <w:lang w:eastAsia="ja-JP"/>
        </w:rPr>
        <w:t>LS on configuration of p-MaxEUTRA and p-NR-FR1</w:t>
      </w:r>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9D569E">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9D569E">
            <w:pPr>
              <w:spacing w:before="120" w:after="120"/>
              <w:rPr>
                <w:b/>
                <w:bCs/>
              </w:rPr>
            </w:pPr>
            <w:r w:rsidRPr="00045592">
              <w:rPr>
                <w:b/>
                <w:bCs/>
              </w:rPr>
              <w:t>Company</w:t>
            </w:r>
          </w:p>
        </w:tc>
        <w:tc>
          <w:tcPr>
            <w:tcW w:w="6593" w:type="dxa"/>
            <w:vAlign w:val="center"/>
          </w:tcPr>
          <w:p w14:paraId="4CB257DA"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9D569E">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9D569E">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9D569E">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9D569E">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9D569E">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9D569E">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w:t>
            </w:r>
            <w:proofErr w:type="spellStart"/>
            <w:r>
              <w:rPr>
                <w:rFonts w:eastAsia="等线"/>
                <w:lang w:eastAsia="zh-CN"/>
              </w:rPr>
              <w:t>dBi</w:t>
            </w:r>
            <w:proofErr w:type="spellEnd"/>
            <w:r>
              <w:rPr>
                <w:rFonts w:eastAsia="等线"/>
                <w:lang w:eastAsia="zh-CN"/>
              </w:rPr>
              <w:t xml:space="preserve">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w:t>
            </w:r>
            <w:proofErr w:type="spellStart"/>
            <w:r>
              <w:rPr>
                <w:rFonts w:eastAsia="等线"/>
                <w:b/>
                <w:lang w:eastAsia="zh-CN"/>
              </w:rPr>
              <w:t>dBi</w:t>
            </w:r>
            <w:proofErr w:type="spellEnd"/>
            <w:r>
              <w:rPr>
                <w:rFonts w:eastAsia="等线"/>
                <w:b/>
                <w:lang w:eastAsia="zh-CN"/>
              </w:rPr>
              <w:t xml:space="preserve">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w:t>
            </w:r>
            <w:bookmarkStart w:id="18" w:name="_GoBack"/>
            <w:r>
              <w:rPr>
                <w:rFonts w:eastAsia="等线"/>
                <w:lang w:eastAsia="zh-CN"/>
              </w:rPr>
              <w:t>the total path loss would be larger than 10dB</w:t>
            </w:r>
            <w:bookmarkEnd w:id="18"/>
            <w:r>
              <w:rPr>
                <w:rFonts w:eastAsia="等线"/>
                <w:lang w:eastAsia="zh-CN"/>
              </w:rPr>
              <w:t xml:space="preserve">.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9D569E">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9D569E">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9D569E">
            <w:pPr>
              <w:spacing w:before="120" w:after="120"/>
              <w:rPr>
                <w:rFonts w:asciiTheme="minorHAnsi" w:hAnsiTheme="minorHAnsi" w:cstheme="minorHAnsi"/>
              </w:rPr>
            </w:pPr>
            <w:r w:rsidRPr="00B57F10">
              <w:rPr>
                <w:rFonts w:asciiTheme="minorHAnsi" w:hAnsiTheme="minorHAnsi" w:cstheme="minorHAnsi"/>
              </w:rPr>
              <w:lastRenderedPageBreak/>
              <w:t>R4-2213701</w:t>
            </w:r>
          </w:p>
        </w:tc>
        <w:tc>
          <w:tcPr>
            <w:tcW w:w="1422" w:type="dxa"/>
          </w:tcPr>
          <w:p w14:paraId="51F1C027" w14:textId="47DF79DA" w:rsidR="00B57F10" w:rsidRDefault="00B57F10" w:rsidP="009D569E">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3752E5">
        <w:rPr>
          <w:sz w:val="24"/>
          <w:szCs w:val="16"/>
        </w:rPr>
        <w:t>5</w:t>
      </w:r>
      <w:r w:rsidRPr="00805BE8">
        <w:rPr>
          <w:sz w:val="24"/>
          <w:szCs w:val="16"/>
        </w:rPr>
        <w:t>-1</w:t>
      </w:r>
      <w:r>
        <w:rPr>
          <w:sz w:val="24"/>
          <w:szCs w:val="16"/>
        </w:rPr>
        <w:t xml:space="preserve">: </w:t>
      </w:r>
      <w:r w:rsidR="003752E5">
        <w:rPr>
          <w:sz w:val="24"/>
          <w:szCs w:val="16"/>
        </w:rPr>
        <w:t>What antenna gain to provide in the reply LS</w:t>
      </w:r>
      <w:r>
        <w:rPr>
          <w:sz w:val="24"/>
          <w:szCs w:val="16"/>
        </w:rPr>
        <w:t>?</w:t>
      </w:r>
    </w:p>
    <w:p w14:paraId="14E96F6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 xml:space="preserve">-5 </w:t>
      </w:r>
      <w:proofErr w:type="spellStart"/>
      <w:r w:rsidR="003752E5" w:rsidRPr="003752E5">
        <w:rPr>
          <w:rFonts w:eastAsia="宋体"/>
          <w:color w:val="0070C0"/>
          <w:szCs w:val="24"/>
          <w:lang w:eastAsia="zh-CN"/>
        </w:rPr>
        <w:t>dBi</w:t>
      </w:r>
      <w:proofErr w:type="spellEnd"/>
    </w:p>
    <w:p w14:paraId="40A4E20F" w14:textId="50B5B74F"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 xml:space="preserve">-6 </w:t>
      </w:r>
      <w:proofErr w:type="spellStart"/>
      <w:r w:rsidRPr="003752E5">
        <w:rPr>
          <w:rFonts w:eastAsia="宋体"/>
          <w:color w:val="0070C0"/>
          <w:szCs w:val="24"/>
          <w:lang w:eastAsia="zh-CN"/>
        </w:rPr>
        <w:t>dBi</w:t>
      </w:r>
      <w:proofErr w:type="spellEnd"/>
    </w:p>
    <w:p w14:paraId="66463294" w14:textId="7E64AA49"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1620D573" w14:textId="77777777" w:rsidTr="009D569E">
        <w:tc>
          <w:tcPr>
            <w:tcW w:w="1236" w:type="dxa"/>
          </w:tcPr>
          <w:p w14:paraId="576520CC"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9D569E">
        <w:tc>
          <w:tcPr>
            <w:tcW w:w="1236" w:type="dxa"/>
          </w:tcPr>
          <w:p w14:paraId="04A949F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872A25" w14:textId="77777777" w:rsidR="00766471" w:rsidRPr="003418CB" w:rsidRDefault="00766471" w:rsidP="009D569E">
            <w:pPr>
              <w:spacing w:after="120"/>
              <w:rPr>
                <w:rFonts w:eastAsiaTheme="minorEastAsia"/>
                <w:color w:val="0070C0"/>
                <w:lang w:val="en-US" w:eastAsia="zh-CN"/>
              </w:rPr>
            </w:pPr>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 Should RAN4 also provide additional info such as ”</w:t>
      </w:r>
      <w:r w:rsidRPr="003752E5">
        <w:t xml:space="preserve"> </w:t>
      </w:r>
      <w:r w:rsidRPr="003752E5">
        <w:rPr>
          <w:sz w:val="24"/>
          <w:szCs w:val="16"/>
        </w:rPr>
        <w:t>If the target is to develop more realistic link budget analysis, in the reply LS it should be informed to RAN1 that radiated value of commercial smartphone should be used instead of pure passive antenna gain.</w:t>
      </w:r>
      <w:r>
        <w:rPr>
          <w:sz w:val="24"/>
          <w:szCs w:val="16"/>
        </w:rPr>
        <w:t>”?</w:t>
      </w:r>
    </w:p>
    <w:p w14:paraId="5B022582"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752E5" w14:paraId="3D8A5A23" w14:textId="77777777" w:rsidTr="00067BFB">
        <w:tc>
          <w:tcPr>
            <w:tcW w:w="1236" w:type="dxa"/>
          </w:tcPr>
          <w:p w14:paraId="42F5BAFB" w14:textId="77777777" w:rsidR="003752E5" w:rsidRPr="00805BE8" w:rsidRDefault="003752E5"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067BFB">
        <w:tc>
          <w:tcPr>
            <w:tcW w:w="1236" w:type="dxa"/>
          </w:tcPr>
          <w:p w14:paraId="7FB0C049" w14:textId="77777777" w:rsidR="003752E5" w:rsidRPr="003418CB" w:rsidRDefault="003752E5"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CDACFA" w14:textId="77777777" w:rsidR="003752E5" w:rsidRPr="003418CB" w:rsidRDefault="003752E5" w:rsidP="00067BFB">
            <w:pPr>
              <w:spacing w:after="120"/>
              <w:rPr>
                <w:rFonts w:eastAsiaTheme="minorEastAsia"/>
                <w:color w:val="0070C0"/>
                <w:lang w:val="en-US" w:eastAsia="zh-CN"/>
              </w:rPr>
            </w:pPr>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766471" w:rsidRPr="00571777" w14:paraId="37845B07" w14:textId="77777777" w:rsidTr="009D569E">
        <w:tc>
          <w:tcPr>
            <w:tcW w:w="1242" w:type="dxa"/>
          </w:tcPr>
          <w:p w14:paraId="042900EF"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4157DB5"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9D569E">
        <w:tc>
          <w:tcPr>
            <w:tcW w:w="1242" w:type="dxa"/>
            <w:vMerge w:val="restart"/>
          </w:tcPr>
          <w:p w14:paraId="6BA4DFF3" w14:textId="169A2345" w:rsidR="00ED5280" w:rsidRPr="003418CB" w:rsidRDefault="00ED5280" w:rsidP="009D569E">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9D569E">
        <w:tc>
          <w:tcPr>
            <w:tcW w:w="1242" w:type="dxa"/>
            <w:vMerge/>
          </w:tcPr>
          <w:p w14:paraId="789EFC85" w14:textId="77777777" w:rsidR="00766471" w:rsidRDefault="00766471" w:rsidP="009D569E">
            <w:pPr>
              <w:spacing w:after="120"/>
              <w:rPr>
                <w:rFonts w:eastAsiaTheme="minorEastAsia"/>
                <w:color w:val="0070C0"/>
                <w:lang w:val="en-US" w:eastAsia="zh-CN"/>
              </w:rPr>
            </w:pPr>
          </w:p>
        </w:tc>
        <w:tc>
          <w:tcPr>
            <w:tcW w:w="8615" w:type="dxa"/>
          </w:tcPr>
          <w:p w14:paraId="064A7654"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9D569E">
        <w:tc>
          <w:tcPr>
            <w:tcW w:w="1242" w:type="dxa"/>
            <w:vMerge/>
          </w:tcPr>
          <w:p w14:paraId="2599A64C" w14:textId="77777777" w:rsidR="00766471" w:rsidRDefault="00766471" w:rsidP="009D569E">
            <w:pPr>
              <w:spacing w:after="120"/>
              <w:rPr>
                <w:rFonts w:eastAsiaTheme="minorEastAsia"/>
                <w:color w:val="0070C0"/>
                <w:lang w:val="en-US" w:eastAsia="zh-CN"/>
              </w:rPr>
            </w:pPr>
          </w:p>
        </w:tc>
        <w:tc>
          <w:tcPr>
            <w:tcW w:w="8615" w:type="dxa"/>
          </w:tcPr>
          <w:p w14:paraId="128D66E3" w14:textId="77777777" w:rsidR="00766471" w:rsidRDefault="00766471" w:rsidP="009D569E">
            <w:pPr>
              <w:spacing w:after="120"/>
              <w:rPr>
                <w:rFonts w:eastAsiaTheme="minorEastAsia"/>
                <w:color w:val="0070C0"/>
                <w:lang w:val="en-US" w:eastAsia="zh-CN"/>
              </w:rPr>
            </w:pPr>
          </w:p>
        </w:tc>
      </w:tr>
      <w:tr w:rsidR="00766471" w:rsidRPr="00571777" w14:paraId="0643E085" w14:textId="77777777" w:rsidTr="009D569E">
        <w:tc>
          <w:tcPr>
            <w:tcW w:w="1242" w:type="dxa"/>
            <w:vMerge w:val="restart"/>
          </w:tcPr>
          <w:p w14:paraId="7A7E1685" w14:textId="13F1E447" w:rsidR="00766471" w:rsidRDefault="00ED5280" w:rsidP="009D569E">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9D569E">
        <w:tc>
          <w:tcPr>
            <w:tcW w:w="1242" w:type="dxa"/>
            <w:vMerge/>
          </w:tcPr>
          <w:p w14:paraId="7508F820" w14:textId="77777777" w:rsidR="00766471" w:rsidRDefault="00766471" w:rsidP="009D569E">
            <w:pPr>
              <w:spacing w:after="120"/>
              <w:rPr>
                <w:rFonts w:eastAsiaTheme="minorEastAsia"/>
                <w:color w:val="0070C0"/>
                <w:lang w:val="en-US" w:eastAsia="zh-CN"/>
              </w:rPr>
            </w:pPr>
          </w:p>
        </w:tc>
        <w:tc>
          <w:tcPr>
            <w:tcW w:w="8615" w:type="dxa"/>
          </w:tcPr>
          <w:p w14:paraId="7423CB19"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9D569E">
        <w:tc>
          <w:tcPr>
            <w:tcW w:w="1242" w:type="dxa"/>
            <w:vMerge/>
          </w:tcPr>
          <w:p w14:paraId="7DA0525A" w14:textId="77777777" w:rsidR="00766471" w:rsidRDefault="00766471" w:rsidP="009D569E">
            <w:pPr>
              <w:spacing w:after="120"/>
              <w:rPr>
                <w:rFonts w:eastAsiaTheme="minorEastAsia"/>
                <w:color w:val="0070C0"/>
                <w:lang w:val="en-US" w:eastAsia="zh-CN"/>
              </w:rPr>
            </w:pPr>
          </w:p>
        </w:tc>
        <w:tc>
          <w:tcPr>
            <w:tcW w:w="8615" w:type="dxa"/>
          </w:tcPr>
          <w:p w14:paraId="0A843598" w14:textId="77777777" w:rsidR="00766471" w:rsidRDefault="00766471" w:rsidP="009D569E">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B35CF84" w14:textId="77777777" w:rsidTr="009D569E">
        <w:tc>
          <w:tcPr>
            <w:tcW w:w="1242" w:type="dxa"/>
          </w:tcPr>
          <w:p w14:paraId="3A1D7107" w14:textId="77777777" w:rsidR="00766471" w:rsidRPr="00045592" w:rsidRDefault="00766471" w:rsidP="009D569E">
            <w:pPr>
              <w:rPr>
                <w:rFonts w:eastAsiaTheme="minorEastAsia"/>
                <w:b/>
                <w:bCs/>
                <w:color w:val="0070C0"/>
                <w:lang w:val="en-US" w:eastAsia="zh-CN"/>
              </w:rPr>
            </w:pPr>
          </w:p>
        </w:tc>
        <w:tc>
          <w:tcPr>
            <w:tcW w:w="8615" w:type="dxa"/>
          </w:tcPr>
          <w:p w14:paraId="1685EF30"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9D569E">
        <w:tc>
          <w:tcPr>
            <w:tcW w:w="1242" w:type="dxa"/>
          </w:tcPr>
          <w:p w14:paraId="4A66D4F1"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7E530758" w14:textId="77777777" w:rsidTr="009D569E">
        <w:tc>
          <w:tcPr>
            <w:tcW w:w="1242" w:type="dxa"/>
          </w:tcPr>
          <w:p w14:paraId="4A1528F6"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9D569E">
        <w:tc>
          <w:tcPr>
            <w:tcW w:w="1242" w:type="dxa"/>
          </w:tcPr>
          <w:p w14:paraId="524DC1B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2"/>
      </w:pPr>
      <w:r>
        <w:rPr>
          <w:rFonts w:hint="eastAsia"/>
        </w:rPr>
        <w:t>Discussion on 2nd round</w:t>
      </w:r>
      <w: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56E8" w14:textId="77777777" w:rsidR="006F62BB" w:rsidRDefault="006F62BB">
      <w:r>
        <w:separator/>
      </w:r>
    </w:p>
  </w:endnote>
  <w:endnote w:type="continuationSeparator" w:id="0">
    <w:p w14:paraId="26635042" w14:textId="77777777" w:rsidR="006F62BB" w:rsidRDefault="006F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2FD47" w14:textId="77777777" w:rsidR="006F62BB" w:rsidRDefault="006F62BB">
      <w:r>
        <w:separator/>
      </w:r>
    </w:p>
  </w:footnote>
  <w:footnote w:type="continuationSeparator" w:id="0">
    <w:p w14:paraId="557299CC" w14:textId="77777777" w:rsidR="006F62BB" w:rsidRDefault="006F6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18"/>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4"/>
  </w:num>
  <w:num w:numId="21">
    <w:abstractNumId w:val="10"/>
  </w:num>
  <w:num w:numId="22">
    <w:abstractNumId w:val="10"/>
  </w:num>
  <w:num w:numId="23">
    <w:abstractNumId w:val="9"/>
  </w:num>
  <w:num w:numId="24">
    <w:abstractNumId w:val="17"/>
  </w:num>
  <w:num w:numId="25">
    <w:abstractNumId w:val="11"/>
  </w:num>
  <w:num w:numId="26">
    <w:abstractNumId w:val="3"/>
  </w:num>
  <w:num w:numId="27">
    <w:abstractNumId w:val="0"/>
  </w:num>
  <w:num w:numId="28">
    <w:abstractNumId w:val="12"/>
  </w:num>
  <w:num w:numId="29">
    <w:abstractNumId w:val="15"/>
  </w:num>
  <w:num w:numId="30">
    <w:abstractNumId w:val="1"/>
  </w:num>
  <w:num w:numId="31">
    <w:abstractNumId w:val="13"/>
  </w:num>
  <w:num w:numId="32">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OPPO-JQ">
    <w15:presenceInfo w15:providerId="None" w15:userId="OPPO-JQ"/>
  </w15:person>
  <w15:person w15:author="Ruixin(vivo)">
    <w15:presenceInfo w15:providerId="None" w15:userId="Ruixin(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50001"/>
    <w:rsid w:val="00052041"/>
    <w:rsid w:val="0005326A"/>
    <w:rsid w:val="00055248"/>
    <w:rsid w:val="0006266D"/>
    <w:rsid w:val="0006321A"/>
    <w:rsid w:val="00065506"/>
    <w:rsid w:val="0007382E"/>
    <w:rsid w:val="000766E1"/>
    <w:rsid w:val="00077107"/>
    <w:rsid w:val="00077FF6"/>
    <w:rsid w:val="00080D82"/>
    <w:rsid w:val="00081692"/>
    <w:rsid w:val="00082C46"/>
    <w:rsid w:val="00085A0E"/>
    <w:rsid w:val="00085DF1"/>
    <w:rsid w:val="00087548"/>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E0428"/>
    <w:rsid w:val="000E2B75"/>
    <w:rsid w:val="000E537B"/>
    <w:rsid w:val="000E557C"/>
    <w:rsid w:val="000E55A9"/>
    <w:rsid w:val="000E57D0"/>
    <w:rsid w:val="000E7858"/>
    <w:rsid w:val="000F39CA"/>
    <w:rsid w:val="00107927"/>
    <w:rsid w:val="00110E26"/>
    <w:rsid w:val="00111321"/>
    <w:rsid w:val="00117BD6"/>
    <w:rsid w:val="001206C2"/>
    <w:rsid w:val="00121978"/>
    <w:rsid w:val="00123422"/>
    <w:rsid w:val="00124B6A"/>
    <w:rsid w:val="001353BE"/>
    <w:rsid w:val="001368CA"/>
    <w:rsid w:val="00136D4C"/>
    <w:rsid w:val="00142538"/>
    <w:rsid w:val="00142BB9"/>
    <w:rsid w:val="00144F96"/>
    <w:rsid w:val="00150756"/>
    <w:rsid w:val="00151EAC"/>
    <w:rsid w:val="00152825"/>
    <w:rsid w:val="00153528"/>
    <w:rsid w:val="00154E68"/>
    <w:rsid w:val="001609B3"/>
    <w:rsid w:val="00162548"/>
    <w:rsid w:val="001644F7"/>
    <w:rsid w:val="00172183"/>
    <w:rsid w:val="001751AB"/>
    <w:rsid w:val="00175A3F"/>
    <w:rsid w:val="00180E09"/>
    <w:rsid w:val="00183D4C"/>
    <w:rsid w:val="00183F6D"/>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10740"/>
    <w:rsid w:val="002138EA"/>
    <w:rsid w:val="002139EA"/>
    <w:rsid w:val="00213F84"/>
    <w:rsid w:val="00214FBD"/>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2EB"/>
    <w:rsid w:val="002F1576"/>
    <w:rsid w:val="002F158C"/>
    <w:rsid w:val="002F4093"/>
    <w:rsid w:val="002F5636"/>
    <w:rsid w:val="003022A5"/>
    <w:rsid w:val="00307E51"/>
    <w:rsid w:val="00311363"/>
    <w:rsid w:val="00315867"/>
    <w:rsid w:val="00321150"/>
    <w:rsid w:val="003260D7"/>
    <w:rsid w:val="00326BD0"/>
    <w:rsid w:val="00332A10"/>
    <w:rsid w:val="0033603A"/>
    <w:rsid w:val="00336697"/>
    <w:rsid w:val="003418CB"/>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308DB"/>
    <w:rsid w:val="00530A2E"/>
    <w:rsid w:val="00530FBE"/>
    <w:rsid w:val="00533159"/>
    <w:rsid w:val="005339DB"/>
    <w:rsid w:val="00534C89"/>
    <w:rsid w:val="00541573"/>
    <w:rsid w:val="0054348A"/>
    <w:rsid w:val="00544179"/>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44A1"/>
    <w:rsid w:val="00615EBB"/>
    <w:rsid w:val="00616096"/>
    <w:rsid w:val="006160A2"/>
    <w:rsid w:val="0062718C"/>
    <w:rsid w:val="006302AA"/>
    <w:rsid w:val="006349F9"/>
    <w:rsid w:val="006363BD"/>
    <w:rsid w:val="006412DC"/>
    <w:rsid w:val="006415C7"/>
    <w:rsid w:val="00642BC6"/>
    <w:rsid w:val="0064477A"/>
    <w:rsid w:val="00644790"/>
    <w:rsid w:val="006501AF"/>
    <w:rsid w:val="00650DDE"/>
    <w:rsid w:val="0065505B"/>
    <w:rsid w:val="00660B93"/>
    <w:rsid w:val="006670AC"/>
    <w:rsid w:val="00672307"/>
    <w:rsid w:val="006808C6"/>
    <w:rsid w:val="00682668"/>
    <w:rsid w:val="0068317F"/>
    <w:rsid w:val="00692A68"/>
    <w:rsid w:val="00692DDC"/>
    <w:rsid w:val="00695D85"/>
    <w:rsid w:val="00697151"/>
    <w:rsid w:val="006A1DCB"/>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62BB"/>
    <w:rsid w:val="006F62ED"/>
    <w:rsid w:val="006F7C0C"/>
    <w:rsid w:val="00700755"/>
    <w:rsid w:val="0070646B"/>
    <w:rsid w:val="007130A2"/>
    <w:rsid w:val="00713542"/>
    <w:rsid w:val="00715463"/>
    <w:rsid w:val="007173F5"/>
    <w:rsid w:val="00730655"/>
    <w:rsid w:val="0073172D"/>
    <w:rsid w:val="00731D77"/>
    <w:rsid w:val="00732360"/>
    <w:rsid w:val="0073390A"/>
    <w:rsid w:val="00734E64"/>
    <w:rsid w:val="00736B37"/>
    <w:rsid w:val="00740A35"/>
    <w:rsid w:val="007435BD"/>
    <w:rsid w:val="00746FCE"/>
    <w:rsid w:val="00747C48"/>
    <w:rsid w:val="007520B4"/>
    <w:rsid w:val="00756876"/>
    <w:rsid w:val="00757752"/>
    <w:rsid w:val="00764B61"/>
    <w:rsid w:val="007655D5"/>
    <w:rsid w:val="0076630B"/>
    <w:rsid w:val="00766471"/>
    <w:rsid w:val="00770A01"/>
    <w:rsid w:val="00772B48"/>
    <w:rsid w:val="007763C1"/>
    <w:rsid w:val="00777E82"/>
    <w:rsid w:val="00781359"/>
    <w:rsid w:val="00786921"/>
    <w:rsid w:val="00786EF9"/>
    <w:rsid w:val="007879E1"/>
    <w:rsid w:val="007967FB"/>
    <w:rsid w:val="007A0487"/>
    <w:rsid w:val="007A1EAA"/>
    <w:rsid w:val="007A4CF9"/>
    <w:rsid w:val="007A79FD"/>
    <w:rsid w:val="007B0B9D"/>
    <w:rsid w:val="007B26E3"/>
    <w:rsid w:val="007B5650"/>
    <w:rsid w:val="007B5A43"/>
    <w:rsid w:val="007B709B"/>
    <w:rsid w:val="007B7C28"/>
    <w:rsid w:val="007C1343"/>
    <w:rsid w:val="007C51BE"/>
    <w:rsid w:val="007C5EF1"/>
    <w:rsid w:val="007C7BF5"/>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C0EBC"/>
    <w:rsid w:val="008C3359"/>
    <w:rsid w:val="008C5898"/>
    <w:rsid w:val="008C60E9"/>
    <w:rsid w:val="008D1B7C"/>
    <w:rsid w:val="008D38BE"/>
    <w:rsid w:val="008D4B26"/>
    <w:rsid w:val="008D6657"/>
    <w:rsid w:val="008E1F60"/>
    <w:rsid w:val="008E307E"/>
    <w:rsid w:val="008F4DD1"/>
    <w:rsid w:val="008F6056"/>
    <w:rsid w:val="008F6C56"/>
    <w:rsid w:val="00902C07"/>
    <w:rsid w:val="00905804"/>
    <w:rsid w:val="009101E2"/>
    <w:rsid w:val="009115E6"/>
    <w:rsid w:val="00915D73"/>
    <w:rsid w:val="00916077"/>
    <w:rsid w:val="009170A2"/>
    <w:rsid w:val="00917324"/>
    <w:rsid w:val="009208A6"/>
    <w:rsid w:val="00923770"/>
    <w:rsid w:val="00924514"/>
    <w:rsid w:val="00927316"/>
    <w:rsid w:val="0093133D"/>
    <w:rsid w:val="0093276D"/>
    <w:rsid w:val="00933D12"/>
    <w:rsid w:val="00937065"/>
    <w:rsid w:val="00937160"/>
    <w:rsid w:val="00940285"/>
    <w:rsid w:val="009415B0"/>
    <w:rsid w:val="00943916"/>
    <w:rsid w:val="00947E7E"/>
    <w:rsid w:val="0095139A"/>
    <w:rsid w:val="00953E16"/>
    <w:rsid w:val="009542AC"/>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5401"/>
    <w:rsid w:val="009F2D90"/>
    <w:rsid w:val="00A0758F"/>
    <w:rsid w:val="00A1570A"/>
    <w:rsid w:val="00A211B4"/>
    <w:rsid w:val="00A255F1"/>
    <w:rsid w:val="00A30C14"/>
    <w:rsid w:val="00A31FA2"/>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7736"/>
    <w:rsid w:val="00AD7F7F"/>
    <w:rsid w:val="00AE10CE"/>
    <w:rsid w:val="00AE299D"/>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8BF"/>
    <w:rsid w:val="00BD2A47"/>
    <w:rsid w:val="00BD6404"/>
    <w:rsid w:val="00BE33AE"/>
    <w:rsid w:val="00BF046F"/>
    <w:rsid w:val="00BF2275"/>
    <w:rsid w:val="00C01D50"/>
    <w:rsid w:val="00C02C4F"/>
    <w:rsid w:val="00C056DC"/>
    <w:rsid w:val="00C05FAB"/>
    <w:rsid w:val="00C0672F"/>
    <w:rsid w:val="00C1329B"/>
    <w:rsid w:val="00C1572F"/>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B0305"/>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F4156"/>
    <w:rsid w:val="00CF4F0F"/>
    <w:rsid w:val="00D0036C"/>
    <w:rsid w:val="00D03D00"/>
    <w:rsid w:val="00D042A8"/>
    <w:rsid w:val="00D050F5"/>
    <w:rsid w:val="00D05C30"/>
    <w:rsid w:val="00D10052"/>
    <w:rsid w:val="00D11359"/>
    <w:rsid w:val="00D17BC3"/>
    <w:rsid w:val="00D3188C"/>
    <w:rsid w:val="00D35F9B"/>
    <w:rsid w:val="00D36B69"/>
    <w:rsid w:val="00D408DD"/>
    <w:rsid w:val="00D45D72"/>
    <w:rsid w:val="00D46CE8"/>
    <w:rsid w:val="00D520E4"/>
    <w:rsid w:val="00D53A38"/>
    <w:rsid w:val="00D575DD"/>
    <w:rsid w:val="00D576C0"/>
    <w:rsid w:val="00D57DFA"/>
    <w:rsid w:val="00D67FCF"/>
    <w:rsid w:val="00D709CE"/>
    <w:rsid w:val="00D71F73"/>
    <w:rsid w:val="00D73042"/>
    <w:rsid w:val="00D770FF"/>
    <w:rsid w:val="00D80786"/>
    <w:rsid w:val="00D81CAB"/>
    <w:rsid w:val="00D8576F"/>
    <w:rsid w:val="00D8677F"/>
    <w:rsid w:val="00D97F0C"/>
    <w:rsid w:val="00DA2B42"/>
    <w:rsid w:val="00DA3A86"/>
    <w:rsid w:val="00DB0F12"/>
    <w:rsid w:val="00DB4E74"/>
    <w:rsid w:val="00DC2500"/>
    <w:rsid w:val="00DC4F72"/>
    <w:rsid w:val="00DC77DC"/>
    <w:rsid w:val="00DD0453"/>
    <w:rsid w:val="00DD0C2C"/>
    <w:rsid w:val="00DD19DE"/>
    <w:rsid w:val="00DD28BC"/>
    <w:rsid w:val="00DE31F0"/>
    <w:rsid w:val="00DE3D1C"/>
    <w:rsid w:val="00DF0CC9"/>
    <w:rsid w:val="00DF3A38"/>
    <w:rsid w:val="00E01361"/>
    <w:rsid w:val="00E0227D"/>
    <w:rsid w:val="00E04B84"/>
    <w:rsid w:val="00E06466"/>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40B3"/>
    <w:rsid w:val="00E84D10"/>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7EB0"/>
    <w:rsid w:val="00F87CDD"/>
    <w:rsid w:val="00F933F0"/>
    <w:rsid w:val="00F937A3"/>
    <w:rsid w:val="00F943BC"/>
    <w:rsid w:val="00F94715"/>
    <w:rsid w:val="00F96A3D"/>
    <w:rsid w:val="00FA4718"/>
    <w:rsid w:val="00FA5848"/>
    <w:rsid w:val="00FA6899"/>
    <w:rsid w:val="00FA7F3D"/>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F21B-5337-444D-B820-59BC921B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6329</Words>
  <Characters>36080</Characters>
  <Application>Microsoft Office Word</Application>
  <DocSecurity>0</DocSecurity>
  <Lines>300</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Ruixin(vivo)</cp:lastModifiedBy>
  <cp:revision>2</cp:revision>
  <cp:lastPrinted>2019-04-25T01:09:00Z</cp:lastPrinted>
  <dcterms:created xsi:type="dcterms:W3CDTF">2022-08-12T11:59:00Z</dcterms:created>
  <dcterms:modified xsi:type="dcterms:W3CDTF">2022-08-12T11:59:00Z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