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941D5" w14:textId="0D62A607" w:rsidR="008E0E4F" w:rsidRPr="00E77857" w:rsidRDefault="008E0E4F" w:rsidP="008E0E4F">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w:t>
      </w:r>
      <w:r w:rsidR="00372B7D">
        <w:rPr>
          <w:rFonts w:ascii="Arial" w:hAnsi="Arial" w:cs="Arial"/>
          <w:sz w:val="28"/>
        </w:rPr>
        <w:t>4</w:t>
      </w:r>
      <w:r>
        <w:rPr>
          <w:rFonts w:ascii="Arial" w:hAnsi="Arial" w:cs="Arial"/>
          <w:sz w:val="28"/>
        </w:rPr>
        <w:t>-e</w:t>
      </w:r>
      <w:r w:rsidRPr="00E77857">
        <w:rPr>
          <w:rFonts w:ascii="Arial" w:hAnsi="Arial" w:cs="Arial"/>
          <w:sz w:val="28"/>
        </w:rPr>
        <w:tab/>
        <w:t>R4-</w:t>
      </w:r>
      <w:r>
        <w:rPr>
          <w:rFonts w:ascii="Arial" w:hAnsi="Arial" w:cs="Arial"/>
          <w:sz w:val="28"/>
        </w:rPr>
        <w:t>22</w:t>
      </w:r>
      <w:r w:rsidR="001D5EA9">
        <w:rPr>
          <w:rFonts w:ascii="Arial" w:hAnsi="Arial" w:cs="Arial"/>
          <w:sz w:val="28"/>
        </w:rPr>
        <w:t>1</w:t>
      </w:r>
      <w:r w:rsidR="009A0D0B">
        <w:rPr>
          <w:rFonts w:ascii="Arial" w:hAnsi="Arial" w:cs="Arial"/>
          <w:sz w:val="28"/>
        </w:rPr>
        <w:t>1814</w:t>
      </w:r>
    </w:p>
    <w:p w14:paraId="1A7F4A3E" w14:textId="076ABD82" w:rsidR="008E0E4F" w:rsidRPr="00E77857" w:rsidRDefault="008E0E4F" w:rsidP="008E0E4F">
      <w:pPr>
        <w:tabs>
          <w:tab w:val="right" w:pos="9781"/>
        </w:tabs>
        <w:rPr>
          <w:rFonts w:ascii="Arial" w:hAnsi="Arial" w:cs="Arial"/>
          <w:sz w:val="28"/>
        </w:rPr>
      </w:pPr>
      <w:r w:rsidRPr="00034F99">
        <w:rPr>
          <w:rFonts w:ascii="Arial" w:hAnsi="Arial" w:cs="Arial"/>
          <w:sz w:val="28"/>
        </w:rPr>
        <w:t xml:space="preserve">Electronic Meeting, </w:t>
      </w:r>
      <w:r w:rsidR="00372B7D">
        <w:rPr>
          <w:rFonts w:ascii="Arial" w:hAnsi="Arial" w:cs="Arial"/>
          <w:sz w:val="28"/>
        </w:rPr>
        <w:t>15</w:t>
      </w:r>
      <w:r w:rsidRPr="00034F99">
        <w:rPr>
          <w:rFonts w:ascii="Arial" w:hAnsi="Arial" w:cs="Arial"/>
          <w:sz w:val="28"/>
        </w:rPr>
        <w:t xml:space="preserve"> </w:t>
      </w:r>
      <w:r>
        <w:rPr>
          <w:rFonts w:ascii="Arial" w:hAnsi="Arial" w:cs="Arial"/>
          <w:sz w:val="28"/>
        </w:rPr>
        <w:t>–</w:t>
      </w:r>
      <w:r w:rsidRPr="00034F99">
        <w:rPr>
          <w:rFonts w:ascii="Arial" w:hAnsi="Arial" w:cs="Arial"/>
          <w:sz w:val="28"/>
        </w:rPr>
        <w:t xml:space="preserve"> </w:t>
      </w:r>
      <w:r>
        <w:rPr>
          <w:rFonts w:ascii="Arial" w:hAnsi="Arial" w:cs="Arial"/>
          <w:sz w:val="28"/>
        </w:rPr>
        <w:t>2</w:t>
      </w:r>
      <w:r w:rsidR="00372B7D">
        <w:rPr>
          <w:rFonts w:ascii="Arial" w:hAnsi="Arial" w:cs="Arial"/>
          <w:sz w:val="28"/>
        </w:rPr>
        <w:t>6</w:t>
      </w:r>
      <w:r>
        <w:rPr>
          <w:rFonts w:ascii="Arial" w:hAnsi="Arial" w:cs="Arial"/>
          <w:sz w:val="28"/>
        </w:rPr>
        <w:t xml:space="preserve"> </w:t>
      </w:r>
      <w:r w:rsidR="00372B7D">
        <w:rPr>
          <w:rFonts w:ascii="Arial" w:hAnsi="Arial" w:cs="Arial"/>
          <w:sz w:val="28"/>
        </w:rPr>
        <w:t>August</w:t>
      </w:r>
      <w:r w:rsidRPr="00034F99">
        <w:rPr>
          <w:rFonts w:ascii="Arial" w:hAnsi="Arial" w:cs="Arial"/>
          <w:sz w:val="28"/>
        </w:rPr>
        <w:t xml:space="preserve"> 202</w:t>
      </w:r>
      <w:r>
        <w:rPr>
          <w:rFonts w:ascii="Arial" w:hAnsi="Arial" w:cs="Arial"/>
          <w:sz w:val="28"/>
        </w:rPr>
        <w:t>2</w:t>
      </w:r>
    </w:p>
    <w:p w14:paraId="778C846D" w14:textId="77777777" w:rsidR="004F7C02" w:rsidRPr="00E77857" w:rsidRDefault="004F7C02" w:rsidP="004F7C02">
      <w:pPr>
        <w:tabs>
          <w:tab w:val="left" w:pos="1985"/>
        </w:tabs>
        <w:rPr>
          <w:rFonts w:ascii="Arial" w:hAnsi="Arial"/>
          <w:b/>
        </w:rPr>
      </w:pPr>
    </w:p>
    <w:p w14:paraId="64C1429B" w14:textId="09B4B622"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372B7D">
        <w:rPr>
          <w:rFonts w:ascii="Arial" w:hAnsi="Arial"/>
          <w:b/>
          <w:lang w:val="en-GB"/>
        </w:rPr>
        <w:t>11</w:t>
      </w:r>
      <w:r>
        <w:rPr>
          <w:rFonts w:ascii="Arial" w:hAnsi="Arial"/>
          <w:b/>
          <w:lang w:val="en-GB"/>
        </w:rPr>
        <w:t>.</w:t>
      </w:r>
      <w:r w:rsidR="00A02C7D">
        <w:rPr>
          <w:rFonts w:ascii="Arial" w:hAnsi="Arial"/>
          <w:b/>
          <w:lang w:val="en-GB"/>
        </w:rPr>
        <w:t>8</w:t>
      </w:r>
      <w:r w:rsidR="005B10FF">
        <w:rPr>
          <w:rFonts w:ascii="Arial" w:hAnsi="Arial"/>
          <w:b/>
          <w:lang w:val="en-GB"/>
        </w:rPr>
        <w:t>.</w:t>
      </w:r>
      <w:r w:rsidR="00A02C7D">
        <w:rPr>
          <w:rFonts w:ascii="Arial" w:hAnsi="Arial"/>
          <w:b/>
          <w:lang w:val="en-GB"/>
        </w:rPr>
        <w:t>1</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08C69444"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17D72">
        <w:rPr>
          <w:rFonts w:ascii="Arial" w:hAnsi="Arial" w:cs="Arial"/>
          <w:b/>
        </w:rPr>
        <w:t>Proposal</w:t>
      </w:r>
      <w:r w:rsidR="009C7F0F">
        <w:rPr>
          <w:rFonts w:ascii="Arial" w:hAnsi="Arial" w:cs="Arial"/>
          <w:b/>
        </w:rPr>
        <w:t xml:space="preserve"> on </w:t>
      </w:r>
      <w:r w:rsidR="00A02C7D" w:rsidRPr="00A02C7D">
        <w:rPr>
          <w:rFonts w:ascii="Arial" w:hAnsi="Arial" w:cs="Arial"/>
          <w:b/>
        </w:rPr>
        <w:t>spherical coverage requirements</w:t>
      </w:r>
      <w:r w:rsidR="00A02C7D">
        <w:rPr>
          <w:rFonts w:ascii="Arial" w:hAnsi="Arial" w:cs="Arial"/>
          <w:b/>
        </w:rPr>
        <w:t xml:space="preserve"> </w:t>
      </w:r>
      <w:r w:rsidR="00372B7D">
        <w:rPr>
          <w:rFonts w:ascii="Arial" w:hAnsi="Arial" w:cs="Arial"/>
          <w:b/>
        </w:rPr>
        <w:t>for FR2</w:t>
      </w:r>
      <w:r w:rsidR="00644CAE">
        <w:rPr>
          <w:rFonts w:ascii="Arial" w:hAnsi="Arial" w:cs="Arial"/>
          <w:b/>
        </w:rPr>
        <w:t>-1</w:t>
      </w:r>
      <w:r w:rsidR="00372B7D">
        <w:rPr>
          <w:rFonts w:ascii="Arial" w:hAnsi="Arial" w:cs="Arial"/>
          <w:b/>
        </w:rPr>
        <w:t xml:space="preserve"> </w:t>
      </w:r>
      <w:r w:rsidR="00A02C7D" w:rsidRPr="00A02C7D">
        <w:rPr>
          <w:rFonts w:ascii="Arial" w:hAnsi="Arial" w:cs="Arial"/>
          <w:b/>
        </w:rPr>
        <w:t>multi-Rx chain DL reception</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103A0789" w14:textId="786DE390" w:rsidR="00A02C7D" w:rsidRDefault="00DC28D5" w:rsidP="00DC28D5">
      <w:pPr>
        <w:pStyle w:val="BodyText"/>
        <w:snapToGrid w:val="0"/>
        <w:rPr>
          <w:color w:val="000000"/>
          <w:szCs w:val="20"/>
        </w:rPr>
      </w:pPr>
      <w:bookmarkStart w:id="3" w:name="_Hlk67504958"/>
      <w:r w:rsidRPr="00DC28D5">
        <w:rPr>
          <w:color w:val="000000"/>
          <w:szCs w:val="20"/>
        </w:rPr>
        <w:t xml:space="preserve">The </w:t>
      </w:r>
      <w:r w:rsidR="006265C6">
        <w:rPr>
          <w:color w:val="000000"/>
          <w:szCs w:val="20"/>
        </w:rPr>
        <w:t xml:space="preserve">revised </w:t>
      </w:r>
      <w:r w:rsidR="009C7F0F">
        <w:rPr>
          <w:color w:val="000000"/>
          <w:szCs w:val="20"/>
        </w:rPr>
        <w:t>work</w:t>
      </w:r>
      <w:r w:rsidRPr="00DC28D5">
        <w:rPr>
          <w:color w:val="000000"/>
          <w:szCs w:val="20"/>
        </w:rPr>
        <w:t xml:space="preserve"> item </w:t>
      </w:r>
      <w:r w:rsidR="006265C6">
        <w:rPr>
          <w:color w:val="000000"/>
          <w:szCs w:val="20"/>
        </w:rPr>
        <w:t xml:space="preserve">on </w:t>
      </w:r>
      <w:r w:rsidR="00A02C7D" w:rsidRPr="00A02C7D">
        <w:rPr>
          <w:color w:val="000000"/>
          <w:szCs w:val="20"/>
        </w:rPr>
        <w:t>Requirement for NR frequency range 2 (FR2) multi-Rx chain DL reception</w:t>
      </w:r>
      <w:r w:rsidR="006265C6" w:rsidRPr="006265C6">
        <w:rPr>
          <w:color w:val="000000"/>
          <w:szCs w:val="20"/>
        </w:rPr>
        <w:t xml:space="preserve"> </w:t>
      </w:r>
      <w:r w:rsidRPr="00DC28D5">
        <w:rPr>
          <w:color w:val="000000"/>
          <w:szCs w:val="20"/>
        </w:rPr>
        <w:t>was approved at TSG RAN#</w:t>
      </w:r>
      <w:r w:rsidR="006265C6">
        <w:rPr>
          <w:color w:val="000000"/>
          <w:szCs w:val="20"/>
        </w:rPr>
        <w:t>96</w:t>
      </w:r>
      <w:r w:rsidRPr="00DC28D5">
        <w:rPr>
          <w:color w:val="000000"/>
          <w:szCs w:val="20"/>
        </w:rPr>
        <w:t xml:space="preserve"> [1]. </w:t>
      </w:r>
      <w:r w:rsidR="00A02C7D">
        <w:rPr>
          <w:color w:val="000000"/>
          <w:szCs w:val="20"/>
        </w:rPr>
        <w:t xml:space="preserve">The main changes in this revision are to align the frequency range of </w:t>
      </w:r>
      <w:r w:rsidR="00032B30">
        <w:rPr>
          <w:color w:val="000000"/>
          <w:szCs w:val="20"/>
        </w:rPr>
        <w:t xml:space="preserve">this </w:t>
      </w:r>
      <w:r w:rsidR="00A02C7D">
        <w:rPr>
          <w:color w:val="000000"/>
          <w:szCs w:val="20"/>
        </w:rPr>
        <w:t>work item to that of the study item in [2] (i.e., FR2-1) and to remove the following bullet</w:t>
      </w:r>
      <w:r w:rsidR="00032B30">
        <w:rPr>
          <w:color w:val="000000"/>
          <w:szCs w:val="20"/>
        </w:rPr>
        <w:t xml:space="preserve"> from the WID</w:t>
      </w:r>
      <w:r w:rsidR="00A02C7D">
        <w:rPr>
          <w:color w:val="000000"/>
          <w:szCs w:val="20"/>
        </w:rPr>
        <w:t>:</w:t>
      </w:r>
    </w:p>
    <w:p w14:paraId="33B700EB" w14:textId="03D5E10C" w:rsidR="00DC28D5" w:rsidRPr="00DC28D5" w:rsidRDefault="00A02C7D" w:rsidP="00A02C7D">
      <w:pPr>
        <w:pStyle w:val="BodyText"/>
        <w:snapToGrid w:val="0"/>
        <w:ind w:left="851" w:hanging="431"/>
        <w:rPr>
          <w:color w:val="000000"/>
          <w:szCs w:val="20"/>
        </w:rPr>
      </w:pPr>
      <w:r w:rsidRPr="00A02C7D">
        <w:rPr>
          <w:lang w:eastAsia="ja-JP"/>
        </w:rPr>
        <w:t>–</w:t>
      </w:r>
      <w:r w:rsidRPr="00A02C7D">
        <w:rPr>
          <w:lang w:eastAsia="ja-JP"/>
        </w:rPr>
        <w:tab/>
        <w:t>revisit in RAN#96: RAN4 shall specify the multi-panel spherical coverage requirements based on the directions that are within top N%-tile (N% = 50% for PC3)</w:t>
      </w:r>
      <w:r>
        <w:rPr>
          <w:lang w:eastAsia="ja-JP"/>
        </w:rPr>
        <w:t>.</w:t>
      </w:r>
    </w:p>
    <w:bookmarkEnd w:id="3"/>
    <w:p w14:paraId="600A0CD0" w14:textId="52496C5E" w:rsidR="00DC28D5" w:rsidRDefault="00291344" w:rsidP="00DC28D5">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 xml:space="preserve">s </w:t>
      </w:r>
      <w:r w:rsidR="00426B1D">
        <w:rPr>
          <w:color w:val="000000"/>
          <w:szCs w:val="20"/>
        </w:rPr>
        <w:t xml:space="preserve">a </w:t>
      </w:r>
      <w:r w:rsidR="00417D72">
        <w:rPr>
          <w:color w:val="000000"/>
          <w:szCs w:val="20"/>
        </w:rPr>
        <w:t>p</w:t>
      </w:r>
      <w:r w:rsidR="0009465C">
        <w:t>r</w:t>
      </w:r>
      <w:r w:rsidR="00417D72">
        <w:t>oposal</w:t>
      </w:r>
      <w:r w:rsidR="0009465C" w:rsidRPr="0009465C">
        <w:t xml:space="preserve"> on </w:t>
      </w:r>
      <w:r w:rsidR="00032B30" w:rsidRPr="00032B30">
        <w:t>spherical coverage requirements for FR2-1 multi-Rx chain DL reception</w:t>
      </w:r>
      <w:r w:rsidR="00032B30">
        <w:t xml:space="preserve"> in view of the removal of the above bullet from the WID</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1857FC30" w14:textId="05EA075F" w:rsidR="00946C7A" w:rsidRDefault="00032B30" w:rsidP="00946C7A">
      <w:pPr>
        <w:pStyle w:val="BodyText"/>
        <w:snapToGrid w:val="0"/>
        <w:rPr>
          <w:color w:val="000000"/>
          <w:szCs w:val="20"/>
        </w:rPr>
      </w:pPr>
      <w:r>
        <w:rPr>
          <w:rFonts w:eastAsia="SimSun"/>
          <w:szCs w:val="20"/>
          <w:lang w:val="en-GB" w:eastAsia="zh-CN"/>
        </w:rPr>
        <w:t>One of the reasons to remove the above bullet was that it may be interpreted as a limitation th</w:t>
      </w:r>
      <w:r w:rsidR="007678A3">
        <w:rPr>
          <w:rFonts w:eastAsia="SimSun"/>
          <w:szCs w:val="20"/>
          <w:lang w:val="en-GB" w:eastAsia="zh-CN"/>
        </w:rPr>
        <w:t>at</w:t>
      </w:r>
      <w:r>
        <w:rPr>
          <w:rFonts w:eastAsia="SimSun"/>
          <w:szCs w:val="20"/>
          <w:lang w:val="en-GB" w:eastAsia="zh-CN"/>
        </w:rPr>
        <w:t xml:space="preserve"> </w:t>
      </w:r>
      <w:r>
        <w:rPr>
          <w:color w:val="000000"/>
          <w:szCs w:val="20"/>
        </w:rPr>
        <w:t xml:space="preserve">the two AoAs must be within the top N%-tile </w:t>
      </w:r>
      <w:r w:rsidRPr="00A02C7D">
        <w:rPr>
          <w:lang w:eastAsia="ja-JP"/>
        </w:rPr>
        <w:t>(N% = 50% for PC3)</w:t>
      </w:r>
      <w:r>
        <w:rPr>
          <w:lang w:eastAsia="ja-JP"/>
        </w:rPr>
        <w:t xml:space="preserve"> </w:t>
      </w:r>
      <w:r>
        <w:rPr>
          <w:color w:val="000000"/>
          <w:szCs w:val="20"/>
        </w:rPr>
        <w:t>spherical coverage</w:t>
      </w:r>
      <w:r w:rsidR="00545176">
        <w:rPr>
          <w:color w:val="000000"/>
          <w:szCs w:val="20"/>
        </w:rPr>
        <w:t xml:space="preserve"> of the </w:t>
      </w:r>
      <w:r w:rsidR="00DC5D62" w:rsidRPr="00DC5D62">
        <w:rPr>
          <w:color w:val="000000"/>
          <w:szCs w:val="20"/>
        </w:rPr>
        <w:t xml:space="preserve">FR2-1 multi-Rx chain </w:t>
      </w:r>
      <w:r w:rsidR="00545176">
        <w:rPr>
          <w:color w:val="000000"/>
          <w:szCs w:val="20"/>
        </w:rPr>
        <w:t>UE</w:t>
      </w:r>
      <w:r>
        <w:rPr>
          <w:color w:val="000000"/>
          <w:szCs w:val="20"/>
        </w:rPr>
        <w:t>, which mean</w:t>
      </w:r>
      <w:r w:rsidR="007678A3">
        <w:rPr>
          <w:color w:val="000000"/>
          <w:szCs w:val="20"/>
        </w:rPr>
        <w:t>s</w:t>
      </w:r>
      <w:r>
        <w:rPr>
          <w:color w:val="000000"/>
          <w:szCs w:val="20"/>
        </w:rPr>
        <w:t xml:space="preserve"> that two AoA</w:t>
      </w:r>
      <w:r w:rsidR="00426B1D">
        <w:rPr>
          <w:color w:val="000000"/>
          <w:szCs w:val="20"/>
        </w:rPr>
        <w:t>s</w:t>
      </w:r>
      <w:r>
        <w:rPr>
          <w:color w:val="000000"/>
          <w:szCs w:val="20"/>
        </w:rPr>
        <w:t xml:space="preserve"> simultaneous reception cannot be supported by </w:t>
      </w:r>
      <w:r w:rsidR="007678A3">
        <w:rPr>
          <w:color w:val="000000"/>
          <w:szCs w:val="20"/>
        </w:rPr>
        <w:t>certain</w:t>
      </w:r>
      <w:r>
        <w:rPr>
          <w:color w:val="000000"/>
          <w:szCs w:val="20"/>
        </w:rPr>
        <w:t xml:space="preserve"> multi-panel implementation (as discussed in [3]).</w:t>
      </w:r>
    </w:p>
    <w:p w14:paraId="417C54A1" w14:textId="77777777" w:rsidR="00426B1D" w:rsidRDefault="00545176" w:rsidP="00946C7A">
      <w:pPr>
        <w:pStyle w:val="BodyText"/>
        <w:snapToGrid w:val="0"/>
      </w:pPr>
      <w:r>
        <w:rPr>
          <w:color w:val="000000"/>
          <w:szCs w:val="20"/>
        </w:rPr>
        <w:t xml:space="preserve">On the other hand, the above bullet may also be interpreted as </w:t>
      </w:r>
      <w:r>
        <w:t xml:space="preserve">‘fixing’ one independent variable within the framework of the DL </w:t>
      </w:r>
      <w:r>
        <w:rPr>
          <w:color w:val="000000"/>
          <w:szCs w:val="20"/>
        </w:rPr>
        <w:t xml:space="preserve">spherical coverage requirement of the </w:t>
      </w:r>
      <w:r w:rsidR="00DC5D62" w:rsidRPr="00DC5D62">
        <w:rPr>
          <w:color w:val="000000"/>
          <w:szCs w:val="20"/>
        </w:rPr>
        <w:t xml:space="preserve">FR2-1 multi-Rx chain </w:t>
      </w:r>
      <w:r>
        <w:rPr>
          <w:color w:val="000000"/>
          <w:szCs w:val="20"/>
        </w:rPr>
        <w:t>UE (as discussed in [4])</w:t>
      </w:r>
      <w:r>
        <w:t xml:space="preserve">. </w:t>
      </w:r>
      <w:r w:rsidR="00DC5D62">
        <w:t>Note that</w:t>
      </w:r>
      <w:r>
        <w:t xml:space="preserve"> the basic Rel-15 FR2</w:t>
      </w:r>
      <w:r w:rsidR="00DC5D62">
        <w:t>-1</w:t>
      </w:r>
      <w:r>
        <w:t xml:space="preserve"> UE’s per-band DL spherical coverage requirement specifies that some ‘N %’ of the sphere around the UE be supported by strong enough sensitivity ‘Y dBm’, where N and Y are power class-specific (N% = 50% for PC3).</w:t>
      </w:r>
    </w:p>
    <w:p w14:paraId="31CA9449" w14:textId="59C79361" w:rsidR="00545176" w:rsidRDefault="00545176" w:rsidP="00946C7A">
      <w:pPr>
        <w:pStyle w:val="BodyText"/>
        <w:snapToGrid w:val="0"/>
        <w:rPr>
          <w:color w:val="000000"/>
          <w:szCs w:val="20"/>
        </w:rPr>
      </w:pPr>
      <w:r>
        <w:t xml:space="preserve">Consequently, removal of the above bullet </w:t>
      </w:r>
      <w:r w:rsidR="00DC5D62">
        <w:t xml:space="preserve">has </w:t>
      </w:r>
      <w:r>
        <w:t xml:space="preserve">also </w:t>
      </w:r>
      <w:r w:rsidR="00DC5D62">
        <w:t xml:space="preserve">created a moving target on the DL </w:t>
      </w:r>
      <w:r w:rsidR="00DC5D62">
        <w:rPr>
          <w:color w:val="000000"/>
          <w:szCs w:val="20"/>
        </w:rPr>
        <w:t xml:space="preserve">spherical coverage requirement of the </w:t>
      </w:r>
      <w:r w:rsidR="00DC5D62" w:rsidRPr="00DC5D62">
        <w:rPr>
          <w:color w:val="000000"/>
          <w:szCs w:val="20"/>
        </w:rPr>
        <w:t>FR2-1 multi-Rx chain</w:t>
      </w:r>
      <w:r w:rsidR="00DC5D62">
        <w:rPr>
          <w:color w:val="000000"/>
          <w:szCs w:val="20"/>
        </w:rPr>
        <w:t xml:space="preserve"> UE. For example, </w:t>
      </w:r>
      <w:r w:rsidR="00DC5D62">
        <w:t xml:space="preserve">the DL </w:t>
      </w:r>
      <w:r w:rsidR="00DC5D62">
        <w:rPr>
          <w:color w:val="000000"/>
          <w:szCs w:val="20"/>
        </w:rPr>
        <w:t>spherical coverage requirement would specif</w:t>
      </w:r>
      <w:r w:rsidR="007678A3">
        <w:rPr>
          <w:color w:val="000000"/>
          <w:szCs w:val="20"/>
        </w:rPr>
        <w:t>y</w:t>
      </w:r>
      <w:r w:rsidR="00DC5D62">
        <w:rPr>
          <w:color w:val="000000"/>
          <w:szCs w:val="20"/>
        </w:rPr>
        <w:t xml:space="preserve"> </w:t>
      </w:r>
      <w:r w:rsidR="00DC5D62">
        <w:t xml:space="preserve">that some </w:t>
      </w:r>
      <w:r w:rsidR="007678A3">
        <w:t xml:space="preserve">very </w:t>
      </w:r>
      <w:r w:rsidR="00DC5D62">
        <w:t>low ‘N %’ of the sphere around the UE be supported by strong enough sensitivity ‘Y dBm’</w:t>
      </w:r>
      <w:r w:rsidR="00426B1D" w:rsidRPr="00426B1D">
        <w:rPr>
          <w:color w:val="000000"/>
          <w:szCs w:val="20"/>
        </w:rPr>
        <w:t xml:space="preserve"> </w:t>
      </w:r>
      <w:r w:rsidR="00426B1D">
        <w:rPr>
          <w:color w:val="000000"/>
          <w:szCs w:val="20"/>
        </w:rPr>
        <w:t>for two AoAs simultaneous reception</w:t>
      </w:r>
      <w:r w:rsidR="00DC5D62">
        <w:t xml:space="preserve">, or that some high enough ‘N %’ of the sphere around the UE be supported by </w:t>
      </w:r>
      <w:r w:rsidR="007678A3">
        <w:t xml:space="preserve">very </w:t>
      </w:r>
      <w:r w:rsidR="00DC5D62">
        <w:t>weak sensitivity ‘Y dBm’</w:t>
      </w:r>
      <w:r w:rsidR="00426B1D" w:rsidRPr="00426B1D">
        <w:rPr>
          <w:color w:val="000000"/>
          <w:szCs w:val="20"/>
        </w:rPr>
        <w:t xml:space="preserve"> </w:t>
      </w:r>
      <w:r w:rsidR="00426B1D">
        <w:rPr>
          <w:color w:val="000000"/>
          <w:szCs w:val="20"/>
        </w:rPr>
        <w:t>for two AoAs simultaneous reception</w:t>
      </w:r>
      <w:r w:rsidR="00DC5D62">
        <w:t xml:space="preserve">, both of </w:t>
      </w:r>
      <w:r w:rsidR="007678A3">
        <w:t>these cases</w:t>
      </w:r>
      <w:r w:rsidR="00DC5D62">
        <w:t xml:space="preserve"> must be avoided to ensure satisfactory real-life performance of the </w:t>
      </w:r>
      <w:r w:rsidR="00DC5D62" w:rsidRPr="00DC5D62">
        <w:rPr>
          <w:color w:val="000000"/>
          <w:szCs w:val="20"/>
        </w:rPr>
        <w:t>FR2-1 multi-Rx chain</w:t>
      </w:r>
      <w:r w:rsidR="00DC5D62">
        <w:rPr>
          <w:color w:val="000000"/>
          <w:szCs w:val="20"/>
        </w:rPr>
        <w:t xml:space="preserve"> UE</w:t>
      </w:r>
      <w:r w:rsidR="007678A3" w:rsidRPr="007678A3">
        <w:rPr>
          <w:color w:val="000000"/>
          <w:szCs w:val="20"/>
        </w:rPr>
        <w:t xml:space="preserve"> </w:t>
      </w:r>
      <w:r w:rsidR="007678A3">
        <w:rPr>
          <w:color w:val="000000"/>
          <w:szCs w:val="20"/>
        </w:rPr>
        <w:t>for two AoAs simultaneous reception</w:t>
      </w:r>
      <w:r w:rsidR="00DC5D62">
        <w:rPr>
          <w:color w:val="000000"/>
          <w:szCs w:val="20"/>
        </w:rPr>
        <w:t>.</w:t>
      </w:r>
    </w:p>
    <w:p w14:paraId="79096AC8" w14:textId="71DFADDF" w:rsidR="00426B1D" w:rsidRDefault="00426B1D" w:rsidP="00946C7A">
      <w:pPr>
        <w:pStyle w:val="BodyText"/>
        <w:snapToGrid w:val="0"/>
        <w:rPr>
          <w:rFonts w:eastAsia="SimSun"/>
          <w:szCs w:val="20"/>
          <w:lang w:val="en-GB" w:eastAsia="zh-CN"/>
        </w:rPr>
      </w:pPr>
      <w:r>
        <w:rPr>
          <w:color w:val="000000"/>
          <w:szCs w:val="20"/>
        </w:rPr>
        <w:t xml:space="preserve">Therefore, with the removal of the above bullet, we propose that RAN4 </w:t>
      </w:r>
      <w:r w:rsidR="00C26FE3">
        <w:rPr>
          <w:color w:val="000000"/>
          <w:szCs w:val="20"/>
        </w:rPr>
        <w:t>must</w:t>
      </w:r>
      <w:r>
        <w:rPr>
          <w:color w:val="000000"/>
          <w:szCs w:val="20"/>
        </w:rPr>
        <w:t xml:space="preserve"> consider </w:t>
      </w:r>
      <w:r w:rsidR="00C26FE3">
        <w:rPr>
          <w:color w:val="000000"/>
          <w:szCs w:val="20"/>
        </w:rPr>
        <w:t xml:space="preserve">in this work item </w:t>
      </w:r>
      <w:r>
        <w:rPr>
          <w:color w:val="000000"/>
          <w:szCs w:val="20"/>
        </w:rPr>
        <w:t xml:space="preserve">how to specify the </w:t>
      </w:r>
      <w:r>
        <w:t xml:space="preserve">DL </w:t>
      </w:r>
      <w:r>
        <w:rPr>
          <w:color w:val="000000"/>
          <w:szCs w:val="20"/>
        </w:rPr>
        <w:t xml:space="preserve">spherical coverage requirement of the </w:t>
      </w:r>
      <w:r w:rsidRPr="00DC5D62">
        <w:rPr>
          <w:color w:val="000000"/>
          <w:szCs w:val="20"/>
        </w:rPr>
        <w:t>FR2-1 multi-Rx chain</w:t>
      </w:r>
      <w:r>
        <w:rPr>
          <w:color w:val="000000"/>
          <w:szCs w:val="20"/>
        </w:rPr>
        <w:t xml:space="preserve"> UE to ensure </w:t>
      </w:r>
      <w:r>
        <w:t xml:space="preserve">satisfactory real-life performance of the </w:t>
      </w:r>
      <w:r w:rsidR="00C26FE3" w:rsidRPr="00DC5D62">
        <w:rPr>
          <w:color w:val="000000"/>
          <w:szCs w:val="20"/>
        </w:rPr>
        <w:t>FR2-1 multi-Rx chain</w:t>
      </w:r>
      <w:r w:rsidR="00C26FE3">
        <w:rPr>
          <w:color w:val="000000"/>
          <w:szCs w:val="20"/>
        </w:rPr>
        <w:t xml:space="preserve"> UE</w:t>
      </w:r>
      <w:r w:rsidR="00C26FE3" w:rsidRPr="007678A3">
        <w:rPr>
          <w:color w:val="000000"/>
          <w:szCs w:val="20"/>
        </w:rPr>
        <w:t xml:space="preserve"> </w:t>
      </w:r>
      <w:r w:rsidR="00C26FE3">
        <w:rPr>
          <w:color w:val="000000"/>
          <w:szCs w:val="20"/>
        </w:rPr>
        <w:t xml:space="preserve">for two AoAs simultaneous reception </w:t>
      </w:r>
      <w:r>
        <w:rPr>
          <w:color w:val="000000"/>
          <w:szCs w:val="20"/>
        </w:rPr>
        <w:t>in terms of both spherical coverage percentage and sensitivity.</w:t>
      </w:r>
    </w:p>
    <w:p w14:paraId="509B8E84" w14:textId="77777777" w:rsidR="00032B30" w:rsidRPr="00440EC2" w:rsidRDefault="00032B30" w:rsidP="00946C7A">
      <w:pPr>
        <w:pStyle w:val="BodyText"/>
        <w:snapToGrid w:val="0"/>
        <w:rPr>
          <w:rFonts w:eastAsia="SimSun"/>
          <w:szCs w:val="20"/>
          <w:lang w:val="en-GB" w:eastAsia="zh-CN"/>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6C1563BB" w14:textId="3F582736" w:rsidR="008D5F98" w:rsidRDefault="008D5F98" w:rsidP="008D5F98">
      <w:pPr>
        <w:pStyle w:val="BodyText"/>
        <w:snapToGrid w:val="0"/>
      </w:pPr>
      <w:r w:rsidRPr="00DC28D5">
        <w:rPr>
          <w:color w:val="000000"/>
          <w:szCs w:val="20"/>
        </w:rPr>
        <w:t xml:space="preserve">This contribution </w:t>
      </w:r>
      <w:r>
        <w:rPr>
          <w:color w:val="000000"/>
          <w:szCs w:val="20"/>
        </w:rPr>
        <w:t xml:space="preserve">has </w:t>
      </w:r>
      <w:r w:rsidR="00426B1D">
        <w:rPr>
          <w:color w:val="000000"/>
          <w:szCs w:val="20"/>
        </w:rPr>
        <w:t>a p</w:t>
      </w:r>
      <w:r w:rsidR="00426B1D">
        <w:t>roposal</w:t>
      </w:r>
      <w:r w:rsidR="00426B1D" w:rsidRPr="0009465C">
        <w:t xml:space="preserve"> on </w:t>
      </w:r>
      <w:r w:rsidR="00426B1D" w:rsidRPr="00032B30">
        <w:t>spherical coverage requirements for FR2-1 multi-Rx chain DL reception</w:t>
      </w:r>
      <w:r w:rsidR="00426B1D">
        <w:t xml:space="preserve"> in view of the removal of the above bullet from the WID</w:t>
      </w:r>
      <w:r>
        <w:t>.</w:t>
      </w:r>
    </w:p>
    <w:p w14:paraId="32A03A40" w14:textId="5C853947" w:rsidR="00595D46" w:rsidRPr="00417D72" w:rsidRDefault="006B369F" w:rsidP="0090661D">
      <w:pPr>
        <w:pStyle w:val="BodyText"/>
        <w:snapToGrid w:val="0"/>
        <w:rPr>
          <w:rFonts w:ascii="Arial" w:hAnsi="Arial" w:cs="Arial"/>
          <w:szCs w:val="20"/>
          <w:lang w:val="en-GB" w:eastAsia="en-GB"/>
        </w:rPr>
      </w:pPr>
      <w:r w:rsidRPr="00417D72">
        <w:rPr>
          <w:b/>
          <w:bCs/>
        </w:rPr>
        <w:t xml:space="preserve">Proposal </w:t>
      </w:r>
      <w:r>
        <w:rPr>
          <w:b/>
          <w:bCs/>
        </w:rPr>
        <w:t>1</w:t>
      </w:r>
      <w:r w:rsidRPr="00417D72">
        <w:rPr>
          <w:b/>
          <w:bCs/>
        </w:rPr>
        <w:t xml:space="preserve">: </w:t>
      </w:r>
      <w:r w:rsidR="00C26FE3" w:rsidRPr="00C26FE3">
        <w:rPr>
          <w:b/>
          <w:bCs/>
        </w:rPr>
        <w:t>RAN4 must consider in this work item how to specify the DL spherical coverage requirement of the FR2-1 multi-Rx chain UE to ensure satisfactory real-life performance of the FR2-1 multi-Rx chain UE for two AoAs simultaneous reception in terms of both spherical coverage percentage and sensitivity</w:t>
      </w:r>
      <w:r w:rsidR="0090661D">
        <w:rPr>
          <w:b/>
          <w:bCs/>
        </w:rPr>
        <w:t>.</w:t>
      </w:r>
    </w:p>
    <w:p w14:paraId="4C761EBE" w14:textId="77777777" w:rsidR="0090661D" w:rsidRPr="00440EC2" w:rsidRDefault="0090661D" w:rsidP="0090661D">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lastRenderedPageBreak/>
        <w:t>References</w:t>
      </w:r>
    </w:p>
    <w:p w14:paraId="33358D96" w14:textId="3E345CD5"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6265C6">
        <w:rPr>
          <w:szCs w:val="20"/>
        </w:rPr>
        <w:t>21</w:t>
      </w:r>
      <w:r w:rsidR="00A02C7D">
        <w:rPr>
          <w:szCs w:val="20"/>
        </w:rPr>
        <w:t>753</w:t>
      </w:r>
      <w:r w:rsidRPr="00030788">
        <w:rPr>
          <w:szCs w:val="20"/>
        </w:rPr>
        <w:t xml:space="preserve">, </w:t>
      </w:r>
      <w:r w:rsidR="00895F95" w:rsidRPr="00030788">
        <w:rPr>
          <w:szCs w:val="20"/>
        </w:rPr>
        <w:t>“</w:t>
      </w:r>
      <w:r w:rsidR="00A02C7D" w:rsidRPr="00A02C7D">
        <w:rPr>
          <w:szCs w:val="20"/>
        </w:rPr>
        <w:t>Revised WID: Requirement for NR frequency range 2 (FR2) multi-Rx chain DL reception</w:t>
      </w:r>
      <w:r w:rsidR="00895F95" w:rsidRPr="00030788">
        <w:rPr>
          <w:szCs w:val="20"/>
        </w:rPr>
        <w:t xml:space="preserve">”, </w:t>
      </w:r>
      <w:r w:rsidR="00A02C7D" w:rsidRPr="00A02C7D">
        <w:rPr>
          <w:szCs w:val="20"/>
        </w:rPr>
        <w:t>Qualcomm Incorporated</w:t>
      </w:r>
      <w:r w:rsidRPr="00030788">
        <w:rPr>
          <w:szCs w:val="20"/>
        </w:rPr>
        <w:t>.</w:t>
      </w:r>
    </w:p>
    <w:p w14:paraId="1F79C6C1" w14:textId="7DA52F59" w:rsidR="00895F95" w:rsidRDefault="00895F95" w:rsidP="00030788">
      <w:pPr>
        <w:tabs>
          <w:tab w:val="center" w:pos="4153"/>
          <w:tab w:val="right" w:pos="8306"/>
        </w:tabs>
        <w:ind w:left="567" w:hanging="567"/>
        <w:rPr>
          <w:szCs w:val="20"/>
        </w:rPr>
      </w:pPr>
      <w:r>
        <w:rPr>
          <w:szCs w:val="20"/>
        </w:rPr>
        <w:t>[2]</w:t>
      </w:r>
      <w:r>
        <w:rPr>
          <w:szCs w:val="20"/>
        </w:rPr>
        <w:tab/>
        <w:t>R</w:t>
      </w:r>
      <w:r w:rsidR="00032B30">
        <w:rPr>
          <w:szCs w:val="20"/>
        </w:rPr>
        <w:t>P</w:t>
      </w:r>
      <w:r>
        <w:rPr>
          <w:szCs w:val="20"/>
        </w:rPr>
        <w:t>-</w:t>
      </w:r>
      <w:r w:rsidR="00032B30">
        <w:rPr>
          <w:szCs w:val="20"/>
        </w:rPr>
        <w:t>220988</w:t>
      </w:r>
      <w:r>
        <w:rPr>
          <w:szCs w:val="20"/>
        </w:rPr>
        <w:t>,</w:t>
      </w:r>
      <w:r w:rsidRPr="00895F95">
        <w:rPr>
          <w:szCs w:val="20"/>
        </w:rPr>
        <w:t xml:space="preserve"> </w:t>
      </w:r>
      <w:r w:rsidRPr="00030788">
        <w:rPr>
          <w:szCs w:val="20"/>
        </w:rPr>
        <w:t>“</w:t>
      </w:r>
      <w:r w:rsidR="00032B30" w:rsidRPr="00032B30">
        <w:rPr>
          <w:szCs w:val="20"/>
        </w:rPr>
        <w:t>New SI: Study on NR frequency range 2 (FR2) Over-the-Air (OTA) testing enhancements</w:t>
      </w:r>
      <w:r w:rsidRPr="00030788">
        <w:rPr>
          <w:szCs w:val="20"/>
        </w:rPr>
        <w:t xml:space="preserve">”, </w:t>
      </w:r>
      <w:r w:rsidR="00032B30" w:rsidRPr="00A02C7D">
        <w:rPr>
          <w:szCs w:val="20"/>
        </w:rPr>
        <w:t>Qualcomm Incorporated</w:t>
      </w:r>
      <w:r>
        <w:rPr>
          <w:szCs w:val="20"/>
        </w:rPr>
        <w:t>.</w:t>
      </w:r>
    </w:p>
    <w:p w14:paraId="45166843" w14:textId="11DDB2B6" w:rsidR="00032B30" w:rsidRDefault="00032B30" w:rsidP="00030788">
      <w:pPr>
        <w:tabs>
          <w:tab w:val="center" w:pos="4153"/>
          <w:tab w:val="right" w:pos="8306"/>
        </w:tabs>
        <w:ind w:left="567" w:hanging="567"/>
        <w:rPr>
          <w:szCs w:val="20"/>
        </w:rPr>
      </w:pPr>
      <w:r>
        <w:rPr>
          <w:szCs w:val="20"/>
        </w:rPr>
        <w:t>[3]</w:t>
      </w:r>
      <w:r>
        <w:rPr>
          <w:szCs w:val="20"/>
        </w:rPr>
        <w:tab/>
        <w:t xml:space="preserve">RP-221703, </w:t>
      </w:r>
      <w:r w:rsidRPr="00030788">
        <w:rPr>
          <w:szCs w:val="20"/>
        </w:rPr>
        <w:t>“</w:t>
      </w:r>
      <w:r w:rsidR="00545176">
        <w:t>On the RF requirement of the WI of NR FR2 multi-RX chain DL reception</w:t>
      </w:r>
      <w:r w:rsidRPr="00030788">
        <w:rPr>
          <w:szCs w:val="20"/>
        </w:rPr>
        <w:t xml:space="preserve">”, </w:t>
      </w:r>
      <w:r w:rsidR="00545176">
        <w:rPr>
          <w:szCs w:val="20"/>
        </w:rPr>
        <w:t>Apple Inc</w:t>
      </w:r>
      <w:r>
        <w:rPr>
          <w:szCs w:val="20"/>
        </w:rPr>
        <w:t>.</w:t>
      </w:r>
    </w:p>
    <w:p w14:paraId="7A998D19" w14:textId="08ABBB8E" w:rsidR="00932D28" w:rsidRDefault="00932D28" w:rsidP="00932D28">
      <w:pPr>
        <w:ind w:left="567" w:hanging="567"/>
      </w:pPr>
      <w:r w:rsidRPr="003A7779">
        <w:t>[</w:t>
      </w:r>
      <w:r w:rsidR="00545176">
        <w:t>4</w:t>
      </w:r>
      <w:r w:rsidRPr="003A7779">
        <w:t>]</w:t>
      </w:r>
      <w:r w:rsidRPr="003A7779">
        <w:tab/>
      </w:r>
      <w:r w:rsidR="00545176">
        <w:rPr>
          <w:szCs w:val="20"/>
        </w:rPr>
        <w:t>RP-221223,</w:t>
      </w:r>
      <w:r w:rsidR="00545176" w:rsidRPr="00895F95">
        <w:rPr>
          <w:szCs w:val="20"/>
        </w:rPr>
        <w:t xml:space="preserve"> </w:t>
      </w:r>
      <w:r w:rsidR="00545176" w:rsidRPr="00030788">
        <w:rPr>
          <w:szCs w:val="20"/>
        </w:rPr>
        <w:t>“</w:t>
      </w:r>
      <w:r w:rsidR="00545176" w:rsidRPr="00545176">
        <w:rPr>
          <w:szCs w:val="20"/>
        </w:rPr>
        <w:t>Open items in the Rel-18 WID on FR2 multi-Rx chain DL reception</w:t>
      </w:r>
      <w:r w:rsidR="00545176" w:rsidRPr="00030788">
        <w:rPr>
          <w:szCs w:val="20"/>
        </w:rPr>
        <w:t xml:space="preserve">”, </w:t>
      </w:r>
      <w:r w:rsidR="00545176" w:rsidRPr="00A02C7D">
        <w:rPr>
          <w:szCs w:val="20"/>
        </w:rPr>
        <w:t>Qualcomm Incorporated</w:t>
      </w:r>
      <w:r w:rsidR="00545176">
        <w:rPr>
          <w:szCs w:val="20"/>
        </w:rPr>
        <w: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17CC2" w14:textId="77777777" w:rsidR="00F90D9F" w:rsidRPr="004E3B67" w:rsidRDefault="00F90D9F" w:rsidP="00DA44AD">
      <w:pPr>
        <w:rPr>
          <w:rFonts w:eastAsia="SimSun" w:cs="Arial"/>
          <w:color w:val="0000FF"/>
          <w:kern w:val="2"/>
          <w:lang w:eastAsia="zh-CN"/>
        </w:rPr>
      </w:pPr>
      <w:r>
        <w:separator/>
      </w:r>
    </w:p>
  </w:endnote>
  <w:endnote w:type="continuationSeparator" w:id="0">
    <w:p w14:paraId="3955844E" w14:textId="77777777" w:rsidR="00F90D9F" w:rsidRPr="004E3B67" w:rsidRDefault="00F90D9F"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5B37E" w14:textId="77777777" w:rsidR="00F90D9F" w:rsidRPr="004E3B67" w:rsidRDefault="00F90D9F" w:rsidP="00DA44AD">
      <w:pPr>
        <w:rPr>
          <w:rFonts w:eastAsia="SimSun" w:cs="Arial"/>
          <w:color w:val="0000FF"/>
          <w:kern w:val="2"/>
          <w:lang w:eastAsia="zh-CN"/>
        </w:rPr>
      </w:pPr>
      <w:r>
        <w:separator/>
      </w:r>
    </w:p>
  </w:footnote>
  <w:footnote w:type="continuationSeparator" w:id="0">
    <w:p w14:paraId="268DF3D1" w14:textId="77777777" w:rsidR="00F90D9F" w:rsidRPr="004E3B67" w:rsidRDefault="00F90D9F"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6038D882"/>
    <w:lvl w:ilvl="0">
      <w:numFmt w:val="bullet"/>
      <w:lvlText w:val="*"/>
      <w:lvlJc w:val="left"/>
    </w:lvl>
  </w:abstractNum>
  <w:abstractNum w:abstractNumId="2"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4F025B"/>
    <w:multiLevelType w:val="hybridMultilevel"/>
    <w:tmpl w:val="04BCF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6F2903"/>
    <w:multiLevelType w:val="hybridMultilevel"/>
    <w:tmpl w:val="196EF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F784065"/>
    <w:multiLevelType w:val="hybridMultilevel"/>
    <w:tmpl w:val="4F7E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1"/>
  </w:num>
  <w:num w:numId="2">
    <w:abstractNumId w:val="10"/>
  </w:num>
  <w:num w:numId="3">
    <w:abstractNumId w:val="9"/>
  </w:num>
  <w:num w:numId="4">
    <w:abstractNumId w:val="0"/>
  </w:num>
  <w:num w:numId="5">
    <w:abstractNumId w:val="6"/>
  </w:num>
  <w:num w:numId="6">
    <w:abstractNumId w:val="5"/>
  </w:num>
  <w:num w:numId="7">
    <w:abstractNumId w:val="8"/>
  </w:num>
  <w:num w:numId="8">
    <w:abstractNumId w:val="2"/>
  </w:num>
  <w:num w:numId="9">
    <w:abstractNumId w:val="4"/>
  </w:num>
  <w:num w:numId="10">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11">
    <w:abstractNumId w:val="7"/>
  </w:num>
  <w:num w:numId="12">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0032"/>
    <w:rsid w:val="00001F6D"/>
    <w:rsid w:val="00004FAF"/>
    <w:rsid w:val="00005CB8"/>
    <w:rsid w:val="00011961"/>
    <w:rsid w:val="00011C73"/>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2B30"/>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CF8"/>
    <w:rsid w:val="00126F81"/>
    <w:rsid w:val="00130B11"/>
    <w:rsid w:val="00131431"/>
    <w:rsid w:val="0013170F"/>
    <w:rsid w:val="001322E7"/>
    <w:rsid w:val="00134AB1"/>
    <w:rsid w:val="00140453"/>
    <w:rsid w:val="00141310"/>
    <w:rsid w:val="001442DC"/>
    <w:rsid w:val="0014630D"/>
    <w:rsid w:val="001507B9"/>
    <w:rsid w:val="0015193D"/>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70984"/>
    <w:rsid w:val="00175752"/>
    <w:rsid w:val="00177CC6"/>
    <w:rsid w:val="001804BB"/>
    <w:rsid w:val="00180596"/>
    <w:rsid w:val="001819B5"/>
    <w:rsid w:val="00181BCD"/>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D5EA9"/>
    <w:rsid w:val="001E5C65"/>
    <w:rsid w:val="001E6C67"/>
    <w:rsid w:val="001F0E70"/>
    <w:rsid w:val="001F10E1"/>
    <w:rsid w:val="001F1F9E"/>
    <w:rsid w:val="001F410B"/>
    <w:rsid w:val="001F54F4"/>
    <w:rsid w:val="001F5EEB"/>
    <w:rsid w:val="001F67B7"/>
    <w:rsid w:val="001F6BB2"/>
    <w:rsid w:val="002026FB"/>
    <w:rsid w:val="00202846"/>
    <w:rsid w:val="00202BA2"/>
    <w:rsid w:val="002038D1"/>
    <w:rsid w:val="0020392E"/>
    <w:rsid w:val="002103A8"/>
    <w:rsid w:val="0022458B"/>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7EEB"/>
    <w:rsid w:val="002B0CFD"/>
    <w:rsid w:val="002B0E33"/>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D1086"/>
    <w:rsid w:val="002D25AD"/>
    <w:rsid w:val="002D2F4E"/>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2B7D"/>
    <w:rsid w:val="0037339E"/>
    <w:rsid w:val="00375893"/>
    <w:rsid w:val="00375F15"/>
    <w:rsid w:val="003760B5"/>
    <w:rsid w:val="0037694B"/>
    <w:rsid w:val="00376CE7"/>
    <w:rsid w:val="003776AF"/>
    <w:rsid w:val="00377B81"/>
    <w:rsid w:val="003810B5"/>
    <w:rsid w:val="003831B2"/>
    <w:rsid w:val="00383320"/>
    <w:rsid w:val="00384142"/>
    <w:rsid w:val="00386BAA"/>
    <w:rsid w:val="00386EFE"/>
    <w:rsid w:val="003907D0"/>
    <w:rsid w:val="003952D7"/>
    <w:rsid w:val="00396B31"/>
    <w:rsid w:val="00397C16"/>
    <w:rsid w:val="003A06EE"/>
    <w:rsid w:val="003A0A6C"/>
    <w:rsid w:val="003A0B9A"/>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6179"/>
    <w:rsid w:val="003D785B"/>
    <w:rsid w:val="003D79E9"/>
    <w:rsid w:val="003E2586"/>
    <w:rsid w:val="003E3160"/>
    <w:rsid w:val="003E4916"/>
    <w:rsid w:val="003E4EC9"/>
    <w:rsid w:val="003E502F"/>
    <w:rsid w:val="003E6485"/>
    <w:rsid w:val="003E7989"/>
    <w:rsid w:val="003F105D"/>
    <w:rsid w:val="003F4EF4"/>
    <w:rsid w:val="003F5894"/>
    <w:rsid w:val="003F61FD"/>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6B1D"/>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0E53"/>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16B0"/>
    <w:rsid w:val="004B1C09"/>
    <w:rsid w:val="004B2CD0"/>
    <w:rsid w:val="004B2FCE"/>
    <w:rsid w:val="004B30E2"/>
    <w:rsid w:val="004B4181"/>
    <w:rsid w:val="004B4459"/>
    <w:rsid w:val="004B4D12"/>
    <w:rsid w:val="004B6BCE"/>
    <w:rsid w:val="004C0846"/>
    <w:rsid w:val="004C0C6D"/>
    <w:rsid w:val="004C2F79"/>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16B"/>
    <w:rsid w:val="00545176"/>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77EE7"/>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5E69"/>
    <w:rsid w:val="0061601E"/>
    <w:rsid w:val="006162E9"/>
    <w:rsid w:val="00616DC4"/>
    <w:rsid w:val="006177BA"/>
    <w:rsid w:val="00617CA9"/>
    <w:rsid w:val="00617FD1"/>
    <w:rsid w:val="0062176F"/>
    <w:rsid w:val="0062177E"/>
    <w:rsid w:val="00622EEE"/>
    <w:rsid w:val="00623751"/>
    <w:rsid w:val="0062438A"/>
    <w:rsid w:val="00624FC2"/>
    <w:rsid w:val="0062548E"/>
    <w:rsid w:val="00625BA1"/>
    <w:rsid w:val="00626464"/>
    <w:rsid w:val="006265C6"/>
    <w:rsid w:val="00632FBA"/>
    <w:rsid w:val="00636381"/>
    <w:rsid w:val="00637EC4"/>
    <w:rsid w:val="00637EE8"/>
    <w:rsid w:val="006403A2"/>
    <w:rsid w:val="006410D9"/>
    <w:rsid w:val="006415DA"/>
    <w:rsid w:val="0064219A"/>
    <w:rsid w:val="00642617"/>
    <w:rsid w:val="00642F33"/>
    <w:rsid w:val="00643528"/>
    <w:rsid w:val="006439D1"/>
    <w:rsid w:val="0064419D"/>
    <w:rsid w:val="00644CAE"/>
    <w:rsid w:val="0064572A"/>
    <w:rsid w:val="006458AE"/>
    <w:rsid w:val="006459D4"/>
    <w:rsid w:val="00645FDB"/>
    <w:rsid w:val="006500AE"/>
    <w:rsid w:val="00650DF0"/>
    <w:rsid w:val="00653275"/>
    <w:rsid w:val="00653D72"/>
    <w:rsid w:val="006554DD"/>
    <w:rsid w:val="0065762D"/>
    <w:rsid w:val="00661F0E"/>
    <w:rsid w:val="006625B6"/>
    <w:rsid w:val="00663DA7"/>
    <w:rsid w:val="006645B2"/>
    <w:rsid w:val="006703C1"/>
    <w:rsid w:val="00671EC7"/>
    <w:rsid w:val="006771DB"/>
    <w:rsid w:val="00677355"/>
    <w:rsid w:val="00680E4F"/>
    <w:rsid w:val="0068134B"/>
    <w:rsid w:val="006848A0"/>
    <w:rsid w:val="00684D2C"/>
    <w:rsid w:val="00685EF2"/>
    <w:rsid w:val="00687353"/>
    <w:rsid w:val="00690774"/>
    <w:rsid w:val="00690C26"/>
    <w:rsid w:val="00690F40"/>
    <w:rsid w:val="006914F4"/>
    <w:rsid w:val="00691EBB"/>
    <w:rsid w:val="00693CFF"/>
    <w:rsid w:val="00694302"/>
    <w:rsid w:val="0069650D"/>
    <w:rsid w:val="006A13EC"/>
    <w:rsid w:val="006A179E"/>
    <w:rsid w:val="006A20D6"/>
    <w:rsid w:val="006A2897"/>
    <w:rsid w:val="006A6F1B"/>
    <w:rsid w:val="006B196A"/>
    <w:rsid w:val="006B272E"/>
    <w:rsid w:val="006B30C9"/>
    <w:rsid w:val="006B369F"/>
    <w:rsid w:val="006B5C6F"/>
    <w:rsid w:val="006B7719"/>
    <w:rsid w:val="006C3009"/>
    <w:rsid w:val="006C696B"/>
    <w:rsid w:val="006C775C"/>
    <w:rsid w:val="006D16AB"/>
    <w:rsid w:val="006D1A9D"/>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27319"/>
    <w:rsid w:val="00730FDB"/>
    <w:rsid w:val="00731BD3"/>
    <w:rsid w:val="00733E51"/>
    <w:rsid w:val="007341B2"/>
    <w:rsid w:val="0073426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95A"/>
    <w:rsid w:val="0076534E"/>
    <w:rsid w:val="0076642E"/>
    <w:rsid w:val="00766D64"/>
    <w:rsid w:val="00767124"/>
    <w:rsid w:val="007678A3"/>
    <w:rsid w:val="00767F0A"/>
    <w:rsid w:val="00770B56"/>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4E42"/>
    <w:rsid w:val="007C5220"/>
    <w:rsid w:val="007C57BB"/>
    <w:rsid w:val="007C5D4B"/>
    <w:rsid w:val="007C6799"/>
    <w:rsid w:val="007C7667"/>
    <w:rsid w:val="007D0266"/>
    <w:rsid w:val="007D237F"/>
    <w:rsid w:val="007D6C3A"/>
    <w:rsid w:val="007E1F0D"/>
    <w:rsid w:val="007E43BE"/>
    <w:rsid w:val="007E57BB"/>
    <w:rsid w:val="007E5A30"/>
    <w:rsid w:val="007E6BBC"/>
    <w:rsid w:val="007F05DA"/>
    <w:rsid w:val="007F234A"/>
    <w:rsid w:val="007F2E19"/>
    <w:rsid w:val="007F4B91"/>
    <w:rsid w:val="007F6C21"/>
    <w:rsid w:val="007F6D05"/>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6AB1"/>
    <w:rsid w:val="008302AE"/>
    <w:rsid w:val="008310D2"/>
    <w:rsid w:val="00831141"/>
    <w:rsid w:val="00831B17"/>
    <w:rsid w:val="0083299B"/>
    <w:rsid w:val="00833376"/>
    <w:rsid w:val="00836205"/>
    <w:rsid w:val="008407F3"/>
    <w:rsid w:val="00843036"/>
    <w:rsid w:val="00843281"/>
    <w:rsid w:val="00845FC2"/>
    <w:rsid w:val="00847840"/>
    <w:rsid w:val="008478E2"/>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0FE0"/>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401"/>
    <w:rsid w:val="008D5F98"/>
    <w:rsid w:val="008D693D"/>
    <w:rsid w:val="008D7F9F"/>
    <w:rsid w:val="008E0A41"/>
    <w:rsid w:val="008E0E4F"/>
    <w:rsid w:val="008E118C"/>
    <w:rsid w:val="008E1D10"/>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1D"/>
    <w:rsid w:val="00906699"/>
    <w:rsid w:val="009103A6"/>
    <w:rsid w:val="00912525"/>
    <w:rsid w:val="0091336E"/>
    <w:rsid w:val="0091393D"/>
    <w:rsid w:val="00913D90"/>
    <w:rsid w:val="0091531D"/>
    <w:rsid w:val="00922837"/>
    <w:rsid w:val="00924C0B"/>
    <w:rsid w:val="0093178A"/>
    <w:rsid w:val="00932D28"/>
    <w:rsid w:val="00932D73"/>
    <w:rsid w:val="00936E44"/>
    <w:rsid w:val="00936F9A"/>
    <w:rsid w:val="00937583"/>
    <w:rsid w:val="00937FC2"/>
    <w:rsid w:val="00942A7C"/>
    <w:rsid w:val="00945508"/>
    <w:rsid w:val="00946C7A"/>
    <w:rsid w:val="00946F0B"/>
    <w:rsid w:val="009474B0"/>
    <w:rsid w:val="009478A1"/>
    <w:rsid w:val="0095095D"/>
    <w:rsid w:val="00952624"/>
    <w:rsid w:val="0095291E"/>
    <w:rsid w:val="00952A35"/>
    <w:rsid w:val="00954325"/>
    <w:rsid w:val="00955EF9"/>
    <w:rsid w:val="00956F21"/>
    <w:rsid w:val="00960A43"/>
    <w:rsid w:val="00960B83"/>
    <w:rsid w:val="00962B9B"/>
    <w:rsid w:val="00962E41"/>
    <w:rsid w:val="009647FE"/>
    <w:rsid w:val="00967165"/>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336B"/>
    <w:rsid w:val="00995995"/>
    <w:rsid w:val="00996989"/>
    <w:rsid w:val="009A0D0B"/>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2C7D"/>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020"/>
    <w:rsid w:val="00A6162F"/>
    <w:rsid w:val="00A6237B"/>
    <w:rsid w:val="00A626EC"/>
    <w:rsid w:val="00A62D41"/>
    <w:rsid w:val="00A64B69"/>
    <w:rsid w:val="00A672D1"/>
    <w:rsid w:val="00A72CE0"/>
    <w:rsid w:val="00A73988"/>
    <w:rsid w:val="00A7412A"/>
    <w:rsid w:val="00A75895"/>
    <w:rsid w:val="00A76831"/>
    <w:rsid w:val="00A77AFA"/>
    <w:rsid w:val="00A8045C"/>
    <w:rsid w:val="00A82E94"/>
    <w:rsid w:val="00A835E7"/>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A79C3"/>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0488"/>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86A"/>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829"/>
    <w:rsid w:val="00BE1921"/>
    <w:rsid w:val="00BE2798"/>
    <w:rsid w:val="00BE3C4D"/>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26FE3"/>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0549"/>
    <w:rsid w:val="00C72B21"/>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7D7B"/>
    <w:rsid w:val="00CB0506"/>
    <w:rsid w:val="00CB1620"/>
    <w:rsid w:val="00CB3C25"/>
    <w:rsid w:val="00CB68A2"/>
    <w:rsid w:val="00CB76E1"/>
    <w:rsid w:val="00CB78FC"/>
    <w:rsid w:val="00CB7BD5"/>
    <w:rsid w:val="00CC051E"/>
    <w:rsid w:val="00CC0A14"/>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172F"/>
    <w:rsid w:val="00D0323A"/>
    <w:rsid w:val="00D038AB"/>
    <w:rsid w:val="00D03A43"/>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5336"/>
    <w:rsid w:val="00DB63BC"/>
    <w:rsid w:val="00DB76FF"/>
    <w:rsid w:val="00DC00E3"/>
    <w:rsid w:val="00DC06D0"/>
    <w:rsid w:val="00DC252A"/>
    <w:rsid w:val="00DC28D5"/>
    <w:rsid w:val="00DC3E86"/>
    <w:rsid w:val="00DC5D62"/>
    <w:rsid w:val="00DC67E1"/>
    <w:rsid w:val="00DD231A"/>
    <w:rsid w:val="00DD2CC8"/>
    <w:rsid w:val="00DD664E"/>
    <w:rsid w:val="00DD7D00"/>
    <w:rsid w:val="00DE29E5"/>
    <w:rsid w:val="00DE2DCE"/>
    <w:rsid w:val="00DE4350"/>
    <w:rsid w:val="00DE450F"/>
    <w:rsid w:val="00DE6A2C"/>
    <w:rsid w:val="00DE79FC"/>
    <w:rsid w:val="00DE7EDC"/>
    <w:rsid w:val="00DF0D69"/>
    <w:rsid w:val="00DF1C66"/>
    <w:rsid w:val="00DF267E"/>
    <w:rsid w:val="00DF2EEB"/>
    <w:rsid w:val="00DF3BBE"/>
    <w:rsid w:val="00DF461D"/>
    <w:rsid w:val="00E0032B"/>
    <w:rsid w:val="00E020F5"/>
    <w:rsid w:val="00E033C0"/>
    <w:rsid w:val="00E049BE"/>
    <w:rsid w:val="00E04F30"/>
    <w:rsid w:val="00E05973"/>
    <w:rsid w:val="00E05D9E"/>
    <w:rsid w:val="00E06DEF"/>
    <w:rsid w:val="00E1148F"/>
    <w:rsid w:val="00E1257B"/>
    <w:rsid w:val="00E13E2B"/>
    <w:rsid w:val="00E145E4"/>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5F46"/>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76B"/>
    <w:rsid w:val="00E76FAE"/>
    <w:rsid w:val="00E909D3"/>
    <w:rsid w:val="00E91F95"/>
    <w:rsid w:val="00E91FFF"/>
    <w:rsid w:val="00E93FD3"/>
    <w:rsid w:val="00E94058"/>
    <w:rsid w:val="00E94B40"/>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460D"/>
    <w:rsid w:val="00F057DE"/>
    <w:rsid w:val="00F1211A"/>
    <w:rsid w:val="00F12B8E"/>
    <w:rsid w:val="00F16D18"/>
    <w:rsid w:val="00F20029"/>
    <w:rsid w:val="00F213DB"/>
    <w:rsid w:val="00F2230A"/>
    <w:rsid w:val="00F224DE"/>
    <w:rsid w:val="00F22D2D"/>
    <w:rsid w:val="00F23BEE"/>
    <w:rsid w:val="00F23E81"/>
    <w:rsid w:val="00F247B1"/>
    <w:rsid w:val="00F25148"/>
    <w:rsid w:val="00F253D9"/>
    <w:rsid w:val="00F26605"/>
    <w:rsid w:val="00F27666"/>
    <w:rsid w:val="00F31688"/>
    <w:rsid w:val="00F317F7"/>
    <w:rsid w:val="00F31B43"/>
    <w:rsid w:val="00F3279F"/>
    <w:rsid w:val="00F37784"/>
    <w:rsid w:val="00F4027C"/>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3C3D"/>
    <w:rsid w:val="00F84336"/>
    <w:rsid w:val="00F866F7"/>
    <w:rsid w:val="00F90352"/>
    <w:rsid w:val="00F907E3"/>
    <w:rsid w:val="00F90D9F"/>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2784344">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0219272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2</Pages>
  <Words>549</Words>
  <Characters>3135</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8</cp:revision>
  <dcterms:created xsi:type="dcterms:W3CDTF">2022-08-01T14:04:00Z</dcterms:created>
  <dcterms:modified xsi:type="dcterms:W3CDTF">2022-08-09T13:51:00Z</dcterms:modified>
</cp:coreProperties>
</file>