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DA0A77" w:rsidRPr="00DA0A77">
        <w:rPr>
          <w:rFonts w:cs="Arial"/>
          <w:sz w:val="24"/>
          <w:szCs w:val="24"/>
        </w:rPr>
        <w:t>R4-2208947</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Electronic Meeting, May 09 – May 20</w:t>
      </w:r>
      <w:r w:rsidRPr="004A029C">
        <w:rPr>
          <w:rFonts w:eastAsia="宋体" w:cs="Arial"/>
          <w:sz w:val="24"/>
          <w:szCs w:val="24"/>
          <w:lang w:eastAsia="zh-CN"/>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A793C" w:rsidRPr="007A793C">
        <w:rPr>
          <w:rFonts w:ascii="Arial" w:hAnsi="Arial"/>
          <w:sz w:val="24"/>
          <w:lang w:val="en-US"/>
        </w:rPr>
        <w:t>9.15.8.2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3844DE" w:rsidRPr="003844DE">
        <w:rPr>
          <w:rFonts w:ascii="Arial" w:hAnsi="Arial"/>
          <w:sz w:val="24"/>
          <w:lang w:val="en-US"/>
        </w:rPr>
        <w:t>Discussion on timing requirements for extending NR operation to 71GHz</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622EBC" w:rsidRPr="00622EBC" w:rsidRDefault="00622EBC" w:rsidP="00622EBC">
      <w:pPr>
        <w:rPr>
          <w:rFonts w:eastAsiaTheme="minorEastAsia"/>
          <w:lang w:val="en-US" w:eastAsia="zh-CN"/>
        </w:rPr>
      </w:pPr>
      <w:r w:rsidRPr="00622EBC">
        <w:rPr>
          <w:rFonts w:eastAsiaTheme="minorEastAsia"/>
          <w:lang w:val="en-US" w:eastAsia="zh-CN"/>
        </w:rPr>
        <w:t xml:space="preserve">The WI on extending NR operation to 71GHz was discussed in the last RAN4 meeting. </w:t>
      </w:r>
      <w:r w:rsidR="00BD3A7F">
        <w:rPr>
          <w:rFonts w:eastAsiaTheme="minorEastAsia" w:hint="eastAsia"/>
          <w:lang w:val="en-US" w:eastAsia="zh-CN"/>
        </w:rPr>
        <w:t>The</w:t>
      </w:r>
      <w:r w:rsidR="00BD3A7F">
        <w:rPr>
          <w:rFonts w:eastAsiaTheme="minorEastAsia"/>
          <w:lang w:val="en-US" w:eastAsia="zh-CN"/>
        </w:rPr>
        <w:t xml:space="preserve"> timing related issue were discussed with agreements and pending issues captured in WF</w:t>
      </w:r>
      <w:r w:rsidRPr="00622EBC">
        <w:rPr>
          <w:rFonts w:eastAsiaTheme="minorEastAsia"/>
          <w:lang w:val="en-US" w:eastAsia="zh-CN"/>
        </w:rPr>
        <w:t xml:space="preserve"> [1]</w:t>
      </w:r>
      <w:r w:rsidR="00152334">
        <w:rPr>
          <w:rFonts w:eastAsiaTheme="minorEastAsia" w:hint="eastAsia"/>
          <w:lang w:val="en-US" w:eastAsia="zh-CN"/>
        </w:rPr>
        <w:t>,</w:t>
      </w:r>
      <w:r w:rsidR="00152334">
        <w:rPr>
          <w:rFonts w:eastAsiaTheme="minorEastAsia"/>
          <w:lang w:val="en-US" w:eastAsia="zh-CN"/>
        </w:rPr>
        <w:t xml:space="preserve"> and the Big CR was endorsed in [2]</w:t>
      </w:r>
      <w:r w:rsidRPr="00622EBC">
        <w:rPr>
          <w:rFonts w:eastAsiaTheme="minorEastAsia"/>
          <w:lang w:val="en-US" w:eastAsia="zh-CN"/>
        </w:rPr>
        <w:t xml:space="preserve">. In this paper, we </w:t>
      </w:r>
      <w:r>
        <w:rPr>
          <w:rFonts w:eastAsiaTheme="minorEastAsia"/>
          <w:lang w:val="en-US" w:eastAsia="zh-CN"/>
        </w:rPr>
        <w:t>further provide views on impact on timing requirements.</w:t>
      </w:r>
    </w:p>
    <w:p w:rsidR="00DF0231" w:rsidRDefault="00DF0231" w:rsidP="00DF0231">
      <w:pPr>
        <w:pStyle w:val="Heading1"/>
        <w:numPr>
          <w:ilvl w:val="0"/>
          <w:numId w:val="1"/>
        </w:numPr>
        <w:rPr>
          <w:lang w:val="en-US"/>
        </w:rPr>
      </w:pPr>
      <w:r w:rsidRPr="002D2977">
        <w:rPr>
          <w:lang w:val="en-US"/>
        </w:rPr>
        <w:t>Discussion</w:t>
      </w:r>
    </w:p>
    <w:p w:rsidR="00E34071" w:rsidRDefault="00E34071" w:rsidP="00E34071">
      <w:pPr>
        <w:pStyle w:val="Heading3"/>
        <w:rPr>
          <w:lang w:val="en-US" w:eastAsia="zh-CN"/>
        </w:rPr>
      </w:pPr>
      <w:r>
        <w:rPr>
          <w:lang w:val="en-US" w:eastAsia="zh-CN"/>
        </w:rPr>
        <w:t xml:space="preserve">2.1 </w:t>
      </w:r>
      <w:r w:rsidRPr="00E34071">
        <w:rPr>
          <w:lang w:val="en-US" w:eastAsia="zh-CN"/>
        </w:rPr>
        <w:t>UE transmit timing error</w:t>
      </w:r>
    </w:p>
    <w:p w:rsidR="001328F2" w:rsidRDefault="001328F2" w:rsidP="001328F2">
      <w:pPr>
        <w:rPr>
          <w:rFonts w:eastAsiaTheme="minorEastAsia"/>
          <w:lang w:val="en-US" w:eastAsia="zh-CN"/>
        </w:rPr>
      </w:pPr>
      <w:r>
        <w:rPr>
          <w:rFonts w:eastAsiaTheme="minorEastAsia"/>
          <w:lang w:val="en-US" w:eastAsia="zh-CN"/>
        </w:rPr>
        <w:t>Regarding the UE transmit timing requirements, compromised agreements were reached in the last meeting after long discussion for several meetings. The agreements are shown as follows:</w:t>
      </w:r>
    </w:p>
    <w:p w:rsidR="001328F2" w:rsidRDefault="001328F2" w:rsidP="001328F2">
      <w:pPr>
        <w:rPr>
          <w:rFonts w:eastAsiaTheme="minorEastAsia"/>
          <w:lang w:val="en-US" w:eastAsia="zh-CN"/>
        </w:rPr>
      </w:pPr>
    </w:p>
    <w:tbl>
      <w:tblPr>
        <w:tblStyle w:val="TableGrid"/>
        <w:tblW w:w="0" w:type="auto"/>
        <w:tblLook w:val="04A0" w:firstRow="1" w:lastRow="0" w:firstColumn="1" w:lastColumn="0" w:noHBand="0" w:noVBand="1"/>
      </w:tblPr>
      <w:tblGrid>
        <w:gridCol w:w="9562"/>
      </w:tblGrid>
      <w:tr w:rsidR="001328F2" w:rsidTr="001328F2">
        <w:tc>
          <w:tcPr>
            <w:tcW w:w="9562" w:type="dxa"/>
          </w:tcPr>
          <w:p w:rsidR="001328F2" w:rsidRDefault="001328F2" w:rsidP="001328F2">
            <w:pPr>
              <w:pStyle w:val="Heading2"/>
              <w:numPr>
                <w:ilvl w:val="1"/>
                <w:numId w:val="0"/>
              </w:numPr>
              <w:tabs>
                <w:tab w:val="num" w:pos="360"/>
                <w:tab w:val="left" w:pos="567"/>
              </w:tabs>
              <w:overflowPunct w:val="0"/>
              <w:autoSpaceDE w:val="0"/>
              <w:autoSpaceDN w:val="0"/>
              <w:adjustRightInd w:val="0"/>
              <w:spacing w:before="360" w:after="240" w:line="240" w:lineRule="auto"/>
              <w:ind w:left="578" w:hanging="578"/>
              <w:jc w:val="both"/>
              <w:rPr>
                <w:rFonts w:eastAsia="Times New Roman"/>
                <w:lang w:eastAsia="ja-JP"/>
              </w:rPr>
            </w:pPr>
            <w:r>
              <w:lastRenderedPageBreak/>
              <w:t>Timing requirements</w:t>
            </w:r>
          </w:p>
          <w:p w:rsidR="001328F2" w:rsidRDefault="001328F2" w:rsidP="001328F2">
            <w:pPr>
              <w:pStyle w:val="Heading3"/>
              <w:numPr>
                <w:ilvl w:val="2"/>
                <w:numId w:val="0"/>
              </w:numPr>
              <w:tabs>
                <w:tab w:val="num" w:pos="360"/>
                <w:tab w:val="left" w:pos="567"/>
              </w:tabs>
              <w:spacing w:before="300"/>
              <w:ind w:left="720" w:hanging="720"/>
              <w:jc w:val="both"/>
              <w:textAlignment w:val="auto"/>
            </w:pPr>
            <w:r>
              <w:t>UE transmit timing error</w:t>
            </w:r>
          </w:p>
          <w:p w:rsidR="001328F2" w:rsidRDefault="001328F2" w:rsidP="001328F2">
            <w:pPr>
              <w:rPr>
                <w:b/>
                <w:bCs/>
                <w:u w:val="single"/>
                <w:lang w:val="en-US" w:eastAsia="ja-JP" w:bidi="hi-IN"/>
              </w:rPr>
            </w:pPr>
            <w:r>
              <w:rPr>
                <w:b/>
                <w:bCs/>
                <w:u w:val="single"/>
                <w:lang w:val="en-US" w:eastAsia="ja-JP" w:bidi="hi-IN"/>
              </w:rPr>
              <w:t>SSB periodicity and set of requirements</w:t>
            </w:r>
          </w:p>
          <w:p w:rsidR="001328F2" w:rsidRDefault="001328F2" w:rsidP="001328F2">
            <w:pPr>
              <w:pStyle w:val="ListParagraph"/>
              <w:numPr>
                <w:ilvl w:val="0"/>
                <w:numId w:val="36"/>
              </w:numPr>
              <w:overflowPunct w:val="0"/>
              <w:autoSpaceDE w:val="0"/>
              <w:autoSpaceDN w:val="0"/>
              <w:adjustRightInd w:val="0"/>
              <w:spacing w:before="120" w:after="120"/>
              <w:ind w:firstLineChars="0"/>
              <w:contextualSpacing/>
              <w:rPr>
                <w:highlight w:val="green"/>
                <w:lang w:val="en-US" w:eastAsia="ja-JP" w:bidi="hi-IN"/>
              </w:rPr>
            </w:pPr>
            <w:r>
              <w:rPr>
                <w:highlight w:val="green"/>
                <w:lang w:val="en-US" w:eastAsia="ja-JP" w:bidi="hi-IN"/>
              </w:rPr>
              <w:t xml:space="preserve">For UL SCS of 480/960 kHz, a UE is required to meet the UL timing accuracy requirements if an SSB is available in the last X </w:t>
            </w:r>
            <w:proofErr w:type="spellStart"/>
            <w:r>
              <w:rPr>
                <w:highlight w:val="green"/>
                <w:lang w:val="en-US" w:eastAsia="ja-JP" w:bidi="hi-IN"/>
              </w:rPr>
              <w:t>ms</w:t>
            </w:r>
            <w:proofErr w:type="spellEnd"/>
          </w:p>
          <w:p w:rsidR="001328F2" w:rsidRDefault="001328F2" w:rsidP="001328F2">
            <w:pPr>
              <w:pStyle w:val="ListParagraph"/>
              <w:numPr>
                <w:ilvl w:val="1"/>
                <w:numId w:val="36"/>
              </w:numPr>
              <w:overflowPunct w:val="0"/>
              <w:autoSpaceDE w:val="0"/>
              <w:autoSpaceDN w:val="0"/>
              <w:adjustRightInd w:val="0"/>
              <w:spacing w:before="120" w:after="120"/>
              <w:ind w:firstLineChars="0"/>
              <w:contextualSpacing/>
              <w:rPr>
                <w:highlight w:val="green"/>
                <w:lang w:val="en-US" w:eastAsia="ja-JP" w:bidi="hi-IN"/>
              </w:rPr>
            </w:pPr>
            <w:r>
              <w:rPr>
                <w:highlight w:val="green"/>
                <w:lang w:val="en-US" w:eastAsia="ja-JP" w:bidi="hi-IN"/>
              </w:rPr>
              <w:t xml:space="preserve">X=80 </w:t>
            </w:r>
            <w:proofErr w:type="spellStart"/>
            <w:r>
              <w:rPr>
                <w:highlight w:val="green"/>
                <w:lang w:val="en-US" w:eastAsia="ja-JP" w:bidi="hi-IN"/>
              </w:rPr>
              <w:t>ms</w:t>
            </w:r>
            <w:proofErr w:type="spellEnd"/>
            <w:r>
              <w:rPr>
                <w:highlight w:val="green"/>
                <w:lang w:val="en-US" w:eastAsia="ja-JP" w:bidi="hi-IN"/>
              </w:rPr>
              <w:t xml:space="preserve"> for UL SCS of 480 kHz</w:t>
            </w:r>
          </w:p>
          <w:p w:rsidR="001328F2" w:rsidRDefault="001328F2" w:rsidP="001328F2">
            <w:pPr>
              <w:pStyle w:val="ListParagraph"/>
              <w:numPr>
                <w:ilvl w:val="1"/>
                <w:numId w:val="36"/>
              </w:numPr>
              <w:overflowPunct w:val="0"/>
              <w:autoSpaceDE w:val="0"/>
              <w:autoSpaceDN w:val="0"/>
              <w:adjustRightInd w:val="0"/>
              <w:spacing w:before="120" w:after="120"/>
              <w:ind w:firstLineChars="0"/>
              <w:contextualSpacing/>
              <w:rPr>
                <w:highlight w:val="green"/>
                <w:lang w:val="en-US" w:eastAsia="ja-JP" w:bidi="hi-IN"/>
              </w:rPr>
            </w:pPr>
            <w:r>
              <w:rPr>
                <w:highlight w:val="green"/>
                <w:lang w:val="en-US" w:eastAsia="ja-JP" w:bidi="hi-IN"/>
              </w:rPr>
              <w:t xml:space="preserve">X=40 </w:t>
            </w:r>
            <w:proofErr w:type="spellStart"/>
            <w:r>
              <w:rPr>
                <w:highlight w:val="green"/>
                <w:lang w:val="en-US" w:eastAsia="ja-JP" w:bidi="hi-IN"/>
              </w:rPr>
              <w:t>ms</w:t>
            </w:r>
            <w:proofErr w:type="spellEnd"/>
            <w:r>
              <w:rPr>
                <w:highlight w:val="green"/>
                <w:lang w:val="en-US" w:eastAsia="ja-JP" w:bidi="hi-IN"/>
              </w:rPr>
              <w:t xml:space="preserve"> for UL SCS of 960 kHz</w:t>
            </w:r>
          </w:p>
          <w:p w:rsidR="001328F2" w:rsidRDefault="001328F2" w:rsidP="001328F2">
            <w:pPr>
              <w:pStyle w:val="ListParagraph"/>
              <w:numPr>
                <w:ilvl w:val="0"/>
                <w:numId w:val="36"/>
              </w:numPr>
              <w:overflowPunct w:val="0"/>
              <w:autoSpaceDE w:val="0"/>
              <w:autoSpaceDN w:val="0"/>
              <w:adjustRightInd w:val="0"/>
              <w:spacing w:before="120" w:after="120"/>
              <w:ind w:firstLineChars="0"/>
              <w:contextualSpacing/>
              <w:rPr>
                <w:highlight w:val="green"/>
                <w:lang w:val="en-US" w:eastAsia="ja-JP" w:bidi="hi-IN"/>
              </w:rPr>
            </w:pPr>
            <w:r>
              <w:rPr>
                <w:highlight w:val="green"/>
                <w:lang w:val="en-US" w:eastAsia="ja-JP" w:bidi="hi-IN"/>
              </w:rPr>
              <w:t>Note: test cases will be defined for both cases</w:t>
            </w:r>
          </w:p>
          <w:p w:rsidR="001328F2" w:rsidRDefault="001328F2" w:rsidP="001328F2">
            <w:pPr>
              <w:pStyle w:val="ListParagraph"/>
              <w:numPr>
                <w:ilvl w:val="0"/>
                <w:numId w:val="36"/>
              </w:numPr>
              <w:overflowPunct w:val="0"/>
              <w:autoSpaceDE w:val="0"/>
              <w:autoSpaceDN w:val="0"/>
              <w:adjustRightInd w:val="0"/>
              <w:spacing w:before="120" w:after="120"/>
              <w:ind w:firstLineChars="0"/>
              <w:contextualSpacing/>
              <w:rPr>
                <w:highlight w:val="green"/>
                <w:lang w:val="en-US" w:eastAsia="ja-JP" w:bidi="hi-IN"/>
              </w:rPr>
            </w:pPr>
            <w:r>
              <w:rPr>
                <w:highlight w:val="green"/>
                <w:lang w:val="en-US" w:eastAsia="ja-JP" w:bidi="hi-IN"/>
              </w:rPr>
              <w:t xml:space="preserve">Note: the agreement can be revisited in case no feasible </w:t>
            </w:r>
            <w:proofErr w:type="spellStart"/>
            <w:r>
              <w:rPr>
                <w:highlight w:val="green"/>
                <w:lang w:val="en-US" w:eastAsia="ja-JP" w:bidi="hi-IN"/>
              </w:rPr>
              <w:t>Te</w:t>
            </w:r>
            <w:proofErr w:type="spellEnd"/>
            <w:r>
              <w:rPr>
                <w:highlight w:val="green"/>
                <w:lang w:val="en-US" w:eastAsia="ja-JP" w:bidi="hi-IN"/>
              </w:rPr>
              <w:t xml:space="preserve"> requirements values are identified.</w:t>
            </w:r>
          </w:p>
          <w:p w:rsidR="001328F2" w:rsidRDefault="001328F2" w:rsidP="001328F2">
            <w:pPr>
              <w:rPr>
                <w:b/>
                <w:bCs/>
                <w:u w:val="single"/>
                <w:lang w:val="en-US" w:eastAsia="ja-JP" w:bidi="hi-IN"/>
              </w:rPr>
            </w:pPr>
          </w:p>
          <w:p w:rsidR="001328F2" w:rsidRDefault="001328F2" w:rsidP="001328F2">
            <w:pPr>
              <w:rPr>
                <w:b/>
                <w:bCs/>
                <w:u w:val="single"/>
                <w:lang w:val="en-US" w:eastAsia="ja-JP" w:bidi="hi-IN"/>
              </w:rPr>
            </w:pPr>
            <w:r>
              <w:rPr>
                <w:b/>
                <w:bCs/>
                <w:u w:val="single"/>
                <w:lang w:val="en-US" w:eastAsia="ja-JP" w:bidi="hi-IN"/>
              </w:rPr>
              <w:t xml:space="preserve">Percentage of UL CP length </w:t>
            </w:r>
            <w:proofErr w:type="spellStart"/>
            <w:r>
              <w:rPr>
                <w:b/>
                <w:bCs/>
                <w:u w:val="single"/>
                <w:lang w:val="en-US" w:eastAsia="ja-JP" w:bidi="hi-IN"/>
              </w:rPr>
              <w:t>Te</w:t>
            </w:r>
            <w:proofErr w:type="spellEnd"/>
            <w:r>
              <w:rPr>
                <w:b/>
                <w:bCs/>
                <w:u w:val="single"/>
                <w:lang w:val="en-US" w:eastAsia="ja-JP" w:bidi="hi-IN"/>
              </w:rPr>
              <w:t xml:space="preserve"> can occupy for UL SCS of 480/960 kHz</w:t>
            </w:r>
          </w:p>
          <w:p w:rsidR="001328F2" w:rsidRDefault="001328F2" w:rsidP="001328F2">
            <w:pPr>
              <w:numPr>
                <w:ilvl w:val="0"/>
                <w:numId w:val="37"/>
              </w:numPr>
              <w:autoSpaceDN w:val="0"/>
              <w:rPr>
                <w:rFonts w:eastAsia="等线"/>
                <w:iCs/>
                <w:highlight w:val="green"/>
                <w:lang w:val="en-US" w:eastAsia="zh-CN"/>
              </w:rPr>
            </w:pPr>
            <w:r>
              <w:rPr>
                <w:rFonts w:eastAsia="等线"/>
                <w:iCs/>
                <w:highlight w:val="green"/>
                <w:lang w:val="en-US" w:eastAsia="zh-CN"/>
              </w:rPr>
              <w:t xml:space="preserve">For UL SCS of 480/960 kHz, a UE is required to meet the UL timing accuracy requirements if an SSB is available in the last X </w:t>
            </w:r>
            <w:proofErr w:type="spellStart"/>
            <w:r>
              <w:rPr>
                <w:rFonts w:eastAsia="等线"/>
                <w:iCs/>
                <w:highlight w:val="green"/>
                <w:lang w:val="en-US" w:eastAsia="zh-CN"/>
              </w:rPr>
              <w:t>ms.</w:t>
            </w:r>
            <w:proofErr w:type="spellEnd"/>
          </w:p>
          <w:p w:rsidR="001328F2" w:rsidRDefault="001328F2" w:rsidP="001328F2">
            <w:pPr>
              <w:numPr>
                <w:ilvl w:val="1"/>
                <w:numId w:val="37"/>
              </w:numPr>
              <w:autoSpaceDN w:val="0"/>
              <w:rPr>
                <w:rFonts w:eastAsia="宋体"/>
                <w:highlight w:val="green"/>
                <w:lang w:val="en-US" w:eastAsia="ja-JP" w:bidi="hi-IN"/>
              </w:rPr>
            </w:pPr>
            <w:r>
              <w:rPr>
                <w:highlight w:val="green"/>
                <w:lang w:val="en-US" w:eastAsia="ja-JP" w:bidi="hi-IN"/>
              </w:rPr>
              <w:t>For X = 80ms</w:t>
            </w:r>
          </w:p>
          <w:tbl>
            <w:tblPr>
              <w:tblStyle w:val="Tabellengitternetz1"/>
              <w:tblW w:w="2790" w:type="dxa"/>
              <w:tblInd w:w="1458" w:type="dxa"/>
              <w:tblLook w:val="04A0" w:firstRow="1" w:lastRow="0" w:firstColumn="1" w:lastColumn="0" w:noHBand="0" w:noVBand="1"/>
            </w:tblPr>
            <w:tblGrid>
              <w:gridCol w:w="855"/>
              <w:gridCol w:w="855"/>
              <w:gridCol w:w="1080"/>
            </w:tblGrid>
            <w:tr w:rsidR="001328F2" w:rsidTr="001328F2">
              <w:trPr>
                <w:trHeight w:val="324"/>
              </w:trPr>
              <w:tc>
                <w:tcPr>
                  <w:tcW w:w="855" w:type="dxa"/>
                  <w:tcBorders>
                    <w:top w:val="single" w:sz="4" w:space="0" w:color="auto"/>
                    <w:left w:val="single" w:sz="4" w:space="0" w:color="auto"/>
                    <w:bottom w:val="single" w:sz="4" w:space="0" w:color="auto"/>
                    <w:right w:val="single" w:sz="4" w:space="0" w:color="auto"/>
                  </w:tcBorders>
                  <w:vAlign w:val="center"/>
                  <w:hideMark/>
                </w:tcPr>
                <w:p w:rsidR="001328F2" w:rsidRDefault="001328F2" w:rsidP="001328F2">
                  <w:pPr>
                    <w:spacing w:after="0"/>
                    <w:jc w:val="center"/>
                    <w:rPr>
                      <w:sz w:val="16"/>
                      <w:szCs w:val="16"/>
                      <w:highlight w:val="green"/>
                      <w:lang w:eastAsia="zh-CN"/>
                    </w:rPr>
                  </w:pPr>
                  <w:r>
                    <w:rPr>
                      <w:sz w:val="16"/>
                      <w:szCs w:val="16"/>
                      <w:highlight w:val="green"/>
                      <w:lang w:eastAsia="zh-CN"/>
                    </w:rPr>
                    <w:t>SSB SCS</w:t>
                  </w:r>
                </w:p>
              </w:tc>
              <w:tc>
                <w:tcPr>
                  <w:tcW w:w="855" w:type="dxa"/>
                  <w:tcBorders>
                    <w:top w:val="single" w:sz="4" w:space="0" w:color="auto"/>
                    <w:left w:val="single" w:sz="4" w:space="0" w:color="auto"/>
                    <w:bottom w:val="single" w:sz="4" w:space="0" w:color="auto"/>
                    <w:right w:val="single" w:sz="4" w:space="0" w:color="auto"/>
                  </w:tcBorders>
                  <w:vAlign w:val="center"/>
                  <w:hideMark/>
                </w:tcPr>
                <w:p w:rsidR="001328F2" w:rsidRDefault="001328F2" w:rsidP="001328F2">
                  <w:pPr>
                    <w:spacing w:after="0"/>
                    <w:jc w:val="center"/>
                    <w:rPr>
                      <w:sz w:val="16"/>
                      <w:szCs w:val="16"/>
                      <w:highlight w:val="green"/>
                      <w:lang w:eastAsia="zh-CN"/>
                    </w:rPr>
                  </w:pPr>
                  <w:r>
                    <w:rPr>
                      <w:sz w:val="16"/>
                      <w:szCs w:val="16"/>
                      <w:highlight w:val="green"/>
                      <w:lang w:eastAsia="zh-CN"/>
                    </w:rPr>
                    <w:t>UL SCS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328F2" w:rsidRDefault="001328F2" w:rsidP="001328F2">
                  <w:pPr>
                    <w:spacing w:after="0"/>
                    <w:jc w:val="center"/>
                    <w:rPr>
                      <w:sz w:val="16"/>
                      <w:szCs w:val="16"/>
                      <w:highlight w:val="green"/>
                      <w:lang w:eastAsia="zh-CN"/>
                    </w:rPr>
                  </w:pPr>
                  <w:proofErr w:type="spellStart"/>
                  <w:r>
                    <w:rPr>
                      <w:sz w:val="16"/>
                      <w:szCs w:val="16"/>
                      <w:highlight w:val="green"/>
                      <w:lang w:eastAsia="zh-CN"/>
                    </w:rPr>
                    <w:t>Te</w:t>
                  </w:r>
                  <w:proofErr w:type="spellEnd"/>
                  <w:r>
                    <w:rPr>
                      <w:sz w:val="16"/>
                      <w:szCs w:val="16"/>
                      <w:highlight w:val="green"/>
                      <w:lang w:eastAsia="zh-CN"/>
                    </w:rPr>
                    <w:t xml:space="preserve">/CP Ratio </w:t>
                  </w:r>
                </w:p>
              </w:tc>
            </w:tr>
            <w:tr w:rsidR="001328F2" w:rsidTr="001328F2">
              <w:trPr>
                <w:trHeight w:val="324"/>
              </w:trPr>
              <w:tc>
                <w:tcPr>
                  <w:tcW w:w="855" w:type="dxa"/>
                  <w:tcBorders>
                    <w:top w:val="single" w:sz="4" w:space="0" w:color="auto"/>
                    <w:left w:val="single" w:sz="4" w:space="0" w:color="auto"/>
                    <w:bottom w:val="single" w:sz="4" w:space="0" w:color="auto"/>
                    <w:right w:val="single" w:sz="4" w:space="0" w:color="auto"/>
                  </w:tcBorders>
                  <w:noWrap/>
                  <w:vAlign w:val="center"/>
                  <w:hideMark/>
                </w:tcPr>
                <w:p w:rsidR="001328F2" w:rsidRDefault="001328F2" w:rsidP="001328F2">
                  <w:pPr>
                    <w:spacing w:after="0"/>
                    <w:jc w:val="center"/>
                    <w:rPr>
                      <w:sz w:val="16"/>
                      <w:szCs w:val="16"/>
                      <w:highlight w:val="green"/>
                      <w:lang w:eastAsia="zh-CN"/>
                    </w:rPr>
                  </w:pPr>
                  <w:r>
                    <w:rPr>
                      <w:sz w:val="16"/>
                      <w:szCs w:val="16"/>
                      <w:highlight w:val="green"/>
                      <w:lang w:eastAsia="zh-CN"/>
                    </w:rPr>
                    <w:t>120</w:t>
                  </w:r>
                </w:p>
              </w:tc>
              <w:tc>
                <w:tcPr>
                  <w:tcW w:w="855" w:type="dxa"/>
                  <w:tcBorders>
                    <w:top w:val="single" w:sz="4" w:space="0" w:color="auto"/>
                    <w:left w:val="single" w:sz="4" w:space="0" w:color="auto"/>
                    <w:bottom w:val="single" w:sz="4" w:space="0" w:color="auto"/>
                    <w:right w:val="single" w:sz="4" w:space="0" w:color="auto"/>
                  </w:tcBorders>
                  <w:noWrap/>
                  <w:vAlign w:val="center"/>
                  <w:hideMark/>
                </w:tcPr>
                <w:p w:rsidR="001328F2" w:rsidRDefault="001328F2" w:rsidP="001328F2">
                  <w:pPr>
                    <w:spacing w:after="0"/>
                    <w:jc w:val="center"/>
                    <w:rPr>
                      <w:sz w:val="16"/>
                      <w:szCs w:val="16"/>
                      <w:highlight w:val="green"/>
                      <w:lang w:eastAsia="zh-CN"/>
                    </w:rPr>
                  </w:pPr>
                  <w:r>
                    <w:rPr>
                      <w:sz w:val="16"/>
                      <w:szCs w:val="16"/>
                      <w:highlight w:val="green"/>
                      <w:lang w:eastAsia="zh-CN"/>
                    </w:rPr>
                    <w:t>480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328F2" w:rsidRDefault="001328F2" w:rsidP="001328F2">
                  <w:pPr>
                    <w:spacing w:after="0"/>
                    <w:jc w:val="center"/>
                    <w:rPr>
                      <w:sz w:val="16"/>
                      <w:szCs w:val="16"/>
                      <w:highlight w:val="green"/>
                      <w:lang w:eastAsia="zh-CN"/>
                    </w:rPr>
                  </w:pPr>
                  <w:r>
                    <w:rPr>
                      <w:sz w:val="16"/>
                      <w:szCs w:val="16"/>
                      <w:highlight w:val="green"/>
                      <w:lang w:eastAsia="zh-CN"/>
                    </w:rPr>
                    <w:t>[0.35]</w:t>
                  </w:r>
                </w:p>
              </w:tc>
            </w:tr>
            <w:tr w:rsidR="001328F2" w:rsidTr="001328F2">
              <w:trPr>
                <w:trHeight w:val="324"/>
              </w:trPr>
              <w:tc>
                <w:tcPr>
                  <w:tcW w:w="855" w:type="dxa"/>
                  <w:tcBorders>
                    <w:top w:val="single" w:sz="4" w:space="0" w:color="auto"/>
                    <w:left w:val="single" w:sz="4" w:space="0" w:color="auto"/>
                    <w:bottom w:val="single" w:sz="4" w:space="0" w:color="auto"/>
                    <w:right w:val="single" w:sz="4" w:space="0" w:color="auto"/>
                  </w:tcBorders>
                  <w:noWrap/>
                  <w:vAlign w:val="center"/>
                  <w:hideMark/>
                </w:tcPr>
                <w:p w:rsidR="001328F2" w:rsidRDefault="001328F2" w:rsidP="001328F2">
                  <w:pPr>
                    <w:spacing w:after="0"/>
                    <w:jc w:val="center"/>
                    <w:rPr>
                      <w:sz w:val="16"/>
                      <w:szCs w:val="16"/>
                      <w:highlight w:val="green"/>
                      <w:lang w:eastAsia="zh-CN"/>
                    </w:rPr>
                  </w:pPr>
                  <w:r>
                    <w:rPr>
                      <w:sz w:val="16"/>
                      <w:szCs w:val="16"/>
                      <w:highlight w:val="green"/>
                      <w:lang w:eastAsia="zh-CN"/>
                    </w:rPr>
                    <w:t>480</w:t>
                  </w:r>
                </w:p>
              </w:tc>
              <w:tc>
                <w:tcPr>
                  <w:tcW w:w="855" w:type="dxa"/>
                  <w:tcBorders>
                    <w:top w:val="single" w:sz="4" w:space="0" w:color="auto"/>
                    <w:left w:val="single" w:sz="4" w:space="0" w:color="auto"/>
                    <w:bottom w:val="single" w:sz="4" w:space="0" w:color="auto"/>
                    <w:right w:val="single" w:sz="4" w:space="0" w:color="auto"/>
                  </w:tcBorders>
                  <w:noWrap/>
                  <w:vAlign w:val="center"/>
                  <w:hideMark/>
                </w:tcPr>
                <w:p w:rsidR="001328F2" w:rsidRDefault="001328F2" w:rsidP="001328F2">
                  <w:pPr>
                    <w:spacing w:after="0"/>
                    <w:jc w:val="center"/>
                    <w:rPr>
                      <w:sz w:val="16"/>
                      <w:szCs w:val="16"/>
                      <w:highlight w:val="green"/>
                      <w:lang w:eastAsia="zh-CN"/>
                    </w:rPr>
                  </w:pPr>
                  <w:r>
                    <w:rPr>
                      <w:sz w:val="16"/>
                      <w:szCs w:val="16"/>
                      <w:highlight w:val="green"/>
                      <w:lang w:eastAsia="zh-CN"/>
                    </w:rPr>
                    <w:t>480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328F2" w:rsidRDefault="001328F2" w:rsidP="001328F2">
                  <w:pPr>
                    <w:spacing w:after="0"/>
                    <w:jc w:val="center"/>
                    <w:rPr>
                      <w:sz w:val="16"/>
                      <w:szCs w:val="16"/>
                      <w:highlight w:val="green"/>
                      <w:lang w:eastAsia="zh-CN"/>
                    </w:rPr>
                  </w:pPr>
                  <w:r>
                    <w:rPr>
                      <w:sz w:val="16"/>
                      <w:szCs w:val="16"/>
                      <w:highlight w:val="green"/>
                      <w:lang w:eastAsia="zh-CN"/>
                    </w:rPr>
                    <w:t>[0.30]</w:t>
                  </w:r>
                </w:p>
              </w:tc>
            </w:tr>
            <w:tr w:rsidR="001328F2" w:rsidTr="001328F2">
              <w:trPr>
                <w:trHeight w:val="324"/>
              </w:trPr>
              <w:tc>
                <w:tcPr>
                  <w:tcW w:w="855" w:type="dxa"/>
                  <w:tcBorders>
                    <w:top w:val="single" w:sz="4" w:space="0" w:color="auto"/>
                    <w:left w:val="single" w:sz="4" w:space="0" w:color="auto"/>
                    <w:bottom w:val="single" w:sz="4" w:space="0" w:color="auto"/>
                    <w:right w:val="single" w:sz="4" w:space="0" w:color="auto"/>
                  </w:tcBorders>
                  <w:noWrap/>
                  <w:vAlign w:val="center"/>
                  <w:hideMark/>
                </w:tcPr>
                <w:p w:rsidR="001328F2" w:rsidRDefault="001328F2" w:rsidP="001328F2">
                  <w:pPr>
                    <w:spacing w:after="0"/>
                    <w:jc w:val="center"/>
                    <w:rPr>
                      <w:sz w:val="16"/>
                      <w:szCs w:val="16"/>
                      <w:highlight w:val="green"/>
                      <w:lang w:eastAsia="zh-CN"/>
                    </w:rPr>
                  </w:pPr>
                  <w:r>
                    <w:rPr>
                      <w:sz w:val="16"/>
                      <w:szCs w:val="16"/>
                      <w:highlight w:val="green"/>
                      <w:lang w:eastAsia="zh-CN"/>
                    </w:rPr>
                    <w:t>960</w:t>
                  </w:r>
                </w:p>
              </w:tc>
              <w:tc>
                <w:tcPr>
                  <w:tcW w:w="855" w:type="dxa"/>
                  <w:tcBorders>
                    <w:top w:val="single" w:sz="4" w:space="0" w:color="auto"/>
                    <w:left w:val="single" w:sz="4" w:space="0" w:color="auto"/>
                    <w:bottom w:val="single" w:sz="4" w:space="0" w:color="auto"/>
                    <w:right w:val="single" w:sz="4" w:space="0" w:color="auto"/>
                  </w:tcBorders>
                  <w:noWrap/>
                  <w:vAlign w:val="center"/>
                  <w:hideMark/>
                </w:tcPr>
                <w:p w:rsidR="001328F2" w:rsidRDefault="001328F2" w:rsidP="001328F2">
                  <w:pPr>
                    <w:spacing w:after="0"/>
                    <w:jc w:val="center"/>
                    <w:rPr>
                      <w:sz w:val="16"/>
                      <w:szCs w:val="16"/>
                      <w:highlight w:val="green"/>
                      <w:lang w:eastAsia="zh-CN"/>
                    </w:rPr>
                  </w:pPr>
                  <w:r>
                    <w:rPr>
                      <w:sz w:val="16"/>
                      <w:szCs w:val="16"/>
                      <w:highlight w:val="green"/>
                      <w:lang w:eastAsia="zh-CN"/>
                    </w:rPr>
                    <w:t>480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328F2" w:rsidRDefault="001328F2" w:rsidP="001328F2">
                  <w:pPr>
                    <w:spacing w:after="0"/>
                    <w:jc w:val="center"/>
                    <w:rPr>
                      <w:sz w:val="16"/>
                      <w:szCs w:val="16"/>
                      <w:highlight w:val="green"/>
                      <w:lang w:eastAsia="zh-CN"/>
                    </w:rPr>
                  </w:pPr>
                  <w:r>
                    <w:rPr>
                      <w:sz w:val="16"/>
                      <w:szCs w:val="16"/>
                      <w:highlight w:val="green"/>
                      <w:lang w:eastAsia="zh-CN"/>
                    </w:rPr>
                    <w:t>[0.25]</w:t>
                  </w:r>
                </w:p>
              </w:tc>
            </w:tr>
          </w:tbl>
          <w:p w:rsidR="001328F2" w:rsidRDefault="001328F2" w:rsidP="001328F2">
            <w:pPr>
              <w:rPr>
                <w:highlight w:val="green"/>
                <w:lang w:val="en-US" w:eastAsia="ja-JP" w:bidi="hi-IN"/>
              </w:rPr>
            </w:pPr>
          </w:p>
          <w:p w:rsidR="001328F2" w:rsidRDefault="001328F2" w:rsidP="001328F2">
            <w:pPr>
              <w:numPr>
                <w:ilvl w:val="1"/>
                <w:numId w:val="37"/>
              </w:numPr>
              <w:autoSpaceDN w:val="0"/>
              <w:rPr>
                <w:highlight w:val="green"/>
                <w:lang w:val="en-US" w:eastAsia="ja-JP" w:bidi="hi-IN"/>
              </w:rPr>
            </w:pPr>
            <w:r>
              <w:rPr>
                <w:highlight w:val="green"/>
                <w:lang w:val="en-US" w:eastAsia="ja-JP" w:bidi="hi-IN"/>
              </w:rPr>
              <w:t>For X = 40ms</w:t>
            </w:r>
          </w:p>
          <w:tbl>
            <w:tblPr>
              <w:tblStyle w:val="Tabellengitternetz1"/>
              <w:tblW w:w="2857" w:type="dxa"/>
              <w:tblInd w:w="1458" w:type="dxa"/>
              <w:tblLook w:val="04A0" w:firstRow="1" w:lastRow="0" w:firstColumn="1" w:lastColumn="0" w:noHBand="0" w:noVBand="1"/>
            </w:tblPr>
            <w:tblGrid>
              <w:gridCol w:w="855"/>
              <w:gridCol w:w="855"/>
              <w:gridCol w:w="1147"/>
            </w:tblGrid>
            <w:tr w:rsidR="001328F2" w:rsidTr="001328F2">
              <w:trPr>
                <w:trHeight w:val="324"/>
              </w:trPr>
              <w:tc>
                <w:tcPr>
                  <w:tcW w:w="855" w:type="dxa"/>
                  <w:tcBorders>
                    <w:top w:val="single" w:sz="4" w:space="0" w:color="auto"/>
                    <w:left w:val="single" w:sz="4" w:space="0" w:color="auto"/>
                    <w:bottom w:val="single" w:sz="4" w:space="0" w:color="auto"/>
                    <w:right w:val="single" w:sz="4" w:space="0" w:color="auto"/>
                  </w:tcBorders>
                  <w:vAlign w:val="center"/>
                  <w:hideMark/>
                </w:tcPr>
                <w:p w:rsidR="001328F2" w:rsidRDefault="001328F2" w:rsidP="001328F2">
                  <w:pPr>
                    <w:spacing w:after="0"/>
                    <w:jc w:val="center"/>
                    <w:rPr>
                      <w:sz w:val="16"/>
                      <w:szCs w:val="16"/>
                      <w:highlight w:val="green"/>
                      <w:lang w:eastAsia="zh-CN"/>
                    </w:rPr>
                  </w:pPr>
                  <w:r>
                    <w:rPr>
                      <w:sz w:val="16"/>
                      <w:szCs w:val="16"/>
                      <w:highlight w:val="green"/>
                      <w:lang w:eastAsia="zh-CN"/>
                    </w:rPr>
                    <w:t>SSB SCS</w:t>
                  </w:r>
                </w:p>
              </w:tc>
              <w:tc>
                <w:tcPr>
                  <w:tcW w:w="855" w:type="dxa"/>
                  <w:tcBorders>
                    <w:top w:val="single" w:sz="4" w:space="0" w:color="auto"/>
                    <w:left w:val="single" w:sz="4" w:space="0" w:color="auto"/>
                    <w:bottom w:val="single" w:sz="4" w:space="0" w:color="auto"/>
                    <w:right w:val="single" w:sz="4" w:space="0" w:color="auto"/>
                  </w:tcBorders>
                  <w:vAlign w:val="center"/>
                  <w:hideMark/>
                </w:tcPr>
                <w:p w:rsidR="001328F2" w:rsidRDefault="001328F2" w:rsidP="001328F2">
                  <w:pPr>
                    <w:spacing w:after="0"/>
                    <w:jc w:val="center"/>
                    <w:rPr>
                      <w:sz w:val="16"/>
                      <w:szCs w:val="16"/>
                      <w:highlight w:val="green"/>
                      <w:lang w:eastAsia="zh-CN"/>
                    </w:rPr>
                  </w:pPr>
                  <w:r>
                    <w:rPr>
                      <w:sz w:val="16"/>
                      <w:szCs w:val="16"/>
                      <w:highlight w:val="green"/>
                      <w:lang w:eastAsia="zh-CN"/>
                    </w:rPr>
                    <w:t>UL SCS</w:t>
                  </w:r>
                </w:p>
              </w:tc>
              <w:tc>
                <w:tcPr>
                  <w:tcW w:w="1147" w:type="dxa"/>
                  <w:tcBorders>
                    <w:top w:val="single" w:sz="4" w:space="0" w:color="auto"/>
                    <w:left w:val="single" w:sz="4" w:space="0" w:color="auto"/>
                    <w:bottom w:val="single" w:sz="4" w:space="0" w:color="auto"/>
                    <w:right w:val="single" w:sz="4" w:space="0" w:color="auto"/>
                  </w:tcBorders>
                  <w:vAlign w:val="center"/>
                  <w:hideMark/>
                </w:tcPr>
                <w:p w:rsidR="001328F2" w:rsidRDefault="001328F2" w:rsidP="001328F2">
                  <w:pPr>
                    <w:spacing w:after="0"/>
                    <w:jc w:val="center"/>
                    <w:rPr>
                      <w:sz w:val="16"/>
                      <w:szCs w:val="16"/>
                      <w:highlight w:val="green"/>
                      <w:lang w:eastAsia="zh-CN"/>
                    </w:rPr>
                  </w:pPr>
                  <w:proofErr w:type="spellStart"/>
                  <w:r>
                    <w:rPr>
                      <w:sz w:val="16"/>
                      <w:szCs w:val="16"/>
                      <w:highlight w:val="green"/>
                      <w:lang w:eastAsia="zh-CN"/>
                    </w:rPr>
                    <w:t>Te</w:t>
                  </w:r>
                  <w:proofErr w:type="spellEnd"/>
                  <w:r>
                    <w:rPr>
                      <w:sz w:val="16"/>
                      <w:szCs w:val="16"/>
                      <w:highlight w:val="green"/>
                      <w:lang w:eastAsia="zh-CN"/>
                    </w:rPr>
                    <w:t>/CP Ratio</w:t>
                  </w:r>
                </w:p>
              </w:tc>
            </w:tr>
            <w:tr w:rsidR="001328F2" w:rsidTr="001328F2">
              <w:trPr>
                <w:trHeight w:val="324"/>
              </w:trPr>
              <w:tc>
                <w:tcPr>
                  <w:tcW w:w="855" w:type="dxa"/>
                  <w:tcBorders>
                    <w:top w:val="single" w:sz="4" w:space="0" w:color="auto"/>
                    <w:left w:val="single" w:sz="4" w:space="0" w:color="auto"/>
                    <w:bottom w:val="single" w:sz="4" w:space="0" w:color="auto"/>
                    <w:right w:val="single" w:sz="4" w:space="0" w:color="auto"/>
                  </w:tcBorders>
                  <w:noWrap/>
                  <w:vAlign w:val="center"/>
                  <w:hideMark/>
                </w:tcPr>
                <w:p w:rsidR="001328F2" w:rsidRDefault="001328F2" w:rsidP="001328F2">
                  <w:pPr>
                    <w:spacing w:after="0"/>
                    <w:jc w:val="center"/>
                    <w:rPr>
                      <w:sz w:val="16"/>
                      <w:szCs w:val="16"/>
                      <w:highlight w:val="green"/>
                      <w:lang w:eastAsia="zh-CN"/>
                    </w:rPr>
                  </w:pPr>
                  <w:r>
                    <w:rPr>
                      <w:sz w:val="16"/>
                      <w:szCs w:val="16"/>
                      <w:highlight w:val="green"/>
                      <w:lang w:eastAsia="zh-CN"/>
                    </w:rPr>
                    <w:t>480</w:t>
                  </w:r>
                </w:p>
              </w:tc>
              <w:tc>
                <w:tcPr>
                  <w:tcW w:w="855" w:type="dxa"/>
                  <w:tcBorders>
                    <w:top w:val="single" w:sz="4" w:space="0" w:color="auto"/>
                    <w:left w:val="single" w:sz="4" w:space="0" w:color="auto"/>
                    <w:bottom w:val="single" w:sz="4" w:space="0" w:color="auto"/>
                    <w:right w:val="single" w:sz="4" w:space="0" w:color="auto"/>
                  </w:tcBorders>
                  <w:noWrap/>
                  <w:vAlign w:val="center"/>
                  <w:hideMark/>
                </w:tcPr>
                <w:p w:rsidR="001328F2" w:rsidRDefault="001328F2" w:rsidP="001328F2">
                  <w:pPr>
                    <w:spacing w:after="0"/>
                    <w:jc w:val="center"/>
                    <w:rPr>
                      <w:sz w:val="16"/>
                      <w:szCs w:val="16"/>
                      <w:highlight w:val="green"/>
                      <w:lang w:eastAsia="zh-CN"/>
                    </w:rPr>
                  </w:pPr>
                  <w:r>
                    <w:rPr>
                      <w:sz w:val="16"/>
                      <w:szCs w:val="16"/>
                      <w:highlight w:val="green"/>
                      <w:lang w:eastAsia="zh-CN"/>
                    </w:rPr>
                    <w:t>960</w:t>
                  </w:r>
                </w:p>
              </w:tc>
              <w:tc>
                <w:tcPr>
                  <w:tcW w:w="1147" w:type="dxa"/>
                  <w:tcBorders>
                    <w:top w:val="single" w:sz="4" w:space="0" w:color="auto"/>
                    <w:left w:val="single" w:sz="4" w:space="0" w:color="auto"/>
                    <w:bottom w:val="single" w:sz="4" w:space="0" w:color="auto"/>
                    <w:right w:val="single" w:sz="4" w:space="0" w:color="auto"/>
                  </w:tcBorders>
                  <w:vAlign w:val="center"/>
                  <w:hideMark/>
                </w:tcPr>
                <w:p w:rsidR="001328F2" w:rsidRDefault="001328F2" w:rsidP="001328F2">
                  <w:pPr>
                    <w:spacing w:after="0"/>
                    <w:jc w:val="center"/>
                    <w:rPr>
                      <w:sz w:val="16"/>
                      <w:szCs w:val="16"/>
                      <w:highlight w:val="green"/>
                      <w:lang w:eastAsia="zh-CN"/>
                    </w:rPr>
                  </w:pPr>
                  <w:r>
                    <w:rPr>
                      <w:sz w:val="16"/>
                      <w:szCs w:val="16"/>
                      <w:highlight w:val="green"/>
                      <w:lang w:eastAsia="zh-CN"/>
                    </w:rPr>
                    <w:t>[0.40]</w:t>
                  </w:r>
                </w:p>
              </w:tc>
            </w:tr>
            <w:tr w:rsidR="001328F2" w:rsidTr="001328F2">
              <w:trPr>
                <w:trHeight w:val="324"/>
              </w:trPr>
              <w:tc>
                <w:tcPr>
                  <w:tcW w:w="855" w:type="dxa"/>
                  <w:tcBorders>
                    <w:top w:val="single" w:sz="4" w:space="0" w:color="auto"/>
                    <w:left w:val="single" w:sz="4" w:space="0" w:color="auto"/>
                    <w:bottom w:val="single" w:sz="4" w:space="0" w:color="auto"/>
                    <w:right w:val="single" w:sz="4" w:space="0" w:color="auto"/>
                  </w:tcBorders>
                  <w:noWrap/>
                  <w:vAlign w:val="center"/>
                  <w:hideMark/>
                </w:tcPr>
                <w:p w:rsidR="001328F2" w:rsidRDefault="001328F2" w:rsidP="001328F2">
                  <w:pPr>
                    <w:spacing w:after="0"/>
                    <w:jc w:val="center"/>
                    <w:rPr>
                      <w:sz w:val="16"/>
                      <w:szCs w:val="16"/>
                      <w:highlight w:val="green"/>
                      <w:lang w:eastAsia="zh-CN"/>
                    </w:rPr>
                  </w:pPr>
                  <w:r>
                    <w:rPr>
                      <w:sz w:val="16"/>
                      <w:szCs w:val="16"/>
                      <w:highlight w:val="green"/>
                      <w:lang w:eastAsia="zh-CN"/>
                    </w:rPr>
                    <w:t>960</w:t>
                  </w:r>
                </w:p>
              </w:tc>
              <w:tc>
                <w:tcPr>
                  <w:tcW w:w="855" w:type="dxa"/>
                  <w:tcBorders>
                    <w:top w:val="single" w:sz="4" w:space="0" w:color="auto"/>
                    <w:left w:val="single" w:sz="4" w:space="0" w:color="auto"/>
                    <w:bottom w:val="single" w:sz="4" w:space="0" w:color="auto"/>
                    <w:right w:val="single" w:sz="4" w:space="0" w:color="auto"/>
                  </w:tcBorders>
                  <w:noWrap/>
                  <w:vAlign w:val="center"/>
                  <w:hideMark/>
                </w:tcPr>
                <w:p w:rsidR="001328F2" w:rsidRDefault="001328F2" w:rsidP="001328F2">
                  <w:pPr>
                    <w:spacing w:after="0"/>
                    <w:jc w:val="center"/>
                    <w:rPr>
                      <w:sz w:val="16"/>
                      <w:szCs w:val="16"/>
                      <w:highlight w:val="green"/>
                      <w:lang w:eastAsia="zh-CN"/>
                    </w:rPr>
                  </w:pPr>
                  <w:r>
                    <w:rPr>
                      <w:sz w:val="16"/>
                      <w:szCs w:val="16"/>
                      <w:highlight w:val="green"/>
                      <w:lang w:eastAsia="zh-CN"/>
                    </w:rPr>
                    <w:t>960</w:t>
                  </w:r>
                </w:p>
              </w:tc>
              <w:tc>
                <w:tcPr>
                  <w:tcW w:w="1147" w:type="dxa"/>
                  <w:tcBorders>
                    <w:top w:val="single" w:sz="4" w:space="0" w:color="auto"/>
                    <w:left w:val="single" w:sz="4" w:space="0" w:color="auto"/>
                    <w:bottom w:val="single" w:sz="4" w:space="0" w:color="auto"/>
                    <w:right w:val="single" w:sz="4" w:space="0" w:color="auto"/>
                  </w:tcBorders>
                  <w:vAlign w:val="center"/>
                  <w:hideMark/>
                </w:tcPr>
                <w:p w:rsidR="001328F2" w:rsidRDefault="001328F2" w:rsidP="001328F2">
                  <w:pPr>
                    <w:spacing w:after="0"/>
                    <w:jc w:val="center"/>
                    <w:rPr>
                      <w:sz w:val="16"/>
                      <w:szCs w:val="16"/>
                      <w:lang w:eastAsia="zh-CN"/>
                    </w:rPr>
                  </w:pPr>
                  <w:r>
                    <w:rPr>
                      <w:sz w:val="16"/>
                      <w:szCs w:val="16"/>
                      <w:highlight w:val="green"/>
                      <w:lang w:eastAsia="zh-CN"/>
                    </w:rPr>
                    <w:t>[0.38]</w:t>
                  </w:r>
                </w:p>
              </w:tc>
            </w:tr>
          </w:tbl>
          <w:p w:rsidR="001328F2" w:rsidRDefault="001328F2" w:rsidP="001328F2">
            <w:pPr>
              <w:rPr>
                <w:highlight w:val="green"/>
                <w:lang w:val="en-US" w:eastAsia="ja-JP" w:bidi="hi-IN"/>
              </w:rPr>
            </w:pPr>
          </w:p>
          <w:p w:rsidR="001328F2" w:rsidRDefault="001328F2" w:rsidP="001328F2">
            <w:pPr>
              <w:numPr>
                <w:ilvl w:val="1"/>
                <w:numId w:val="37"/>
              </w:numPr>
              <w:autoSpaceDN w:val="0"/>
              <w:rPr>
                <w:highlight w:val="green"/>
                <w:lang w:val="en-US" w:eastAsia="ja-JP" w:bidi="hi-IN"/>
              </w:rPr>
            </w:pPr>
            <w:r>
              <w:rPr>
                <w:highlight w:val="green"/>
                <w:lang w:val="en-US" w:eastAsia="ja-JP" w:bidi="hi-IN"/>
              </w:rPr>
              <w:t xml:space="preserve">Test cases for </w:t>
            </w:r>
            <w:proofErr w:type="spellStart"/>
            <w:r>
              <w:rPr>
                <w:highlight w:val="green"/>
                <w:lang w:val="en-US" w:eastAsia="ja-JP" w:bidi="hi-IN"/>
              </w:rPr>
              <w:t>Te</w:t>
            </w:r>
            <w:proofErr w:type="spellEnd"/>
            <w:r>
              <w:rPr>
                <w:highlight w:val="green"/>
                <w:lang w:val="en-US" w:eastAsia="ja-JP" w:bidi="hi-IN"/>
              </w:rPr>
              <w:t xml:space="preserve"> requirements for FR2-2 will be designed as having statistical nature</w:t>
            </w:r>
          </w:p>
          <w:p w:rsidR="001328F2" w:rsidRDefault="001328F2" w:rsidP="001328F2">
            <w:pPr>
              <w:numPr>
                <w:ilvl w:val="2"/>
                <w:numId w:val="37"/>
              </w:numPr>
              <w:autoSpaceDN w:val="0"/>
              <w:rPr>
                <w:highlight w:val="green"/>
                <w:lang w:val="en-US" w:eastAsia="ja-JP" w:bidi="hi-IN"/>
              </w:rPr>
            </w:pPr>
            <w:r>
              <w:rPr>
                <w:highlight w:val="green"/>
                <w:lang w:val="en-US" w:eastAsia="ja-JP" w:bidi="hi-IN"/>
              </w:rPr>
              <w:t xml:space="preserve">Option 1: The rate of UE meeting the </w:t>
            </w:r>
            <w:proofErr w:type="spellStart"/>
            <w:r>
              <w:rPr>
                <w:highlight w:val="green"/>
                <w:lang w:val="en-US" w:eastAsia="ja-JP" w:bidi="hi-IN"/>
              </w:rPr>
              <w:t>Te</w:t>
            </w:r>
            <w:proofErr w:type="spellEnd"/>
            <w:r>
              <w:rPr>
                <w:highlight w:val="green"/>
                <w:lang w:val="en-US" w:eastAsia="ja-JP" w:bidi="hi-IN"/>
              </w:rPr>
              <w:t xml:space="preserve"> requirement observed during repeated tests shall be at least [90%].</w:t>
            </w:r>
          </w:p>
          <w:p w:rsidR="001328F2" w:rsidRDefault="001328F2" w:rsidP="001328F2">
            <w:pPr>
              <w:rPr>
                <w:b/>
                <w:bCs/>
                <w:u w:val="single"/>
                <w:lang w:val="en-US" w:eastAsia="ja-JP" w:bidi="hi-IN"/>
              </w:rPr>
            </w:pPr>
          </w:p>
          <w:p w:rsidR="001328F2" w:rsidRDefault="001328F2" w:rsidP="001328F2">
            <w:pPr>
              <w:rPr>
                <w:b/>
                <w:bCs/>
                <w:u w:val="single"/>
                <w:lang w:val="en-US" w:eastAsia="ja-JP" w:bidi="hi-IN"/>
              </w:rPr>
            </w:pPr>
            <w:r>
              <w:rPr>
                <w:b/>
                <w:bCs/>
                <w:u w:val="single"/>
                <w:lang w:val="en-US" w:eastAsia="ja-JP" w:bidi="hi-IN"/>
              </w:rPr>
              <w:t xml:space="preserve">UE implementation margin to be considered in </w:t>
            </w:r>
            <w:proofErr w:type="spellStart"/>
            <w:r>
              <w:rPr>
                <w:b/>
                <w:bCs/>
                <w:u w:val="single"/>
                <w:lang w:val="en-US" w:eastAsia="ja-JP" w:bidi="hi-IN"/>
              </w:rPr>
              <w:t>Te</w:t>
            </w:r>
            <w:proofErr w:type="spellEnd"/>
            <w:r>
              <w:rPr>
                <w:b/>
                <w:bCs/>
                <w:u w:val="single"/>
                <w:lang w:val="en-US" w:eastAsia="ja-JP" w:bidi="hi-IN"/>
              </w:rPr>
              <w:t xml:space="preserve"> requirements </w:t>
            </w:r>
          </w:p>
          <w:p w:rsidR="001328F2" w:rsidRDefault="001328F2" w:rsidP="001328F2">
            <w:pPr>
              <w:pStyle w:val="ListParagraph"/>
              <w:numPr>
                <w:ilvl w:val="0"/>
                <w:numId w:val="37"/>
              </w:numPr>
              <w:overflowPunct w:val="0"/>
              <w:autoSpaceDE w:val="0"/>
              <w:autoSpaceDN w:val="0"/>
              <w:adjustRightInd w:val="0"/>
              <w:spacing w:before="120" w:after="120"/>
              <w:ind w:firstLineChars="0"/>
              <w:contextualSpacing/>
              <w:rPr>
                <w:rFonts w:eastAsiaTheme="minorEastAsia"/>
                <w:iCs/>
                <w:highlight w:val="cyan"/>
                <w:lang w:val="en-US" w:eastAsia="zh-CN"/>
              </w:rPr>
            </w:pPr>
            <w:r>
              <w:rPr>
                <w:rFonts w:eastAsiaTheme="minorEastAsia"/>
                <w:iCs/>
                <w:highlight w:val="cyan"/>
                <w:lang w:val="en-US" w:eastAsia="zh-CN"/>
              </w:rPr>
              <w:t xml:space="preserve">A UE implementation margin of </w:t>
            </w:r>
            <w:r>
              <w:rPr>
                <w:rFonts w:eastAsiaTheme="minorEastAsia"/>
                <w:b/>
                <w:bCs/>
                <w:iCs/>
                <w:highlight w:val="cyan"/>
                <w:u w:val="single"/>
                <w:lang w:val="en-US" w:eastAsia="zh-CN"/>
              </w:rPr>
              <w:t>at-least</w:t>
            </w:r>
            <w:r>
              <w:rPr>
                <w:rFonts w:eastAsiaTheme="minorEastAsia"/>
                <w:iCs/>
                <w:highlight w:val="cyan"/>
                <w:lang w:val="en-US" w:eastAsia="zh-CN"/>
              </w:rPr>
              <w:t xml:space="preserve"> </w:t>
            </w:r>
            <w:proofErr w:type="spellStart"/>
            <w:r>
              <w:rPr>
                <w:szCs w:val="24"/>
                <w:highlight w:val="cyan"/>
                <w:lang w:eastAsia="zh-CN"/>
              </w:rPr>
              <w:t>e</w:t>
            </w:r>
            <w:r>
              <w:rPr>
                <w:szCs w:val="24"/>
                <w:highlight w:val="cyan"/>
                <w:vertAlign w:val="subscript"/>
                <w:lang w:eastAsia="zh-CN"/>
              </w:rPr>
              <w:t>DRIFT</w:t>
            </w:r>
            <w:proofErr w:type="spellEnd"/>
            <w:r>
              <w:rPr>
                <w:szCs w:val="24"/>
                <w:highlight w:val="cyan"/>
                <w:lang w:eastAsia="zh-CN"/>
              </w:rPr>
              <w:t xml:space="preserve"> + </w:t>
            </w:r>
            <w:proofErr w:type="spellStart"/>
            <w:r>
              <w:rPr>
                <w:szCs w:val="24"/>
                <w:highlight w:val="cyan"/>
                <w:lang w:eastAsia="zh-CN"/>
              </w:rPr>
              <w:t>e</w:t>
            </w:r>
            <w:r>
              <w:rPr>
                <w:szCs w:val="24"/>
                <w:highlight w:val="cyan"/>
                <w:vertAlign w:val="subscript"/>
                <w:lang w:eastAsia="zh-CN"/>
              </w:rPr>
              <w:t>DAC</w:t>
            </w:r>
            <w:proofErr w:type="spellEnd"/>
            <w:r>
              <w:rPr>
                <w:szCs w:val="24"/>
                <w:highlight w:val="cyan"/>
                <w:lang w:eastAsia="zh-CN"/>
              </w:rPr>
              <w:t xml:space="preserve"> is needed in addition to the DL timing estimation uncertainty of </w:t>
            </w:r>
            <w:proofErr w:type="spellStart"/>
            <w:r>
              <w:rPr>
                <w:szCs w:val="24"/>
                <w:highlight w:val="cyan"/>
                <w:lang w:eastAsia="zh-CN"/>
              </w:rPr>
              <w:t>e</w:t>
            </w:r>
            <w:r>
              <w:rPr>
                <w:szCs w:val="24"/>
                <w:highlight w:val="cyan"/>
                <w:vertAlign w:val="subscript"/>
                <w:lang w:eastAsia="zh-CN"/>
              </w:rPr>
              <w:t>RS</w:t>
            </w:r>
            <w:proofErr w:type="spellEnd"/>
          </w:p>
          <w:p w:rsidR="001328F2" w:rsidRDefault="001328F2" w:rsidP="001328F2">
            <w:pPr>
              <w:pStyle w:val="ListParagraph"/>
              <w:numPr>
                <w:ilvl w:val="1"/>
                <w:numId w:val="37"/>
              </w:numPr>
              <w:overflowPunct w:val="0"/>
              <w:autoSpaceDE w:val="0"/>
              <w:autoSpaceDN w:val="0"/>
              <w:adjustRightInd w:val="0"/>
              <w:spacing w:before="120" w:after="120"/>
              <w:ind w:firstLineChars="0"/>
              <w:contextualSpacing/>
              <w:rPr>
                <w:rFonts w:eastAsiaTheme="minorEastAsia"/>
                <w:iCs/>
                <w:lang w:val="en-US" w:eastAsia="zh-CN"/>
              </w:rPr>
            </w:pPr>
            <w:r>
              <w:rPr>
                <w:rFonts w:eastAsiaTheme="minorEastAsia"/>
                <w:iCs/>
                <w:lang w:val="en-US" w:eastAsia="zh-CN"/>
              </w:rPr>
              <w:t xml:space="preserve">FFS if </w:t>
            </w:r>
            <w:proofErr w:type="spellStart"/>
            <w:r>
              <w:rPr>
                <w:szCs w:val="24"/>
                <w:lang w:eastAsia="zh-CN"/>
              </w:rPr>
              <w:t>e</w:t>
            </w:r>
            <w:r>
              <w:rPr>
                <w:szCs w:val="24"/>
                <w:vertAlign w:val="subscript"/>
                <w:lang w:eastAsia="zh-CN"/>
              </w:rPr>
              <w:t>RF_Calibration</w:t>
            </w:r>
            <w:proofErr w:type="spellEnd"/>
            <w:r>
              <w:rPr>
                <w:szCs w:val="24"/>
                <w:lang w:eastAsia="zh-CN"/>
              </w:rPr>
              <w:t xml:space="preserve"> should be considered as part of the core requirements</w:t>
            </w:r>
          </w:p>
          <w:p w:rsidR="001328F2" w:rsidRDefault="001328F2" w:rsidP="001328F2">
            <w:pPr>
              <w:rPr>
                <w:rFonts w:eastAsiaTheme="minorEastAsia"/>
                <w:iCs/>
                <w:lang w:val="en-US" w:eastAsia="zh-CN"/>
              </w:rPr>
            </w:pPr>
          </w:p>
          <w:p w:rsidR="001328F2" w:rsidRDefault="001328F2" w:rsidP="001328F2">
            <w:pPr>
              <w:rPr>
                <w:rFonts w:eastAsia="宋体"/>
                <w:b/>
                <w:bCs/>
                <w:u w:val="single"/>
                <w:lang w:val="en-US" w:eastAsia="ja-JP" w:bidi="hi-IN"/>
              </w:rPr>
            </w:pPr>
            <w:r>
              <w:rPr>
                <w:b/>
                <w:bCs/>
                <w:u w:val="single"/>
                <w:lang w:val="en-US" w:eastAsia="ja-JP" w:bidi="hi-IN"/>
              </w:rPr>
              <w:t>SSB and UL SCS combinations</w:t>
            </w:r>
          </w:p>
          <w:p w:rsidR="001328F2" w:rsidRDefault="001328F2" w:rsidP="001328F2">
            <w:pPr>
              <w:pStyle w:val="ListParagraph"/>
              <w:numPr>
                <w:ilvl w:val="0"/>
                <w:numId w:val="37"/>
              </w:numPr>
              <w:overflowPunct w:val="0"/>
              <w:autoSpaceDE w:val="0"/>
              <w:autoSpaceDN w:val="0"/>
              <w:adjustRightInd w:val="0"/>
              <w:spacing w:before="120" w:after="120"/>
              <w:ind w:firstLineChars="0"/>
              <w:contextualSpacing/>
              <w:rPr>
                <w:rFonts w:eastAsia="等线"/>
                <w:iCs/>
                <w:highlight w:val="cyan"/>
                <w:lang w:val="en-US" w:eastAsia="zh-CN"/>
              </w:rPr>
            </w:pPr>
            <w:r>
              <w:rPr>
                <w:rFonts w:eastAsia="等线"/>
                <w:iCs/>
                <w:highlight w:val="cyan"/>
                <w:lang w:val="en-US" w:eastAsia="zh-CN"/>
              </w:rPr>
              <w:t xml:space="preserve">Define the requirements for SSB SCS of </w:t>
            </w:r>
            <w:proofErr w:type="gramStart"/>
            <w:r>
              <w:rPr>
                <w:rFonts w:eastAsia="等线"/>
                <w:iCs/>
                <w:highlight w:val="cyan"/>
                <w:lang w:val="en-US" w:eastAsia="zh-CN"/>
              </w:rPr>
              <w:t>120kHz</w:t>
            </w:r>
            <w:proofErr w:type="gramEnd"/>
            <w:r>
              <w:rPr>
                <w:rFonts w:eastAsia="等线"/>
                <w:iCs/>
                <w:highlight w:val="cyan"/>
                <w:lang w:val="en-US" w:eastAsia="zh-CN"/>
              </w:rPr>
              <w:t xml:space="preserve"> and UL SCS of 480kHz.</w:t>
            </w:r>
          </w:p>
          <w:p w:rsidR="001328F2" w:rsidRDefault="001328F2" w:rsidP="001328F2">
            <w:pPr>
              <w:pStyle w:val="ListParagraph"/>
              <w:numPr>
                <w:ilvl w:val="0"/>
                <w:numId w:val="37"/>
              </w:numPr>
              <w:overflowPunct w:val="0"/>
              <w:autoSpaceDE w:val="0"/>
              <w:autoSpaceDN w:val="0"/>
              <w:adjustRightInd w:val="0"/>
              <w:spacing w:before="120" w:after="120"/>
              <w:ind w:firstLineChars="0"/>
              <w:contextualSpacing/>
              <w:rPr>
                <w:rFonts w:eastAsia="等线"/>
                <w:iCs/>
                <w:highlight w:val="cyan"/>
                <w:lang w:val="en-US" w:eastAsia="zh-CN"/>
              </w:rPr>
            </w:pPr>
            <w:r>
              <w:rPr>
                <w:rFonts w:eastAsia="等线"/>
                <w:iCs/>
                <w:highlight w:val="cyan"/>
                <w:lang w:val="en-US" w:eastAsia="zh-CN"/>
              </w:rPr>
              <w:t xml:space="preserve">Do not define the requirements for SSB SCS </w:t>
            </w:r>
            <w:proofErr w:type="gramStart"/>
            <w:r>
              <w:rPr>
                <w:rFonts w:eastAsia="等线"/>
                <w:iCs/>
                <w:highlight w:val="cyan"/>
                <w:lang w:val="en-US" w:eastAsia="zh-CN"/>
              </w:rPr>
              <w:t>120kHz</w:t>
            </w:r>
            <w:proofErr w:type="gramEnd"/>
            <w:r>
              <w:rPr>
                <w:rFonts w:eastAsia="等线"/>
                <w:iCs/>
                <w:highlight w:val="cyan"/>
                <w:lang w:val="en-US" w:eastAsia="zh-CN"/>
              </w:rPr>
              <w:t xml:space="preserve"> and UL SCS of 960kHz.</w:t>
            </w:r>
          </w:p>
          <w:p w:rsidR="001328F2" w:rsidRDefault="001328F2" w:rsidP="001328F2">
            <w:pPr>
              <w:pStyle w:val="ListParagraph"/>
              <w:numPr>
                <w:ilvl w:val="0"/>
                <w:numId w:val="37"/>
              </w:numPr>
              <w:overflowPunct w:val="0"/>
              <w:autoSpaceDE w:val="0"/>
              <w:autoSpaceDN w:val="0"/>
              <w:adjustRightInd w:val="0"/>
              <w:spacing w:before="120" w:after="120"/>
              <w:ind w:firstLineChars="0"/>
              <w:contextualSpacing/>
              <w:rPr>
                <w:rFonts w:eastAsia="宋体"/>
                <w:lang w:val="en-US" w:eastAsia="zh-CN"/>
              </w:rPr>
            </w:pPr>
            <w:r>
              <w:rPr>
                <w:rFonts w:eastAsia="等线"/>
                <w:iCs/>
                <w:highlight w:val="yellow"/>
                <w:lang w:val="en-US" w:eastAsia="zh-CN"/>
              </w:rPr>
              <w:t>Define the requirements for SSB SCS of 480kHz and UL SCS of 960kHz</w:t>
            </w:r>
          </w:p>
          <w:p w:rsidR="001328F2" w:rsidRPr="001328F2" w:rsidRDefault="001328F2" w:rsidP="001328F2">
            <w:pPr>
              <w:rPr>
                <w:rFonts w:eastAsiaTheme="minorEastAsia"/>
                <w:lang w:val="en-US" w:eastAsia="zh-CN"/>
              </w:rPr>
            </w:pPr>
          </w:p>
        </w:tc>
      </w:tr>
    </w:tbl>
    <w:p w:rsidR="001328F2" w:rsidRDefault="001328F2" w:rsidP="001328F2">
      <w:pPr>
        <w:rPr>
          <w:rFonts w:eastAsiaTheme="minorEastAsia"/>
          <w:lang w:val="en-US" w:eastAsia="zh-CN"/>
        </w:rPr>
      </w:pPr>
    </w:p>
    <w:p w:rsidR="001328F2" w:rsidRDefault="001328F2" w:rsidP="001328F2">
      <w:pPr>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n the draft CR, the </w:t>
      </w:r>
      <w:proofErr w:type="spellStart"/>
      <w:r>
        <w:rPr>
          <w:rFonts w:eastAsiaTheme="minorEastAsia"/>
          <w:lang w:val="en-US" w:eastAsia="zh-CN"/>
        </w:rPr>
        <w:t>Te</w:t>
      </w:r>
      <w:proofErr w:type="spellEnd"/>
      <w:r>
        <w:rPr>
          <w:rFonts w:eastAsiaTheme="minorEastAsia"/>
          <w:lang w:val="en-US" w:eastAsia="zh-CN"/>
        </w:rPr>
        <w:t xml:space="preserve"> requirements when UL SCS is 120 KHz is still FFS, which is less controversial with larger CP. </w:t>
      </w:r>
      <w:r w:rsidR="00826A80">
        <w:rPr>
          <w:rFonts w:eastAsiaTheme="minorEastAsia"/>
          <w:lang w:val="en-US" w:eastAsia="zh-CN"/>
        </w:rPr>
        <w:t>With 480</w:t>
      </w:r>
      <w:r w:rsidR="00826A80">
        <w:rPr>
          <w:rFonts w:eastAsiaTheme="minorEastAsia" w:hint="eastAsia"/>
          <w:lang w:val="en-US" w:eastAsia="zh-CN"/>
        </w:rPr>
        <w:t>/</w:t>
      </w:r>
      <w:r w:rsidR="00826A80">
        <w:rPr>
          <w:rFonts w:eastAsiaTheme="minorEastAsia"/>
          <w:lang w:val="en-US" w:eastAsia="zh-CN"/>
        </w:rPr>
        <w:t xml:space="preserve">960 KHz SSB SCS, the transmit timing error is expected to be better than that for (120,120) and (240, </w:t>
      </w:r>
      <w:r w:rsidR="009E186E">
        <w:rPr>
          <w:rFonts w:eastAsiaTheme="minorEastAsia"/>
          <w:lang w:val="en-US" w:eastAsia="zh-CN"/>
        </w:rPr>
        <w:t>120</w:t>
      </w:r>
      <w:r w:rsidR="00826A80">
        <w:rPr>
          <w:rFonts w:eastAsiaTheme="minorEastAsia"/>
          <w:lang w:val="en-US" w:eastAsia="zh-CN"/>
        </w:rPr>
        <w:t>). So f</w:t>
      </w:r>
      <w:r w:rsidR="00826A80" w:rsidRPr="00826A80">
        <w:rPr>
          <w:rFonts w:eastAsiaTheme="minorEastAsia"/>
          <w:lang w:val="en-US" w:eastAsia="zh-CN"/>
        </w:rPr>
        <w:t xml:space="preserve">or UL SCS of </w:t>
      </w:r>
      <w:r w:rsidR="00826A80">
        <w:rPr>
          <w:rFonts w:eastAsiaTheme="minorEastAsia"/>
          <w:lang w:val="en-US" w:eastAsia="zh-CN"/>
        </w:rPr>
        <w:t>120</w:t>
      </w:r>
      <w:r w:rsidR="00826A80" w:rsidRPr="00826A80">
        <w:rPr>
          <w:rFonts w:eastAsiaTheme="minorEastAsia"/>
          <w:lang w:val="en-US" w:eastAsia="zh-CN"/>
        </w:rPr>
        <w:t xml:space="preserve"> kHz, a UE is required to meet the UL timing accuracy requirements if an SSB is available in the last </w:t>
      </w:r>
      <w:r w:rsidR="00826A80">
        <w:rPr>
          <w:rFonts w:eastAsiaTheme="minorEastAsia"/>
          <w:lang w:val="en-US" w:eastAsia="zh-CN"/>
        </w:rPr>
        <w:t>160</w:t>
      </w:r>
      <w:r w:rsidR="00826A80" w:rsidRPr="00826A80">
        <w:rPr>
          <w:rFonts w:eastAsiaTheme="minorEastAsia"/>
          <w:lang w:val="en-US" w:eastAsia="zh-CN"/>
        </w:rPr>
        <w:t xml:space="preserve"> </w:t>
      </w:r>
      <w:proofErr w:type="spellStart"/>
      <w:r w:rsidR="00826A80" w:rsidRPr="00826A80">
        <w:rPr>
          <w:rFonts w:eastAsiaTheme="minorEastAsia"/>
          <w:lang w:val="en-US" w:eastAsia="zh-CN"/>
        </w:rPr>
        <w:t>ms</w:t>
      </w:r>
      <w:proofErr w:type="spellEnd"/>
      <w:r w:rsidR="00826A80">
        <w:rPr>
          <w:rFonts w:eastAsiaTheme="minorEastAsia"/>
          <w:lang w:val="en-US" w:eastAsia="zh-CN"/>
        </w:rPr>
        <w:t xml:space="preserve">, which is same as legacy requirements, and </w:t>
      </w:r>
      <w:proofErr w:type="spellStart"/>
      <w:r w:rsidR="00826A80">
        <w:rPr>
          <w:rFonts w:eastAsiaTheme="minorEastAsia"/>
          <w:lang w:val="en-US" w:eastAsia="zh-CN"/>
        </w:rPr>
        <w:t>Te</w:t>
      </w:r>
      <w:proofErr w:type="spellEnd"/>
      <w:r w:rsidR="00826A80">
        <w:rPr>
          <w:rFonts w:eastAsiaTheme="minorEastAsia"/>
          <w:lang w:val="en-US" w:eastAsia="zh-CN"/>
        </w:rPr>
        <w:t xml:space="preserve"> is proposed to be 2.7*64*Tc and 2.5*64*Tc respectively.</w:t>
      </w:r>
    </w:p>
    <w:p w:rsidR="00826A80" w:rsidRPr="00D0739E" w:rsidRDefault="00826A80" w:rsidP="00826A80">
      <w:pPr>
        <w:rPr>
          <w:rFonts w:eastAsiaTheme="minorEastAsia"/>
          <w:b/>
          <w:lang w:val="en-US" w:eastAsia="zh-CN"/>
        </w:rPr>
      </w:pPr>
      <w:r w:rsidRPr="00D0739E">
        <w:rPr>
          <w:rFonts w:eastAsiaTheme="minorEastAsia"/>
          <w:b/>
          <w:lang w:val="en-US" w:eastAsia="zh-CN"/>
        </w:rPr>
        <w:t xml:space="preserve">Proposal 1: For UL SCS of 120 kHz in FR2-2, a UE is required to meet the UL timing accuracy requirements if an SSB is available in the last 160 </w:t>
      </w:r>
      <w:proofErr w:type="spellStart"/>
      <w:r w:rsidRPr="00D0739E">
        <w:rPr>
          <w:rFonts w:eastAsiaTheme="minorEastAsia"/>
          <w:b/>
          <w:lang w:val="en-US" w:eastAsia="zh-CN"/>
        </w:rPr>
        <w:t>ms</w:t>
      </w:r>
      <w:proofErr w:type="spellEnd"/>
      <w:r w:rsidRPr="00D0739E">
        <w:rPr>
          <w:rFonts w:eastAsiaTheme="minorEastAsia"/>
          <w:b/>
          <w:lang w:val="en-US" w:eastAsia="zh-CN"/>
        </w:rPr>
        <w:t xml:space="preserve">, and </w:t>
      </w:r>
      <w:proofErr w:type="spellStart"/>
      <w:r w:rsidRPr="00D0739E">
        <w:rPr>
          <w:rFonts w:eastAsiaTheme="minorEastAsia"/>
          <w:b/>
          <w:lang w:val="en-US" w:eastAsia="zh-CN"/>
        </w:rPr>
        <w:t>Te</w:t>
      </w:r>
      <w:proofErr w:type="spellEnd"/>
      <w:r w:rsidRPr="00D0739E">
        <w:rPr>
          <w:rFonts w:eastAsiaTheme="minorEastAsia"/>
          <w:b/>
          <w:lang w:val="en-US" w:eastAsia="zh-CN"/>
        </w:rPr>
        <w:t xml:space="preserve"> is proposed to be 2.7*64*Tc when SSB is 480 KHz and 2.5*64*Tc when SSB is 960 KHz.</w:t>
      </w:r>
    </w:p>
    <w:p w:rsidR="00826A80" w:rsidRDefault="00D0739E" w:rsidP="002E109C">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nother issue is about gradual timing adjustment requirement </w:t>
      </w:r>
      <w:proofErr w:type="spellStart"/>
      <w:r>
        <w:rPr>
          <w:rFonts w:eastAsiaTheme="minorEastAsia"/>
          <w:lang w:val="en-US" w:eastAsia="zh-CN"/>
        </w:rPr>
        <w:t>Tp</w:t>
      </w:r>
      <w:proofErr w:type="spellEnd"/>
      <w:r>
        <w:rPr>
          <w:rFonts w:eastAsiaTheme="minorEastAsia"/>
          <w:lang w:val="en-US" w:eastAsia="zh-CN"/>
        </w:rPr>
        <w:t xml:space="preserve"> and </w:t>
      </w:r>
      <w:proofErr w:type="spellStart"/>
      <w:r>
        <w:rPr>
          <w:rFonts w:eastAsiaTheme="minorEastAsia"/>
          <w:lang w:val="en-US" w:eastAsia="zh-CN"/>
        </w:rPr>
        <w:t>Tq</w:t>
      </w:r>
      <w:proofErr w:type="spellEnd"/>
      <w:r>
        <w:rPr>
          <w:rFonts w:eastAsiaTheme="minorEastAsia"/>
          <w:lang w:val="en-US" w:eastAsia="zh-CN"/>
        </w:rPr>
        <w:t xml:space="preserve">. As analyzed in [3], </w:t>
      </w:r>
      <w:r w:rsidR="002E109C">
        <w:rPr>
          <w:rFonts w:eastAsiaTheme="minorEastAsia"/>
          <w:lang w:val="en-US" w:eastAsia="zh-CN"/>
        </w:rPr>
        <w:t xml:space="preserve">current </w:t>
      </w:r>
      <w:proofErr w:type="spellStart"/>
      <w:r w:rsidR="002E109C">
        <w:rPr>
          <w:rFonts w:eastAsiaTheme="minorEastAsia"/>
          <w:lang w:val="en-US" w:eastAsia="zh-CN"/>
        </w:rPr>
        <w:t>Tp</w:t>
      </w:r>
      <w:proofErr w:type="spellEnd"/>
      <w:r w:rsidR="002E109C">
        <w:rPr>
          <w:rFonts w:eastAsiaTheme="minorEastAsia"/>
          <w:lang w:val="en-US" w:eastAsia="zh-CN"/>
        </w:rPr>
        <w:t xml:space="preserve"> and </w:t>
      </w:r>
      <w:proofErr w:type="spellStart"/>
      <w:r w:rsidR="002E109C">
        <w:rPr>
          <w:rFonts w:eastAsiaTheme="minorEastAsia"/>
          <w:lang w:val="en-US" w:eastAsia="zh-CN"/>
        </w:rPr>
        <w:t>Tq</w:t>
      </w:r>
      <w:proofErr w:type="spellEnd"/>
      <w:r w:rsidR="002E109C">
        <w:rPr>
          <w:rFonts w:eastAsiaTheme="minorEastAsia"/>
          <w:lang w:val="en-US" w:eastAsia="zh-CN"/>
        </w:rPr>
        <w:t xml:space="preserve"> requirements are too large for operation in FR2-2 with larger SCS. In the current spec, </w:t>
      </w:r>
      <w:proofErr w:type="spellStart"/>
      <w:r w:rsidR="002E109C">
        <w:rPr>
          <w:rFonts w:eastAsiaTheme="minorEastAsia"/>
          <w:lang w:val="en-US" w:eastAsia="zh-CN"/>
        </w:rPr>
        <w:t>Tp</w:t>
      </w:r>
      <w:proofErr w:type="spellEnd"/>
      <w:r w:rsidR="002E109C">
        <w:rPr>
          <w:rFonts w:eastAsiaTheme="minorEastAsia"/>
          <w:lang w:val="en-US" w:eastAsia="zh-CN"/>
        </w:rPr>
        <w:t xml:space="preserve"> and </w:t>
      </w:r>
      <w:proofErr w:type="spellStart"/>
      <w:r w:rsidR="002E109C">
        <w:rPr>
          <w:rFonts w:eastAsiaTheme="minorEastAsia"/>
          <w:lang w:val="en-US" w:eastAsia="zh-CN"/>
        </w:rPr>
        <w:t>Tq</w:t>
      </w:r>
      <w:proofErr w:type="spellEnd"/>
      <w:r w:rsidR="002E109C">
        <w:rPr>
          <w:rFonts w:eastAsiaTheme="minorEastAsia"/>
          <w:lang w:val="en-US" w:eastAsia="zh-CN"/>
        </w:rPr>
        <w:t xml:space="preserve"> are defined considering the time granularity of 200 </w:t>
      </w:r>
      <w:proofErr w:type="spellStart"/>
      <w:r w:rsidR="002E109C">
        <w:rPr>
          <w:rFonts w:eastAsiaTheme="minorEastAsia"/>
          <w:lang w:val="en-US" w:eastAsia="zh-CN"/>
        </w:rPr>
        <w:t>ms</w:t>
      </w:r>
      <w:proofErr w:type="spellEnd"/>
      <w:r w:rsidR="002E109C">
        <w:rPr>
          <w:rFonts w:eastAsiaTheme="minorEastAsia"/>
          <w:lang w:val="en-US" w:eastAsia="zh-CN"/>
        </w:rPr>
        <w:t xml:space="preserve"> and 1.5 RF margin. However, in FR2-2, it will occupy large portion of UL CP. First, it is suggested to considering the gradual timing adjustment in finer granularity (i.e. </w:t>
      </w:r>
      <w:r w:rsidR="00F45711">
        <w:rPr>
          <w:rFonts w:eastAsiaTheme="minorEastAsia"/>
          <w:lang w:val="en-US" w:eastAsia="zh-CN"/>
        </w:rPr>
        <w:t>1</w:t>
      </w:r>
      <w:r w:rsidR="002E109C">
        <w:rPr>
          <w:rFonts w:eastAsiaTheme="minorEastAsia"/>
          <w:lang w:val="en-US" w:eastAsia="zh-CN"/>
        </w:rPr>
        <w:t xml:space="preserve">00 </w:t>
      </w:r>
      <w:proofErr w:type="spellStart"/>
      <w:r w:rsidR="002E109C">
        <w:rPr>
          <w:rFonts w:eastAsiaTheme="minorEastAsia"/>
          <w:lang w:val="en-US" w:eastAsia="zh-CN"/>
        </w:rPr>
        <w:t>ms</w:t>
      </w:r>
      <w:proofErr w:type="spellEnd"/>
      <w:r w:rsidR="002E109C">
        <w:rPr>
          <w:rFonts w:eastAsiaTheme="minorEastAsia"/>
          <w:lang w:val="en-US" w:eastAsia="zh-CN"/>
        </w:rPr>
        <w:t>), then the total timing drift per 100ms considering the mobility of 30 km/h in [3] is 12.8 ns.</w:t>
      </w:r>
      <w:r w:rsidR="00F45711">
        <w:rPr>
          <w:rFonts w:eastAsiaTheme="minorEastAsia"/>
          <w:lang w:val="en-US" w:eastAsia="zh-CN"/>
        </w:rPr>
        <w:t xml:space="preserve"> Regarding the RF margin, it is suggested</w:t>
      </w:r>
      <w:r w:rsidR="00D33731">
        <w:rPr>
          <w:rFonts w:eastAsiaTheme="minorEastAsia"/>
          <w:lang w:val="en-US" w:eastAsia="zh-CN"/>
        </w:rPr>
        <w:t xml:space="preserve"> to</w:t>
      </w:r>
      <w:r w:rsidR="00F45711">
        <w:rPr>
          <w:rFonts w:eastAsiaTheme="minorEastAsia"/>
          <w:lang w:val="en-US" w:eastAsia="zh-CN"/>
        </w:rPr>
        <w:t xml:space="preserve"> take the TA adjustment accuracy as baseline.</w:t>
      </w:r>
    </w:p>
    <w:p w:rsidR="00F45711" w:rsidRPr="009C7606" w:rsidRDefault="00F45711" w:rsidP="002E109C">
      <w:pPr>
        <w:jc w:val="both"/>
        <w:rPr>
          <w:rFonts w:eastAsiaTheme="minorEastAsia"/>
          <w:b/>
          <w:lang w:val="en-US" w:eastAsia="zh-CN"/>
        </w:rPr>
      </w:pPr>
      <w:r w:rsidRPr="009C7606">
        <w:rPr>
          <w:rFonts w:eastAsiaTheme="minorEastAsia"/>
          <w:b/>
          <w:lang w:val="en-US" w:eastAsia="zh-CN"/>
        </w:rPr>
        <w:t xml:space="preserve">Proposal 2: Define gradual timing adjustment in finer granularity with 100 </w:t>
      </w:r>
      <w:proofErr w:type="spellStart"/>
      <w:r w:rsidRPr="009C7606">
        <w:rPr>
          <w:rFonts w:eastAsiaTheme="minorEastAsia"/>
          <w:b/>
          <w:lang w:val="en-US" w:eastAsia="zh-CN"/>
        </w:rPr>
        <w:t>ms</w:t>
      </w:r>
      <w:proofErr w:type="spellEnd"/>
      <w:r w:rsidRPr="009C7606">
        <w:rPr>
          <w:rFonts w:eastAsiaTheme="minorEastAsia"/>
          <w:b/>
          <w:lang w:val="en-US" w:eastAsia="zh-CN"/>
        </w:rPr>
        <w:t>, which will leads to total 12.8 ns timing drift, and take the TA adjustment accuracy as baseline for the RF margin.</w:t>
      </w:r>
    </w:p>
    <w:p w:rsidR="00E34071" w:rsidRDefault="00E34071" w:rsidP="00E34071">
      <w:pPr>
        <w:pStyle w:val="Heading3"/>
        <w:rPr>
          <w:lang w:val="en-US" w:eastAsia="zh-CN"/>
        </w:rPr>
      </w:pPr>
      <w:r>
        <w:rPr>
          <w:lang w:val="en-US" w:eastAsia="zh-CN"/>
        </w:rPr>
        <w:t xml:space="preserve">2.2 </w:t>
      </w:r>
      <w:r>
        <w:rPr>
          <w:rFonts w:hint="eastAsia"/>
          <w:lang w:val="en-US" w:eastAsia="zh-CN"/>
        </w:rPr>
        <w:t>MRTD/</w:t>
      </w:r>
      <w:r>
        <w:rPr>
          <w:lang w:val="en-US" w:eastAsia="zh-CN"/>
        </w:rPr>
        <w:t>MTTD</w:t>
      </w:r>
    </w:p>
    <w:p w:rsidR="001E24D0" w:rsidRPr="009C7606" w:rsidRDefault="009C7606" w:rsidP="001E24D0">
      <w:pPr>
        <w:rPr>
          <w:rFonts w:eastAsiaTheme="minorEastAsia"/>
          <w:lang w:val="en-US" w:eastAsia="zh-CN"/>
        </w:rPr>
      </w:pPr>
      <w:r w:rsidRPr="009C7606">
        <w:rPr>
          <w:rFonts w:eastAsiaTheme="minorEastAsia" w:hint="eastAsia"/>
          <w:lang w:val="en-US" w:eastAsia="zh-CN"/>
        </w:rPr>
        <w:t>R</w:t>
      </w:r>
      <w:r w:rsidRPr="009C7606">
        <w:rPr>
          <w:rFonts w:eastAsiaTheme="minorEastAsia"/>
          <w:lang w:val="en-US" w:eastAsia="zh-CN"/>
        </w:rPr>
        <w:t>egarding MRTD requirements, the current status are summarized as follows:</w:t>
      </w:r>
    </w:p>
    <w:tbl>
      <w:tblPr>
        <w:tblStyle w:val="TableGrid"/>
        <w:tblW w:w="0" w:type="auto"/>
        <w:tblLook w:val="04A0" w:firstRow="1" w:lastRow="0" w:firstColumn="1" w:lastColumn="0" w:noHBand="0" w:noVBand="1"/>
      </w:tblPr>
      <w:tblGrid>
        <w:gridCol w:w="9562"/>
      </w:tblGrid>
      <w:tr w:rsidR="009C7606" w:rsidTr="009C7606">
        <w:tc>
          <w:tcPr>
            <w:tcW w:w="9562" w:type="dxa"/>
          </w:tcPr>
          <w:p w:rsidR="009C7606" w:rsidRDefault="009C7606" w:rsidP="009C7606">
            <w:pPr>
              <w:rPr>
                <w:rFonts w:eastAsia="宋体"/>
                <w:b/>
                <w:bCs/>
                <w:u w:val="single"/>
                <w:lang w:val="en-US" w:eastAsia="ja-JP" w:bidi="hi-IN"/>
              </w:rPr>
            </w:pPr>
            <w:r>
              <w:rPr>
                <w:b/>
                <w:bCs/>
                <w:u w:val="single"/>
                <w:lang w:val="en-US" w:eastAsia="ja-JP" w:bidi="hi-IN"/>
              </w:rPr>
              <w:t>MRTD definition</w:t>
            </w:r>
          </w:p>
          <w:p w:rsidR="009C7606" w:rsidRDefault="009C7606" w:rsidP="009C7606">
            <w:pPr>
              <w:pStyle w:val="ListParagraph"/>
              <w:numPr>
                <w:ilvl w:val="0"/>
                <w:numId w:val="38"/>
              </w:numPr>
              <w:autoSpaceDN w:val="0"/>
              <w:spacing w:after="120"/>
              <w:ind w:left="720" w:firstLineChars="0"/>
              <w:contextualSpacing/>
              <w:rPr>
                <w:szCs w:val="24"/>
                <w:lang w:eastAsia="zh-CN"/>
              </w:rPr>
            </w:pPr>
            <w:r>
              <w:rPr>
                <w:szCs w:val="24"/>
                <w:lang w:eastAsia="zh-CN"/>
              </w:rPr>
              <w:t>FFS: RAN4 to change the definition of receive timing difference between carriers in case of NR CA to address the case when MRTD is larger than one slot. For instance, RTD can be considered between the slot boundaries</w:t>
            </w:r>
          </w:p>
          <w:p w:rsidR="009C7606" w:rsidRDefault="009C7606" w:rsidP="009C7606">
            <w:pPr>
              <w:pStyle w:val="ListParagraph"/>
              <w:numPr>
                <w:ilvl w:val="0"/>
                <w:numId w:val="38"/>
              </w:numPr>
              <w:autoSpaceDN w:val="0"/>
              <w:spacing w:after="120"/>
              <w:ind w:left="720" w:firstLineChars="0"/>
              <w:contextualSpacing/>
              <w:rPr>
                <w:szCs w:val="24"/>
                <w:lang w:eastAsia="zh-CN"/>
              </w:rPr>
            </w:pPr>
            <w:r>
              <w:rPr>
                <w:szCs w:val="24"/>
                <w:lang w:eastAsia="zh-CN"/>
              </w:rPr>
              <w:t xml:space="preserve">FFS: Change the definition of MRTD for synchronous NR DC in FR2-2 as below, so that it could be larger than 0.5 slot </w:t>
            </w:r>
          </w:p>
          <w:p w:rsidR="009C7606" w:rsidRDefault="009C7606" w:rsidP="009C7606">
            <w:pPr>
              <w:pStyle w:val="ListParagraph"/>
              <w:numPr>
                <w:ilvl w:val="1"/>
                <w:numId w:val="38"/>
              </w:numPr>
              <w:autoSpaceDN w:val="0"/>
              <w:spacing w:after="120"/>
              <w:ind w:firstLineChars="0"/>
              <w:contextualSpacing/>
              <w:rPr>
                <w:szCs w:val="24"/>
                <w:lang w:eastAsia="zh-CN"/>
              </w:rPr>
            </w:pPr>
            <w:r>
              <w:rPr>
                <w:szCs w:val="24"/>
                <w:lang w:eastAsia="zh-CN"/>
              </w:rPr>
              <w:t xml:space="preserve">For FR2-2 operation, a UE shall be capable of handling a relative receive timing difference between slot timing boundary of a cell belonging to MCG and slot timing boundary from the same slot index of a cell belonging to the SCG to be aggregated for synchronous NR DC operation </w:t>
            </w:r>
          </w:p>
          <w:p w:rsidR="009C7606" w:rsidRDefault="009C7606" w:rsidP="009C7606">
            <w:pPr>
              <w:rPr>
                <w:b/>
                <w:u w:val="single"/>
                <w:lang w:eastAsia="ko-KR"/>
              </w:rPr>
            </w:pPr>
          </w:p>
          <w:p w:rsidR="009C7606" w:rsidRDefault="009C7606" w:rsidP="009C7606">
            <w:pPr>
              <w:rPr>
                <w:b/>
                <w:u w:val="single"/>
                <w:lang w:eastAsia="ko-KR"/>
              </w:rPr>
            </w:pPr>
            <w:r>
              <w:rPr>
                <w:b/>
                <w:u w:val="single"/>
                <w:lang w:eastAsia="ko-KR"/>
              </w:rPr>
              <w:t>MRTD for intra-band non-contiguous CA</w:t>
            </w:r>
          </w:p>
          <w:p w:rsidR="009C7606" w:rsidRDefault="009C7606" w:rsidP="009C7606">
            <w:pPr>
              <w:pStyle w:val="ListParagraph"/>
              <w:numPr>
                <w:ilvl w:val="0"/>
                <w:numId w:val="39"/>
              </w:numPr>
              <w:overflowPunct w:val="0"/>
              <w:autoSpaceDE w:val="0"/>
              <w:autoSpaceDN w:val="0"/>
              <w:adjustRightInd w:val="0"/>
              <w:spacing w:before="120" w:after="120"/>
              <w:ind w:firstLineChars="0"/>
              <w:contextualSpacing/>
              <w:rPr>
                <w:highlight w:val="cyan"/>
                <w:lang w:val="en-US" w:eastAsia="ja-JP" w:bidi="hi-IN"/>
              </w:rPr>
            </w:pPr>
            <w:r>
              <w:rPr>
                <w:highlight w:val="cyan"/>
                <w:lang w:val="en-US" w:eastAsia="ja-JP" w:bidi="hi-IN"/>
              </w:rPr>
              <w:t>MRTD = [0.26] µs for non-contiguous intra band CA in FR2-2</w:t>
            </w:r>
          </w:p>
          <w:p w:rsidR="009C7606" w:rsidRDefault="009C7606" w:rsidP="009C7606">
            <w:pPr>
              <w:rPr>
                <w:lang w:val="en-US" w:eastAsia="ja-JP" w:bidi="hi-IN"/>
              </w:rPr>
            </w:pPr>
          </w:p>
          <w:p w:rsidR="009C7606" w:rsidRDefault="009C7606" w:rsidP="009C7606">
            <w:pPr>
              <w:rPr>
                <w:b/>
                <w:bCs/>
                <w:u w:val="single"/>
                <w:lang w:val="en-US" w:eastAsia="ja-JP" w:bidi="hi-IN"/>
              </w:rPr>
            </w:pPr>
            <w:r>
              <w:rPr>
                <w:b/>
                <w:bCs/>
                <w:u w:val="single"/>
                <w:lang w:val="en-US" w:eastAsia="ja-JP" w:bidi="hi-IN"/>
              </w:rPr>
              <w:t>MRTD for FR1 and FR2-2 inter-band CA</w:t>
            </w:r>
          </w:p>
          <w:p w:rsidR="009C7606" w:rsidRDefault="009C7606" w:rsidP="009C7606">
            <w:pPr>
              <w:pStyle w:val="ListParagraph"/>
              <w:numPr>
                <w:ilvl w:val="0"/>
                <w:numId w:val="38"/>
              </w:numPr>
              <w:autoSpaceDN w:val="0"/>
              <w:spacing w:after="120"/>
              <w:ind w:left="720" w:firstLineChars="0"/>
              <w:contextualSpacing/>
              <w:rPr>
                <w:rFonts w:eastAsiaTheme="minorEastAsia"/>
                <w:b/>
                <w:bCs/>
                <w:iCs/>
                <w:u w:val="single"/>
                <w:lang w:val="en-US" w:eastAsia="zh-CN"/>
              </w:rPr>
            </w:pPr>
            <w:r>
              <w:rPr>
                <w:szCs w:val="24"/>
                <w:lang w:eastAsia="zh-CN"/>
              </w:rPr>
              <w:t xml:space="preserve">FFS: The existing MRTD requirements for inter-band CA for FR1 and FR2-1 can be reused for inter-band CA for FR1 and FR2-2, i.e., MRTD = 25 µs </w:t>
            </w:r>
          </w:p>
          <w:p w:rsidR="009C7606" w:rsidRDefault="009C7606" w:rsidP="009C7606">
            <w:pPr>
              <w:rPr>
                <w:rFonts w:eastAsiaTheme="minorEastAsia"/>
                <w:b/>
                <w:bCs/>
                <w:iCs/>
                <w:u w:val="single"/>
                <w:lang w:val="en-US" w:eastAsia="zh-CN"/>
              </w:rPr>
            </w:pPr>
          </w:p>
          <w:p w:rsidR="009C7606" w:rsidRDefault="009C7606" w:rsidP="009C7606">
            <w:pPr>
              <w:rPr>
                <w:rFonts w:eastAsiaTheme="minorEastAsia"/>
                <w:b/>
                <w:bCs/>
                <w:iCs/>
                <w:u w:val="single"/>
                <w:lang w:val="en-US" w:eastAsia="zh-CN"/>
              </w:rPr>
            </w:pPr>
            <w:r>
              <w:rPr>
                <w:rFonts w:eastAsiaTheme="minorEastAsia"/>
                <w:b/>
                <w:bCs/>
                <w:iCs/>
                <w:u w:val="single"/>
                <w:lang w:val="en-US" w:eastAsia="zh-CN"/>
              </w:rPr>
              <w:t>MRTD for FR1 and FR2-2 NR DC - Synchronous</w:t>
            </w:r>
          </w:p>
          <w:p w:rsidR="009C7606" w:rsidRDefault="009C7606" w:rsidP="009C7606">
            <w:pPr>
              <w:pStyle w:val="ListParagraph"/>
              <w:numPr>
                <w:ilvl w:val="0"/>
                <w:numId w:val="39"/>
              </w:numPr>
              <w:overflowPunct w:val="0"/>
              <w:autoSpaceDE w:val="0"/>
              <w:autoSpaceDN w:val="0"/>
              <w:adjustRightInd w:val="0"/>
              <w:spacing w:before="120" w:after="120"/>
              <w:ind w:firstLineChars="0"/>
              <w:contextualSpacing/>
              <w:rPr>
                <w:rFonts w:eastAsia="宋体"/>
                <w:szCs w:val="24"/>
                <w:lang w:eastAsia="zh-CN"/>
              </w:rPr>
            </w:pPr>
            <w:r>
              <w:rPr>
                <w:szCs w:val="24"/>
                <w:lang w:eastAsia="zh-CN"/>
              </w:rPr>
              <w:t>FFS: The existing MRTD requirements for FR1 and FR2-1 synchronous NR-DC can be reused for FR1 and FR2-2, i.e., MRTD = 33 µs</w:t>
            </w:r>
          </w:p>
          <w:p w:rsidR="009C7606" w:rsidRPr="009C7606" w:rsidRDefault="009C7606" w:rsidP="001E24D0">
            <w:pPr>
              <w:rPr>
                <w:rFonts w:eastAsiaTheme="minorEastAsia"/>
                <w:b/>
                <w:lang w:eastAsia="zh-CN"/>
              </w:rPr>
            </w:pPr>
          </w:p>
        </w:tc>
      </w:tr>
    </w:tbl>
    <w:p w:rsidR="009C7606" w:rsidRDefault="009C7606" w:rsidP="001E24D0">
      <w:pPr>
        <w:rPr>
          <w:rFonts w:eastAsiaTheme="minorEastAsia"/>
          <w:b/>
          <w:lang w:val="en-US" w:eastAsia="zh-CN"/>
        </w:rPr>
      </w:pPr>
    </w:p>
    <w:p w:rsidR="009C7606" w:rsidRDefault="009C7606" w:rsidP="000A12FD">
      <w:pPr>
        <w:jc w:val="both"/>
        <w:rPr>
          <w:rFonts w:cs="v4.2.0"/>
        </w:rPr>
      </w:pPr>
      <w:r w:rsidRPr="00A00597">
        <w:rPr>
          <w:rFonts w:hint="eastAsia"/>
          <w:szCs w:val="24"/>
          <w:lang w:eastAsia="zh-CN"/>
        </w:rPr>
        <w:t>O</w:t>
      </w:r>
      <w:r w:rsidR="003043B0">
        <w:rPr>
          <w:szCs w:val="24"/>
          <w:lang w:eastAsia="zh-CN"/>
        </w:rPr>
        <w:t>ne point</w:t>
      </w:r>
      <w:r w:rsidRPr="00A00597">
        <w:rPr>
          <w:szCs w:val="24"/>
          <w:lang w:eastAsia="zh-CN"/>
        </w:rPr>
        <w:t xml:space="preserve"> raised during discussion </w:t>
      </w:r>
      <w:r w:rsidR="00A00597" w:rsidRPr="00A00597">
        <w:rPr>
          <w:szCs w:val="24"/>
          <w:lang w:eastAsia="zh-CN"/>
        </w:rPr>
        <w:t xml:space="preserve">in previous meeting is that there could be the case when MRTD is larger than half slot length. </w:t>
      </w:r>
      <w:r w:rsidR="00A00597">
        <w:rPr>
          <w:szCs w:val="24"/>
          <w:lang w:eastAsia="zh-CN"/>
        </w:rPr>
        <w:t xml:space="preserve">For instance, for FR1 and FR2-2 inter-band CA, if MRTD is defined as 26 us, then according to current definition of MRTD which is </w:t>
      </w:r>
      <w:r w:rsidR="00A00597">
        <w:rPr>
          <w:rFonts w:cs="v4.2.0"/>
        </w:rPr>
        <w:t>the</w:t>
      </w:r>
      <w:r w:rsidR="00A00597" w:rsidRPr="009C5807">
        <w:rPr>
          <w:rFonts w:cs="v4.2.0"/>
        </w:rPr>
        <w:t xml:space="preserve"> relative </w:t>
      </w:r>
      <w:r w:rsidR="00A00597" w:rsidRPr="009C5807">
        <w:rPr>
          <w:rFonts w:cs="v4.2.0"/>
          <w:lang w:eastAsia="zh-CN"/>
        </w:rPr>
        <w:t>transmission</w:t>
      </w:r>
      <w:r w:rsidR="00A00597" w:rsidRPr="009C5807">
        <w:rPr>
          <w:rFonts w:cs="v4.2.0"/>
        </w:rPr>
        <w:t xml:space="preserve"> timing difference </w:t>
      </w:r>
      <w:r w:rsidR="00A00597" w:rsidRPr="009C5807">
        <w:rPr>
          <w:rFonts w:cs="v4.2.0"/>
          <w:lang w:eastAsia="zh-CN"/>
        </w:rPr>
        <w:t>among</w:t>
      </w:r>
      <w:r w:rsidR="00A00597" w:rsidRPr="009C5807">
        <w:rPr>
          <w:rFonts w:cs="v4.2.0"/>
        </w:rPr>
        <w:t xml:space="preserve"> the closest slot timing </w:t>
      </w:r>
      <w:r w:rsidR="00A00597" w:rsidRPr="009C5807">
        <w:rPr>
          <w:rFonts w:cs="v4.2.0"/>
          <w:lang w:eastAsia="zh-CN"/>
        </w:rPr>
        <w:t>boundaries</w:t>
      </w:r>
      <w:r w:rsidR="00A00597" w:rsidRPr="009C5807">
        <w:rPr>
          <w:rFonts w:cs="v4.2.0"/>
        </w:rPr>
        <w:t xml:space="preserve"> of different carriers</w:t>
      </w:r>
      <w:r w:rsidR="00AD0679">
        <w:rPr>
          <w:rFonts w:cs="v4.2.0"/>
        </w:rPr>
        <w:t xml:space="preserve">, MRTD requirements will also be satisfied. </w:t>
      </w:r>
      <w:r w:rsidR="0090797C">
        <w:rPr>
          <w:rFonts w:cs="v4.2.0"/>
        </w:rPr>
        <w:t>Companies commented in last meeting that to change the slot timing boundary to frame or sub frame timing boundary. We think it is valid according the CA synchronization assumption in TS 38.300 as follows:</w:t>
      </w:r>
    </w:p>
    <w:tbl>
      <w:tblPr>
        <w:tblStyle w:val="TableGrid"/>
        <w:tblW w:w="0" w:type="auto"/>
        <w:tblLook w:val="04A0" w:firstRow="1" w:lastRow="0" w:firstColumn="1" w:lastColumn="0" w:noHBand="0" w:noVBand="1"/>
      </w:tblPr>
      <w:tblGrid>
        <w:gridCol w:w="9562"/>
      </w:tblGrid>
      <w:tr w:rsidR="0090797C" w:rsidTr="0090797C">
        <w:tc>
          <w:tcPr>
            <w:tcW w:w="9562" w:type="dxa"/>
          </w:tcPr>
          <w:p w:rsidR="0090797C" w:rsidRDefault="0090797C" w:rsidP="0090797C">
            <w:pPr>
              <w:pStyle w:val="Heading3"/>
              <w:rPr>
                <w:rFonts w:eastAsia="Times New Roman"/>
                <w:lang w:eastAsia="ja-JP"/>
              </w:rPr>
            </w:pPr>
            <w:bookmarkStart w:id="1" w:name="_Toc90589790"/>
            <w:bookmarkStart w:id="2" w:name="_Toc52551265"/>
            <w:bookmarkStart w:id="3" w:name="_Toc51971282"/>
            <w:bookmarkStart w:id="4" w:name="_Toc46501934"/>
            <w:bookmarkStart w:id="5" w:name="_Toc37231879"/>
            <w:bookmarkStart w:id="6" w:name="_Toc29376006"/>
            <w:bookmarkStart w:id="7" w:name="_Toc20387927"/>
            <w:r>
              <w:lastRenderedPageBreak/>
              <w:t>5.4.1</w:t>
            </w:r>
            <w:r>
              <w:rPr>
                <w:rFonts w:ascii="Calibri" w:eastAsia="MS Mincho" w:hAnsi="Calibri"/>
                <w:sz w:val="22"/>
                <w:szCs w:val="22"/>
              </w:rPr>
              <w:tab/>
            </w:r>
            <w:r>
              <w:t>Carrier aggregation</w:t>
            </w:r>
            <w:bookmarkEnd w:id="1"/>
            <w:bookmarkEnd w:id="2"/>
            <w:bookmarkEnd w:id="3"/>
            <w:bookmarkEnd w:id="4"/>
            <w:bookmarkEnd w:id="5"/>
            <w:bookmarkEnd w:id="6"/>
            <w:bookmarkEnd w:id="7"/>
          </w:p>
          <w:p w:rsidR="0090797C" w:rsidRDefault="0090797C" w:rsidP="0090797C">
            <w:r>
              <w:t>In Carrier Aggregation (CA), two or more Component Carriers (CCs) are aggregated. A UE may simultaneously receive or transmit on one or multiple CCs depending on its capabilities:</w:t>
            </w:r>
          </w:p>
          <w:p w:rsidR="0090797C" w:rsidRDefault="0090797C" w:rsidP="0090797C">
            <w:pPr>
              <w:pStyle w:val="B1"/>
            </w:pPr>
            <w:r>
              <w:t>-</w:t>
            </w:r>
            <w:r>
              <w:tab/>
              <w:t>A UE with single timing advance capability for CA can simultaneously receive and/or transmit on multiple CCs corresponding to multiple serving cells sharing the same timing advance (multiple serving cells grouped in one TAG);</w:t>
            </w:r>
          </w:p>
          <w:p w:rsidR="0090797C" w:rsidRDefault="0090797C" w:rsidP="0090797C">
            <w:pPr>
              <w:pStyle w:val="B1"/>
            </w:pPr>
            <w:r>
              <w:t>-</w:t>
            </w:r>
            <w:r>
              <w:tab/>
              <w:t>A UE with multiple timing advance capability for CA can simultaneously receive and/or transmit on multiple CCs corresponding to multiple serving cells with different timing advances (multiple serving cells grouped in multiple TAGs). NG-RAN ensures that each TAG contains at least one serving cell;</w:t>
            </w:r>
          </w:p>
          <w:p w:rsidR="0090797C" w:rsidRDefault="0090797C" w:rsidP="0090797C">
            <w:pPr>
              <w:pStyle w:val="B1"/>
            </w:pPr>
            <w:r>
              <w:t>-</w:t>
            </w:r>
            <w:r>
              <w:tab/>
              <w:t>A non-CA capable UE can receive on a single CC and transmit on a single CC corresponding to one serving cell only (one serving cell in one TAG).</w:t>
            </w:r>
          </w:p>
          <w:p w:rsidR="0090797C" w:rsidRDefault="0090797C" w:rsidP="0090797C">
            <w:r>
              <w:t>CA is supported for both contiguous and non-contiguous CCs</w:t>
            </w:r>
            <w:r w:rsidRPr="0090797C">
              <w:rPr>
                <w:highlight w:val="yellow"/>
              </w:rPr>
              <w:t xml:space="preserve">. When CA is deployed frame timing and SFN are aligned across cells that can be aggregated, or an offset in multiples of slots between the </w:t>
            </w:r>
            <w:proofErr w:type="spellStart"/>
            <w:r w:rsidRPr="0090797C">
              <w:rPr>
                <w:highlight w:val="yellow"/>
              </w:rPr>
              <w:t>PCell</w:t>
            </w:r>
            <w:proofErr w:type="spellEnd"/>
            <w:r w:rsidRPr="0090797C">
              <w:rPr>
                <w:highlight w:val="yellow"/>
              </w:rPr>
              <w:t>/</w:t>
            </w:r>
            <w:proofErr w:type="spellStart"/>
            <w:r w:rsidRPr="0090797C">
              <w:rPr>
                <w:highlight w:val="yellow"/>
              </w:rPr>
              <w:t>PSCell</w:t>
            </w:r>
            <w:proofErr w:type="spellEnd"/>
            <w:r w:rsidRPr="0090797C">
              <w:rPr>
                <w:highlight w:val="yellow"/>
              </w:rPr>
              <w:t xml:space="preserve"> and </w:t>
            </w:r>
            <w:proofErr w:type="gramStart"/>
            <w:r w:rsidRPr="0090797C">
              <w:rPr>
                <w:highlight w:val="yellow"/>
              </w:rPr>
              <w:t>an</w:t>
            </w:r>
            <w:proofErr w:type="gramEnd"/>
            <w:r w:rsidRPr="0090797C">
              <w:rPr>
                <w:highlight w:val="yellow"/>
              </w:rPr>
              <w:t xml:space="preserve"> </w:t>
            </w:r>
            <w:proofErr w:type="spellStart"/>
            <w:r w:rsidRPr="0090797C">
              <w:rPr>
                <w:highlight w:val="yellow"/>
              </w:rPr>
              <w:t>SCell</w:t>
            </w:r>
            <w:proofErr w:type="spellEnd"/>
            <w:r w:rsidRPr="0090797C">
              <w:rPr>
                <w:highlight w:val="yellow"/>
              </w:rPr>
              <w:t xml:space="preserve"> is configured to the UE</w:t>
            </w:r>
            <w:r>
              <w:t>. The maximum number of configured CCs for a UE is 16 for DL and 16 for UL.</w:t>
            </w:r>
          </w:p>
          <w:p w:rsidR="0090797C" w:rsidRPr="0090797C" w:rsidRDefault="0090797C" w:rsidP="000A12FD">
            <w:pPr>
              <w:jc w:val="both"/>
              <w:rPr>
                <w:szCs w:val="24"/>
                <w:lang w:eastAsia="zh-CN"/>
              </w:rPr>
            </w:pPr>
          </w:p>
        </w:tc>
      </w:tr>
    </w:tbl>
    <w:p w:rsidR="0090797C" w:rsidRPr="00A00597" w:rsidRDefault="0090797C" w:rsidP="000A12FD">
      <w:pPr>
        <w:jc w:val="both"/>
        <w:rPr>
          <w:szCs w:val="24"/>
          <w:lang w:eastAsia="zh-CN"/>
        </w:rPr>
      </w:pPr>
    </w:p>
    <w:p w:rsidR="009C7606" w:rsidRDefault="00376522" w:rsidP="001E24D0">
      <w:pPr>
        <w:rPr>
          <w:rFonts w:eastAsiaTheme="minorEastAsia"/>
          <w:lang w:val="en-US" w:eastAsia="zh-CN"/>
        </w:rPr>
      </w:pPr>
      <w:r w:rsidRPr="00376522">
        <w:rPr>
          <w:rFonts w:eastAsiaTheme="minorEastAsia" w:hint="eastAsia"/>
          <w:lang w:val="en-US" w:eastAsia="zh-CN"/>
        </w:rPr>
        <w:t>T</w:t>
      </w:r>
      <w:r w:rsidRPr="00376522">
        <w:rPr>
          <w:rFonts w:eastAsiaTheme="minorEastAsia"/>
          <w:lang w:val="en-US" w:eastAsia="zh-CN"/>
        </w:rPr>
        <w:t>hus, for CA case, it is suggested to modify the definition of MRTD for FR1 and FR2-2 inter-band CA as the a relative transmission timing difference among the closest frame timing boundaries excluding slot offset if configured</w:t>
      </w:r>
      <w:r>
        <w:rPr>
          <w:rFonts w:eastAsiaTheme="minorEastAsia"/>
          <w:lang w:val="en-US" w:eastAsia="zh-CN"/>
        </w:rPr>
        <w:t>.</w:t>
      </w:r>
    </w:p>
    <w:p w:rsidR="00376522" w:rsidRPr="00376522" w:rsidRDefault="00376522" w:rsidP="001E24D0">
      <w:pPr>
        <w:rPr>
          <w:rFonts w:eastAsiaTheme="minorEastAsia"/>
          <w:b/>
          <w:lang w:val="en-US" w:eastAsia="zh-CN"/>
        </w:rPr>
      </w:pPr>
      <w:r w:rsidRPr="00376522">
        <w:rPr>
          <w:rFonts w:eastAsiaTheme="minorEastAsia"/>
          <w:b/>
          <w:lang w:val="en-US" w:eastAsia="zh-CN"/>
        </w:rPr>
        <w:t>Proposal 3: Modify the definition of MRTD for FR1 and FR2-2 inter-band CA as the a relative transmission timing difference among the closest frame timing boundaries excluding slot offset if configured.</w:t>
      </w:r>
    </w:p>
    <w:p w:rsidR="009C7606" w:rsidRPr="00376522" w:rsidRDefault="00376522" w:rsidP="00376522">
      <w:pPr>
        <w:jc w:val="both"/>
        <w:rPr>
          <w:szCs w:val="24"/>
          <w:lang w:eastAsia="zh-CN"/>
        </w:rPr>
      </w:pPr>
      <w:r w:rsidRPr="00376522">
        <w:rPr>
          <w:rFonts w:hint="eastAsia"/>
          <w:szCs w:val="24"/>
          <w:lang w:eastAsia="zh-CN"/>
        </w:rPr>
        <w:t>F</w:t>
      </w:r>
      <w:r w:rsidRPr="00376522">
        <w:rPr>
          <w:szCs w:val="24"/>
          <w:lang w:eastAsia="zh-CN"/>
        </w:rPr>
        <w:t>or NR DC case, companies suggest to have same modifications as CA. However, from our understanding, there is no synchronization assumptions for NR-DC. It could be seen from UE capability in TS 38.306 as follows:</w:t>
      </w: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76522" w:rsidTr="0037652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376522" w:rsidRDefault="00376522">
            <w:pPr>
              <w:pStyle w:val="TAL"/>
              <w:rPr>
                <w:b/>
                <w:i/>
                <w:lang w:val="en-GB" w:eastAsia="ja-JP"/>
              </w:rPr>
            </w:pPr>
            <w:bookmarkStart w:id="8" w:name="_Hlk19805092"/>
            <w:proofErr w:type="spellStart"/>
            <w:r>
              <w:rPr>
                <w:b/>
                <w:i/>
              </w:rPr>
              <w:t>sfn-SyncNRDC</w:t>
            </w:r>
            <w:proofErr w:type="spellEnd"/>
          </w:p>
          <w:p w:rsidR="00376522" w:rsidRDefault="00376522">
            <w:pPr>
              <w:pStyle w:val="TAL"/>
            </w:pPr>
            <w:r>
              <w:t xml:space="preserve">Indicates the UE supports NR-DC only with SFN and frame synchronization between </w:t>
            </w:r>
            <w:proofErr w:type="spellStart"/>
            <w:r>
              <w:t>PCell</w:t>
            </w:r>
            <w:proofErr w:type="spellEnd"/>
            <w:r>
              <w:t xml:space="preserve"> and </w:t>
            </w:r>
            <w:proofErr w:type="spellStart"/>
            <w:r>
              <w:t>PSCell</w:t>
            </w:r>
            <w:proofErr w:type="spellEnd"/>
            <w:r>
              <w:t>. If not included by the UE supporting NR-DC, the UE supports NR-DC with slot-level synchronization without condition on SFN and frame synchronization</w:t>
            </w:r>
            <w:bookmarkEnd w:id="8"/>
            <w:r>
              <w:t>. In this release of the specification, the UE shall not report this UE capability.</w:t>
            </w:r>
          </w:p>
        </w:tc>
        <w:tc>
          <w:tcPr>
            <w:tcW w:w="709" w:type="dxa"/>
            <w:tcBorders>
              <w:top w:val="single" w:sz="4" w:space="0" w:color="808080"/>
              <w:left w:val="single" w:sz="4" w:space="0" w:color="808080"/>
              <w:bottom w:val="single" w:sz="4" w:space="0" w:color="808080"/>
              <w:right w:val="single" w:sz="4" w:space="0" w:color="808080"/>
            </w:tcBorders>
            <w:hideMark/>
          </w:tcPr>
          <w:p w:rsidR="00376522" w:rsidRDefault="00376522">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rsidR="00376522" w:rsidRDefault="0037652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rsidR="00376522" w:rsidRDefault="00376522">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rsidR="00376522" w:rsidRDefault="00376522">
            <w:pPr>
              <w:pStyle w:val="TAL"/>
              <w:jc w:val="center"/>
            </w:pPr>
            <w:r>
              <w:t>No</w:t>
            </w:r>
          </w:p>
        </w:tc>
      </w:tr>
    </w:tbl>
    <w:p w:rsidR="00376522" w:rsidRDefault="00376522" w:rsidP="001E24D0">
      <w:pPr>
        <w:rPr>
          <w:rFonts w:eastAsiaTheme="minorEastAsia"/>
          <w:b/>
          <w:lang w:val="en-US" w:eastAsia="zh-CN"/>
        </w:rPr>
      </w:pPr>
    </w:p>
    <w:p w:rsidR="00376522" w:rsidRDefault="00376522" w:rsidP="001E24D0">
      <w:pPr>
        <w:rPr>
          <w:rFonts w:eastAsiaTheme="minorEastAsia"/>
          <w:lang w:val="en-US" w:eastAsia="zh-CN"/>
        </w:rPr>
      </w:pPr>
      <w:r w:rsidRPr="003069D8">
        <w:rPr>
          <w:rFonts w:eastAsiaTheme="minorEastAsia"/>
          <w:lang w:val="en-US" w:eastAsia="zh-CN"/>
        </w:rPr>
        <w:t xml:space="preserve">It could be observed that </w:t>
      </w:r>
      <w:r w:rsidR="003069D8" w:rsidRPr="003069D8">
        <w:rPr>
          <w:rFonts w:eastAsiaTheme="minorEastAsia"/>
          <w:lang w:val="en-US" w:eastAsia="zh-CN"/>
        </w:rPr>
        <w:t xml:space="preserve">UE only needs slot-level synchronization for NR-DC in later release. </w:t>
      </w:r>
      <w:r w:rsidR="003069D8">
        <w:rPr>
          <w:rFonts w:eastAsiaTheme="minorEastAsia"/>
          <w:lang w:val="en-US" w:eastAsia="zh-CN"/>
        </w:rPr>
        <w:t xml:space="preserve">Thus, there is no need to modify the definition of MRTD for NR-DC. In other words, if the MRTD for FR1 and FR2-2 NR-DC is defined as 33 us, it means there is no difference between sync NR-DC and </w:t>
      </w:r>
      <w:proofErr w:type="spellStart"/>
      <w:r w:rsidR="003069D8">
        <w:rPr>
          <w:rFonts w:eastAsiaTheme="minorEastAsia"/>
          <w:lang w:val="en-US" w:eastAsia="zh-CN"/>
        </w:rPr>
        <w:t>async</w:t>
      </w:r>
      <w:proofErr w:type="spellEnd"/>
      <w:r w:rsidR="003069D8">
        <w:rPr>
          <w:rFonts w:eastAsiaTheme="minorEastAsia"/>
          <w:lang w:val="en-US" w:eastAsia="zh-CN"/>
        </w:rPr>
        <w:t xml:space="preserve"> NR-DC.</w:t>
      </w:r>
    </w:p>
    <w:p w:rsidR="003069D8" w:rsidRPr="001D154C" w:rsidRDefault="003069D8" w:rsidP="001E24D0">
      <w:pPr>
        <w:rPr>
          <w:rFonts w:eastAsiaTheme="minorEastAsia"/>
          <w:b/>
          <w:lang w:val="en-US" w:eastAsia="zh-CN"/>
        </w:rPr>
      </w:pPr>
      <w:r w:rsidRPr="001D154C">
        <w:rPr>
          <w:rFonts w:eastAsiaTheme="minorEastAsia"/>
          <w:b/>
          <w:lang w:val="en-US" w:eastAsia="zh-CN"/>
        </w:rPr>
        <w:t>Proposal 4: No need to modify the definition of MRTD for NR-DC. The MRTD for FR1 and FR2-2 can be defined as 33 us or min (33us, 0.5 slot)</w:t>
      </w:r>
    </w:p>
    <w:p w:rsidR="009C7606" w:rsidRDefault="00153CFF" w:rsidP="001E24D0">
      <w:pPr>
        <w:rPr>
          <w:rFonts w:eastAsiaTheme="minorEastAsia"/>
          <w:lang w:val="en-US" w:eastAsia="zh-CN"/>
        </w:rPr>
      </w:pPr>
      <w:r w:rsidRPr="00153CFF">
        <w:rPr>
          <w:rFonts w:eastAsiaTheme="minorEastAsia" w:hint="eastAsia"/>
          <w:lang w:val="en-US" w:eastAsia="zh-CN"/>
        </w:rPr>
        <w:t>A</w:t>
      </w:r>
      <w:r w:rsidRPr="00153CFF">
        <w:rPr>
          <w:rFonts w:eastAsiaTheme="minorEastAsia"/>
          <w:lang w:val="en-US" w:eastAsia="zh-CN"/>
        </w:rPr>
        <w:t>nother point about intra-band CA is that intra-band non-contiguous CA within FR2-2 was down-scope from Rel-17 according to the discussion in RP#95e, which is captured in the exception sheet RP-220991. Thus, it is straightforward that there is no need to define requirements for intra-band non-contiguous CA within FR2-2</w:t>
      </w:r>
      <w:r>
        <w:rPr>
          <w:rFonts w:eastAsiaTheme="minorEastAsia"/>
          <w:lang w:val="en-US" w:eastAsia="zh-CN"/>
        </w:rPr>
        <w:t>.</w:t>
      </w:r>
    </w:p>
    <w:p w:rsidR="00153CFF" w:rsidRDefault="00153CFF" w:rsidP="001E24D0">
      <w:pPr>
        <w:rPr>
          <w:rFonts w:eastAsiaTheme="minorEastAsia"/>
          <w:b/>
          <w:lang w:val="en-US" w:eastAsia="zh-CN"/>
        </w:rPr>
      </w:pPr>
      <w:r w:rsidRPr="00153CFF">
        <w:rPr>
          <w:rFonts w:eastAsiaTheme="minorEastAsia"/>
          <w:b/>
          <w:lang w:val="en-US" w:eastAsia="zh-CN"/>
        </w:rPr>
        <w:t>Proposal 5: There is no need to define MRTD/MTTD requirements for intra-band non-contiguous CA within FR2-2.</w:t>
      </w:r>
    </w:p>
    <w:p w:rsidR="005E4952" w:rsidRDefault="0060131B" w:rsidP="001E24D0">
      <w:pPr>
        <w:rPr>
          <w:rFonts w:eastAsiaTheme="minorEastAsia"/>
          <w:lang w:val="en-US" w:eastAsia="zh-CN"/>
        </w:rPr>
      </w:pPr>
      <w:r w:rsidRPr="0060131B">
        <w:rPr>
          <w:rFonts w:eastAsiaTheme="minorEastAsia" w:hint="eastAsia"/>
          <w:lang w:val="en-US" w:eastAsia="zh-CN"/>
        </w:rPr>
        <w:t>Regarding th</w:t>
      </w:r>
      <w:r w:rsidRPr="0060131B">
        <w:rPr>
          <w:rFonts w:eastAsiaTheme="minorEastAsia"/>
          <w:lang w:val="en-US" w:eastAsia="zh-CN"/>
        </w:rPr>
        <w:t>e M</w:t>
      </w:r>
      <w:r>
        <w:rPr>
          <w:rFonts w:eastAsiaTheme="minorEastAsia"/>
          <w:lang w:val="en-US" w:eastAsia="zh-CN"/>
        </w:rPr>
        <w:t>T</w:t>
      </w:r>
      <w:r w:rsidRPr="0060131B">
        <w:rPr>
          <w:rFonts w:eastAsiaTheme="minorEastAsia"/>
          <w:lang w:val="en-US" w:eastAsia="zh-CN"/>
        </w:rPr>
        <w:t>TD requirements</w:t>
      </w:r>
      <w:r>
        <w:rPr>
          <w:rFonts w:eastAsiaTheme="minorEastAsia"/>
          <w:lang w:val="en-US" w:eastAsia="zh-CN"/>
        </w:rPr>
        <w:t>, the general principle is agreed as follows:</w:t>
      </w:r>
    </w:p>
    <w:tbl>
      <w:tblPr>
        <w:tblStyle w:val="TableGrid"/>
        <w:tblW w:w="0" w:type="auto"/>
        <w:tblLook w:val="04A0" w:firstRow="1" w:lastRow="0" w:firstColumn="1" w:lastColumn="0" w:noHBand="0" w:noVBand="1"/>
      </w:tblPr>
      <w:tblGrid>
        <w:gridCol w:w="9562"/>
      </w:tblGrid>
      <w:tr w:rsidR="0060131B" w:rsidTr="0060131B">
        <w:tc>
          <w:tcPr>
            <w:tcW w:w="9562" w:type="dxa"/>
          </w:tcPr>
          <w:p w:rsidR="0060131B" w:rsidRPr="00B63C8B" w:rsidRDefault="0060131B" w:rsidP="0060131B">
            <w:pPr>
              <w:pStyle w:val="ListParagraph"/>
              <w:numPr>
                <w:ilvl w:val="0"/>
                <w:numId w:val="34"/>
              </w:numPr>
              <w:overflowPunct w:val="0"/>
              <w:autoSpaceDE w:val="0"/>
              <w:autoSpaceDN w:val="0"/>
              <w:adjustRightInd w:val="0"/>
              <w:spacing w:before="120" w:after="120"/>
              <w:ind w:firstLineChars="0"/>
              <w:contextualSpacing/>
              <w:textAlignment w:val="baseline"/>
              <w:rPr>
                <w:highlight w:val="cyan"/>
                <w:lang w:val="en-US" w:eastAsia="ja-JP" w:bidi="hi-IN"/>
              </w:rPr>
            </w:pPr>
            <w:r w:rsidRPr="00B63C8B">
              <w:rPr>
                <w:highlight w:val="cyan"/>
                <w:lang w:val="en-US" w:eastAsia="ja-JP" w:bidi="hi-IN"/>
              </w:rPr>
              <w:t>Define MTTD requirements in FR2-2 based on the following rule:</w:t>
            </w:r>
          </w:p>
          <w:p w:rsidR="0060131B" w:rsidRPr="0060131B" w:rsidRDefault="0060131B" w:rsidP="001E24D0">
            <w:pPr>
              <w:pStyle w:val="ListParagraph"/>
              <w:numPr>
                <w:ilvl w:val="1"/>
                <w:numId w:val="34"/>
              </w:numPr>
              <w:overflowPunct w:val="0"/>
              <w:autoSpaceDE w:val="0"/>
              <w:autoSpaceDN w:val="0"/>
              <w:adjustRightInd w:val="0"/>
              <w:spacing w:before="120" w:after="120"/>
              <w:ind w:firstLineChars="0"/>
              <w:contextualSpacing/>
              <w:textAlignment w:val="baseline"/>
              <w:rPr>
                <w:highlight w:val="cyan"/>
                <w:lang w:val="en-US" w:eastAsia="ja-JP" w:bidi="hi-IN"/>
              </w:rPr>
            </w:pPr>
            <w:r w:rsidRPr="00B63C8B">
              <w:rPr>
                <w:highlight w:val="cyan"/>
                <w:lang w:val="en-US" w:eastAsia="ja-JP" w:bidi="hi-IN"/>
              </w:rPr>
              <w:t xml:space="preserve">MTTD = MRTD + (TA step size / 2+ TA adjustment accuracy + </w:t>
            </w:r>
            <w:proofErr w:type="spellStart"/>
            <w:r w:rsidRPr="00B63C8B">
              <w:rPr>
                <w:highlight w:val="cyan"/>
                <w:lang w:val="en-US" w:eastAsia="ja-JP" w:bidi="hi-IN"/>
              </w:rPr>
              <w:t>Te</w:t>
            </w:r>
            <w:proofErr w:type="spellEnd"/>
            <w:r w:rsidRPr="00B63C8B">
              <w:rPr>
                <w:highlight w:val="cyan"/>
                <w:lang w:val="en-US" w:eastAsia="ja-JP" w:bidi="hi-IN"/>
              </w:rPr>
              <w:t>) in cc1 + (TA step size / 2 + TA adjustment accuracy +</w:t>
            </w:r>
            <w:proofErr w:type="spellStart"/>
            <w:r w:rsidRPr="00B63C8B">
              <w:rPr>
                <w:highlight w:val="cyan"/>
                <w:lang w:val="en-US" w:eastAsia="ja-JP" w:bidi="hi-IN"/>
              </w:rPr>
              <w:t>Te</w:t>
            </w:r>
            <w:proofErr w:type="spellEnd"/>
            <w:r w:rsidRPr="00B63C8B">
              <w:rPr>
                <w:highlight w:val="cyan"/>
                <w:lang w:val="en-US" w:eastAsia="ja-JP" w:bidi="hi-IN"/>
              </w:rPr>
              <w:t>) in cc2</w:t>
            </w:r>
          </w:p>
        </w:tc>
      </w:tr>
    </w:tbl>
    <w:p w:rsidR="0060131B" w:rsidRDefault="0060131B" w:rsidP="001E24D0">
      <w:pPr>
        <w:rPr>
          <w:rFonts w:eastAsiaTheme="minorEastAsia"/>
          <w:lang w:val="en-US" w:eastAsia="zh-CN"/>
        </w:rPr>
      </w:pPr>
    </w:p>
    <w:p w:rsidR="0060131B" w:rsidRDefault="0060131B" w:rsidP="001E24D0">
      <w:pPr>
        <w:rPr>
          <w:rFonts w:eastAsiaTheme="minorEastAsia"/>
          <w:lang w:val="en-US" w:eastAsia="zh-CN"/>
        </w:rPr>
      </w:pPr>
      <w:r>
        <w:rPr>
          <w:rFonts w:eastAsiaTheme="minorEastAsia" w:hint="eastAsia"/>
          <w:lang w:val="en-US" w:eastAsia="zh-CN"/>
        </w:rPr>
        <w:lastRenderedPageBreak/>
        <w:t xml:space="preserve">Based on the status on </w:t>
      </w:r>
      <w:proofErr w:type="spellStart"/>
      <w:r>
        <w:rPr>
          <w:rFonts w:eastAsiaTheme="minorEastAsia" w:hint="eastAsia"/>
          <w:lang w:val="en-US" w:eastAsia="zh-CN"/>
        </w:rPr>
        <w:t>Te</w:t>
      </w:r>
      <w:proofErr w:type="spellEnd"/>
      <w:r>
        <w:rPr>
          <w:rFonts w:eastAsiaTheme="minorEastAsia" w:hint="eastAsia"/>
          <w:lang w:val="en-US" w:eastAsia="zh-CN"/>
        </w:rPr>
        <w:t xml:space="preserve">, TA </w:t>
      </w:r>
      <w:r>
        <w:rPr>
          <w:rFonts w:eastAsiaTheme="minorEastAsia"/>
          <w:lang w:val="en-US" w:eastAsia="zh-CN"/>
        </w:rPr>
        <w:t>adjustment</w:t>
      </w:r>
      <w:r>
        <w:rPr>
          <w:rFonts w:eastAsiaTheme="minorEastAsia" w:hint="eastAsia"/>
          <w:lang w:val="en-US" w:eastAsia="zh-CN"/>
        </w:rPr>
        <w:t xml:space="preserve"> </w:t>
      </w:r>
      <w:r>
        <w:rPr>
          <w:rFonts w:eastAsiaTheme="minorEastAsia"/>
          <w:lang w:val="en-US" w:eastAsia="zh-CN"/>
        </w:rPr>
        <w:t>accuracy</w:t>
      </w:r>
      <w:r>
        <w:rPr>
          <w:rFonts w:eastAsiaTheme="minorEastAsia" w:hint="eastAsia"/>
          <w:lang w:val="en-US" w:eastAsia="zh-CN"/>
        </w:rPr>
        <w:t xml:space="preserve"> </w:t>
      </w:r>
      <w:r>
        <w:rPr>
          <w:rFonts w:eastAsiaTheme="minorEastAsia"/>
          <w:lang w:val="en-US" w:eastAsia="zh-CN"/>
        </w:rPr>
        <w:t xml:space="preserve">and MRTD, the MTTD </w:t>
      </w:r>
      <w:r w:rsidR="004B182A">
        <w:rPr>
          <w:rFonts w:eastAsiaTheme="minorEastAsia"/>
          <w:lang w:val="en-US" w:eastAsia="zh-CN"/>
        </w:rPr>
        <w:t>for i</w:t>
      </w:r>
      <w:r w:rsidR="004B182A">
        <w:rPr>
          <w:rFonts w:eastAsiaTheme="minorEastAsia" w:hint="eastAsia"/>
          <w:lang w:val="en-US" w:eastAsia="zh-CN"/>
        </w:rPr>
        <w:t>nter-band FR1 and FR2-2</w:t>
      </w:r>
      <w:r w:rsidR="004B182A">
        <w:rPr>
          <w:rFonts w:eastAsiaTheme="minorEastAsia"/>
          <w:lang w:val="en-US" w:eastAsia="zh-CN"/>
        </w:rPr>
        <w:t xml:space="preserve"> CA and inter-band FR1 and FR2-2 NR-DC </w:t>
      </w:r>
      <w:r>
        <w:rPr>
          <w:rFonts w:eastAsiaTheme="minorEastAsia"/>
          <w:lang w:val="en-US" w:eastAsia="zh-CN"/>
        </w:rPr>
        <w:t xml:space="preserve">can be calculated as </w:t>
      </w:r>
      <w:r w:rsidR="004B182A">
        <w:rPr>
          <w:rFonts w:eastAsiaTheme="minorEastAsia"/>
          <w:lang w:val="en-US" w:eastAsia="zh-CN"/>
        </w:rPr>
        <w:t>26.0 us and 34.0 us</w:t>
      </w:r>
      <w:r>
        <w:rPr>
          <w:rFonts w:eastAsiaTheme="minorEastAsia"/>
          <w:lang w:val="en-US" w:eastAsia="zh-CN"/>
        </w:rPr>
        <w:t>. It should be noted that it may subject to further discussion on the value of the components.</w:t>
      </w:r>
    </w:p>
    <w:p w:rsidR="004B182A" w:rsidRPr="004B182A" w:rsidRDefault="004B182A" w:rsidP="001E24D0">
      <w:pPr>
        <w:rPr>
          <w:rFonts w:eastAsiaTheme="minorEastAsia"/>
          <w:b/>
          <w:lang w:val="en-US" w:eastAsia="zh-CN"/>
        </w:rPr>
      </w:pPr>
      <w:r w:rsidRPr="004B182A">
        <w:rPr>
          <w:rFonts w:eastAsiaTheme="minorEastAsia"/>
          <w:b/>
          <w:lang w:val="en-US" w:eastAsia="zh-CN"/>
        </w:rPr>
        <w:t>Observation 1: MTTD for i</w:t>
      </w:r>
      <w:r w:rsidRPr="004B182A">
        <w:rPr>
          <w:rFonts w:eastAsiaTheme="minorEastAsia" w:hint="eastAsia"/>
          <w:b/>
          <w:lang w:val="en-US" w:eastAsia="zh-CN"/>
        </w:rPr>
        <w:t>nter-band FR1 and FR2-2</w:t>
      </w:r>
      <w:r w:rsidRPr="004B182A">
        <w:rPr>
          <w:rFonts w:eastAsiaTheme="minorEastAsia"/>
          <w:b/>
          <w:lang w:val="en-US" w:eastAsia="zh-CN"/>
        </w:rPr>
        <w:t xml:space="preserve"> CA and inter-band FR1 and FR2-2 NR-DC can be calculated as 26.0 us and 34.0 us, which may subject to conclusion on MRTD and TA adjustment accuracy.</w:t>
      </w:r>
    </w:p>
    <w:p w:rsidR="00DF0231" w:rsidRDefault="00DF0231" w:rsidP="00DF0231">
      <w:pPr>
        <w:pStyle w:val="Heading1"/>
        <w:numPr>
          <w:ilvl w:val="0"/>
          <w:numId w:val="1"/>
        </w:numPr>
        <w:rPr>
          <w:lang w:val="en-US"/>
        </w:rPr>
      </w:pPr>
      <w:r w:rsidRPr="002D2977">
        <w:rPr>
          <w:lang w:val="en-US"/>
        </w:rPr>
        <w:t>Conclusions</w:t>
      </w:r>
    </w:p>
    <w:p w:rsidR="00027557" w:rsidRPr="00D0739E" w:rsidRDefault="00027557" w:rsidP="00027557">
      <w:pPr>
        <w:rPr>
          <w:rFonts w:eastAsiaTheme="minorEastAsia"/>
          <w:b/>
          <w:lang w:val="en-US" w:eastAsia="zh-CN"/>
        </w:rPr>
      </w:pPr>
      <w:r w:rsidRPr="00D0739E">
        <w:rPr>
          <w:rFonts w:eastAsiaTheme="minorEastAsia"/>
          <w:b/>
          <w:lang w:val="en-US" w:eastAsia="zh-CN"/>
        </w:rPr>
        <w:t xml:space="preserve">Proposal 1: For UL SCS of 120 kHz in FR2-2, a UE is required to meet the UL timing accuracy requirements if an SSB is available in the last 160 </w:t>
      </w:r>
      <w:proofErr w:type="spellStart"/>
      <w:r w:rsidRPr="00D0739E">
        <w:rPr>
          <w:rFonts w:eastAsiaTheme="minorEastAsia"/>
          <w:b/>
          <w:lang w:val="en-US" w:eastAsia="zh-CN"/>
        </w:rPr>
        <w:t>ms</w:t>
      </w:r>
      <w:proofErr w:type="spellEnd"/>
      <w:r w:rsidRPr="00D0739E">
        <w:rPr>
          <w:rFonts w:eastAsiaTheme="minorEastAsia"/>
          <w:b/>
          <w:lang w:val="en-US" w:eastAsia="zh-CN"/>
        </w:rPr>
        <w:t xml:space="preserve">, and </w:t>
      </w:r>
      <w:proofErr w:type="spellStart"/>
      <w:r w:rsidRPr="00D0739E">
        <w:rPr>
          <w:rFonts w:eastAsiaTheme="minorEastAsia"/>
          <w:b/>
          <w:lang w:val="en-US" w:eastAsia="zh-CN"/>
        </w:rPr>
        <w:t>Te</w:t>
      </w:r>
      <w:proofErr w:type="spellEnd"/>
      <w:r w:rsidRPr="00D0739E">
        <w:rPr>
          <w:rFonts w:eastAsiaTheme="minorEastAsia"/>
          <w:b/>
          <w:lang w:val="en-US" w:eastAsia="zh-CN"/>
        </w:rPr>
        <w:t xml:space="preserve"> is proposed to be 2.7*64*Tc when SSB is 480 KHz and 2.5*64*Tc when SSB is 960 KHz.</w:t>
      </w:r>
    </w:p>
    <w:p w:rsidR="00027557" w:rsidRPr="009C7606" w:rsidRDefault="00027557" w:rsidP="00027557">
      <w:pPr>
        <w:jc w:val="both"/>
        <w:rPr>
          <w:rFonts w:eastAsiaTheme="minorEastAsia"/>
          <w:b/>
          <w:lang w:val="en-US" w:eastAsia="zh-CN"/>
        </w:rPr>
      </w:pPr>
      <w:r w:rsidRPr="009C7606">
        <w:rPr>
          <w:rFonts w:eastAsiaTheme="minorEastAsia"/>
          <w:b/>
          <w:lang w:val="en-US" w:eastAsia="zh-CN"/>
        </w:rPr>
        <w:t xml:space="preserve">Proposal 2: Define gradual timing adjustment in finer granularity with 100 </w:t>
      </w:r>
      <w:proofErr w:type="spellStart"/>
      <w:r w:rsidRPr="009C7606">
        <w:rPr>
          <w:rFonts w:eastAsiaTheme="minorEastAsia"/>
          <w:b/>
          <w:lang w:val="en-US" w:eastAsia="zh-CN"/>
        </w:rPr>
        <w:t>ms</w:t>
      </w:r>
      <w:proofErr w:type="spellEnd"/>
      <w:r w:rsidRPr="009C7606">
        <w:rPr>
          <w:rFonts w:eastAsiaTheme="minorEastAsia"/>
          <w:b/>
          <w:lang w:val="en-US" w:eastAsia="zh-CN"/>
        </w:rPr>
        <w:t>, which will leads to total 12.8 ns timing drift, and take the TA adjustment accuracy as baseline for the RF margin.</w:t>
      </w:r>
    </w:p>
    <w:p w:rsidR="00027557" w:rsidRPr="00376522" w:rsidRDefault="00027557" w:rsidP="00027557">
      <w:pPr>
        <w:rPr>
          <w:rFonts w:eastAsiaTheme="minorEastAsia"/>
          <w:b/>
          <w:lang w:val="en-US" w:eastAsia="zh-CN"/>
        </w:rPr>
      </w:pPr>
      <w:r w:rsidRPr="00376522">
        <w:rPr>
          <w:rFonts w:eastAsiaTheme="minorEastAsia"/>
          <w:b/>
          <w:lang w:val="en-US" w:eastAsia="zh-CN"/>
        </w:rPr>
        <w:t>Proposal 3: Modify the definition of MRTD for FR1 and FR2-2 inter-band CA as the a relative transmission timing difference among the closest frame timing boundaries excluding slot offset if configured.</w:t>
      </w:r>
    </w:p>
    <w:p w:rsidR="00027557" w:rsidRPr="001D154C" w:rsidRDefault="00027557" w:rsidP="00027557">
      <w:pPr>
        <w:rPr>
          <w:rFonts w:eastAsiaTheme="minorEastAsia"/>
          <w:b/>
          <w:lang w:val="en-US" w:eastAsia="zh-CN"/>
        </w:rPr>
      </w:pPr>
      <w:r w:rsidRPr="001D154C">
        <w:rPr>
          <w:rFonts w:eastAsiaTheme="minorEastAsia"/>
          <w:b/>
          <w:lang w:val="en-US" w:eastAsia="zh-CN"/>
        </w:rPr>
        <w:t>Proposal 4: No need to modify the definition of MRTD for NR-DC. The MRTD for FR1 and FR2-2 can be defined as 33 us or min (33us, 0.5 slot)</w:t>
      </w:r>
    </w:p>
    <w:p w:rsidR="00027557" w:rsidRDefault="00027557" w:rsidP="00027557">
      <w:pPr>
        <w:rPr>
          <w:rFonts w:eastAsiaTheme="minorEastAsia"/>
          <w:b/>
          <w:lang w:val="en-US" w:eastAsia="zh-CN"/>
        </w:rPr>
      </w:pPr>
      <w:r w:rsidRPr="00153CFF">
        <w:rPr>
          <w:rFonts w:eastAsiaTheme="minorEastAsia"/>
          <w:b/>
          <w:lang w:val="en-US" w:eastAsia="zh-CN"/>
        </w:rPr>
        <w:t>Proposal 5: There is no need to define MRTD/MTTD requirements for intra-band non-contiguous CA within FR2-2.</w:t>
      </w:r>
    </w:p>
    <w:p w:rsidR="00027557" w:rsidRPr="004B182A" w:rsidRDefault="00027557" w:rsidP="00027557">
      <w:pPr>
        <w:rPr>
          <w:rFonts w:eastAsiaTheme="minorEastAsia"/>
          <w:b/>
          <w:lang w:val="en-US" w:eastAsia="zh-CN"/>
        </w:rPr>
      </w:pPr>
      <w:r w:rsidRPr="004B182A">
        <w:rPr>
          <w:rFonts w:eastAsiaTheme="minorEastAsia"/>
          <w:b/>
          <w:lang w:val="en-US" w:eastAsia="zh-CN"/>
        </w:rPr>
        <w:t>Observation 1: MTTD for i</w:t>
      </w:r>
      <w:r w:rsidRPr="004B182A">
        <w:rPr>
          <w:rFonts w:eastAsiaTheme="minorEastAsia" w:hint="eastAsia"/>
          <w:b/>
          <w:lang w:val="en-US" w:eastAsia="zh-CN"/>
        </w:rPr>
        <w:t>nter-band FR1 and FR2-2</w:t>
      </w:r>
      <w:r w:rsidRPr="004B182A">
        <w:rPr>
          <w:rFonts w:eastAsiaTheme="minorEastAsia"/>
          <w:b/>
          <w:lang w:val="en-US" w:eastAsia="zh-CN"/>
        </w:rPr>
        <w:t xml:space="preserve"> CA and inter-band FR1 and FR2-2 NR-DC can be calculated as 26.0 us and 34.0 us, which may subject to conclusion on MRTD and TA adjustment accuracy.</w:t>
      </w:r>
    </w:p>
    <w:p w:rsidR="007D2DFC" w:rsidRPr="00027557" w:rsidRDefault="007D2DFC" w:rsidP="00BE194F">
      <w:pPr>
        <w:rPr>
          <w:rFonts w:eastAsiaTheme="minorEastAsia"/>
          <w:b/>
          <w:lang w:val="en-US"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771E1C" w:rsidRDefault="00771E1C" w:rsidP="00771E1C">
      <w:r>
        <w:rPr>
          <w:lang w:val="en-US"/>
        </w:rPr>
        <w:t xml:space="preserve">[1] </w:t>
      </w:r>
      <w:r w:rsidR="00C35CB3" w:rsidRPr="00C35CB3">
        <w:t>R4- 2206919</w:t>
      </w:r>
      <w:r>
        <w:rPr>
          <w:lang w:val="en-US"/>
        </w:rPr>
        <w:t xml:space="preserve"> </w:t>
      </w:r>
      <w:r w:rsidRPr="008317D1">
        <w:t>WF on NR extension to 71 GHz RRM requirements (Part 1)</w:t>
      </w:r>
      <w:r>
        <w:rPr>
          <w:lang w:val="en-US"/>
        </w:rPr>
        <w:t xml:space="preserve">, </w:t>
      </w:r>
      <w:r w:rsidRPr="008317D1">
        <w:t>Qualcomm</w:t>
      </w:r>
    </w:p>
    <w:p w:rsidR="00152334" w:rsidRDefault="00152334" w:rsidP="00771E1C">
      <w:r>
        <w:t xml:space="preserve">[2] </w:t>
      </w:r>
      <w:r w:rsidRPr="00F20BD1">
        <w:rPr>
          <w:lang w:eastAsia="zh-CN" w:bidi="hi-IN"/>
        </w:rPr>
        <w:t>R4-2207122</w:t>
      </w:r>
      <w:r>
        <w:rPr>
          <w:lang w:eastAsia="zh-CN" w:bidi="hi-IN"/>
        </w:rPr>
        <w:t xml:space="preserve"> </w:t>
      </w:r>
      <w:r>
        <w:t>Big CR: RRM requirements for Rel-17 NR extension to 71GHz, Intel Corporation, Qualcomm</w:t>
      </w:r>
    </w:p>
    <w:p w:rsidR="00771E1C" w:rsidRDefault="00771E1C" w:rsidP="00771E1C">
      <w:r>
        <w:t>[</w:t>
      </w:r>
      <w:r w:rsidR="00D0739E">
        <w:t>3</w:t>
      </w:r>
      <w:r>
        <w:t xml:space="preserve">] </w:t>
      </w:r>
      <w:r w:rsidR="00D0739E" w:rsidRPr="003C53A0">
        <w:t>R4-2201787</w:t>
      </w:r>
      <w:r>
        <w:t xml:space="preserve"> </w:t>
      </w:r>
      <w:r w:rsidR="00D0739E" w:rsidRPr="00D0739E">
        <w:t>Discussion on timing requirements for NR 52.6 – 71 GHz</w:t>
      </w:r>
      <w:r>
        <w:t>, Intel</w:t>
      </w:r>
    </w:p>
    <w:p w:rsidR="00637A49" w:rsidRPr="00771E1C" w:rsidRDefault="00637A49" w:rsidP="00637A49">
      <w:pPr>
        <w:rPr>
          <w:rFonts w:eastAsiaTheme="minorEastAsia"/>
        </w:rPr>
      </w:pPr>
    </w:p>
    <w:p w:rsidR="00BA4C0A" w:rsidRPr="00D0739E" w:rsidRDefault="00BA4C0A">
      <w:pPr>
        <w:rPr>
          <w:rFonts w:eastAsiaTheme="minorEastAsia"/>
          <w:lang w:eastAsia="zh-CN"/>
        </w:rPr>
      </w:pPr>
    </w:p>
    <w:sectPr w:rsidR="00BA4C0A" w:rsidRPr="00D0739E"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2C2" w:rsidRDefault="007E42C2">
      <w:pPr>
        <w:spacing w:after="0"/>
      </w:pPr>
      <w:r>
        <w:separator/>
      </w:r>
    </w:p>
  </w:endnote>
  <w:endnote w:type="continuationSeparator" w:id="0">
    <w:p w:rsidR="007E42C2" w:rsidRDefault="007E42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54C" w:rsidRDefault="001D154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1D154C" w:rsidRDefault="001D15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54C" w:rsidRDefault="001D154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0A77">
      <w:rPr>
        <w:rStyle w:val="PageNumber"/>
      </w:rPr>
      <w:t>4</w:t>
    </w:r>
    <w:r>
      <w:rPr>
        <w:rStyle w:val="PageNumber"/>
      </w:rPr>
      <w:fldChar w:fldCharType="end"/>
    </w:r>
  </w:p>
  <w:p w:rsidR="001D154C" w:rsidRDefault="001D154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2C2" w:rsidRDefault="007E42C2">
      <w:pPr>
        <w:spacing w:after="0"/>
      </w:pPr>
      <w:r>
        <w:separator/>
      </w:r>
    </w:p>
  </w:footnote>
  <w:footnote w:type="continuationSeparator" w:id="0">
    <w:p w:rsidR="007E42C2" w:rsidRDefault="007E42C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5"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9"/>
  </w:num>
  <w:num w:numId="3">
    <w:abstractNumId w:val="35"/>
  </w:num>
  <w:num w:numId="4">
    <w:abstractNumId w:val="34"/>
  </w:num>
  <w:num w:numId="5">
    <w:abstractNumId w:val="0"/>
  </w:num>
  <w:num w:numId="6">
    <w:abstractNumId w:val="15"/>
  </w:num>
  <w:num w:numId="7">
    <w:abstractNumId w:val="6"/>
  </w:num>
  <w:num w:numId="8">
    <w:abstractNumId w:val="23"/>
  </w:num>
  <w:num w:numId="9">
    <w:abstractNumId w:val="27"/>
  </w:num>
  <w:num w:numId="10">
    <w:abstractNumId w:val="16"/>
  </w:num>
  <w:num w:numId="11">
    <w:abstractNumId w:val="18"/>
  </w:num>
  <w:num w:numId="12">
    <w:abstractNumId w:val="4"/>
  </w:num>
  <w:num w:numId="13">
    <w:abstractNumId w:val="9"/>
  </w:num>
  <w:num w:numId="1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32"/>
  </w:num>
  <w:num w:numId="17">
    <w:abstractNumId w:val="31"/>
  </w:num>
  <w:num w:numId="18">
    <w:abstractNumId w:val="11"/>
  </w:num>
  <w:num w:numId="19">
    <w:abstractNumId w:val="1"/>
  </w:num>
  <w:num w:numId="20">
    <w:abstractNumId w:val="10"/>
  </w:num>
  <w:num w:numId="21">
    <w:abstractNumId w:val="28"/>
  </w:num>
  <w:num w:numId="22">
    <w:abstractNumId w:val="21"/>
  </w:num>
  <w:num w:numId="23">
    <w:abstractNumId w:val="20"/>
  </w:num>
  <w:num w:numId="24">
    <w:abstractNumId w:val="24"/>
  </w:num>
  <w:num w:numId="25">
    <w:abstractNumId w:val="25"/>
  </w:num>
  <w:num w:numId="26">
    <w:abstractNumId w:val="2"/>
  </w:num>
  <w:num w:numId="27">
    <w:abstractNumId w:val="7"/>
  </w:num>
  <w:num w:numId="28">
    <w:abstractNumId w:val="5"/>
  </w:num>
  <w:num w:numId="29">
    <w:abstractNumId w:val="14"/>
  </w:num>
  <w:num w:numId="30">
    <w:abstractNumId w:val="26"/>
  </w:num>
  <w:num w:numId="31">
    <w:abstractNumId w:val="30"/>
  </w:num>
  <w:num w:numId="32">
    <w:abstractNumId w:val="17"/>
  </w:num>
  <w:num w:numId="33">
    <w:abstractNumId w:val="8"/>
  </w:num>
  <w:num w:numId="34">
    <w:abstractNumId w:val="19"/>
  </w:num>
  <w:num w:numId="35">
    <w:abstractNumId w:val="22"/>
  </w:num>
  <w:num w:numId="36">
    <w:abstractNumId w:val="3"/>
  </w:num>
  <w:num w:numId="37">
    <w:abstractNumId w:val="13"/>
  </w:num>
  <w:num w:numId="38">
    <w:abstractNumId w:val="20"/>
  </w:num>
  <w:num w:numId="39">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0F96"/>
    <w:rsid w:val="000131D4"/>
    <w:rsid w:val="00025036"/>
    <w:rsid w:val="00027557"/>
    <w:rsid w:val="00035B7C"/>
    <w:rsid w:val="00035D42"/>
    <w:rsid w:val="00040779"/>
    <w:rsid w:val="0004356B"/>
    <w:rsid w:val="0004558E"/>
    <w:rsid w:val="00046547"/>
    <w:rsid w:val="00055B5D"/>
    <w:rsid w:val="00063B55"/>
    <w:rsid w:val="00063E08"/>
    <w:rsid w:val="000676A1"/>
    <w:rsid w:val="00067A48"/>
    <w:rsid w:val="00067B89"/>
    <w:rsid w:val="000731A5"/>
    <w:rsid w:val="00076C0A"/>
    <w:rsid w:val="00086874"/>
    <w:rsid w:val="00087858"/>
    <w:rsid w:val="000903D2"/>
    <w:rsid w:val="00096503"/>
    <w:rsid w:val="00097E39"/>
    <w:rsid w:val="000A12FD"/>
    <w:rsid w:val="000A1878"/>
    <w:rsid w:val="000A2ED7"/>
    <w:rsid w:val="000A4BCB"/>
    <w:rsid w:val="000A5097"/>
    <w:rsid w:val="000A7A19"/>
    <w:rsid w:val="000B15EC"/>
    <w:rsid w:val="000C2147"/>
    <w:rsid w:val="000D2930"/>
    <w:rsid w:val="000D59F6"/>
    <w:rsid w:val="000D6B9B"/>
    <w:rsid w:val="000E0A8A"/>
    <w:rsid w:val="000E2C03"/>
    <w:rsid w:val="000F04C6"/>
    <w:rsid w:val="000F39EE"/>
    <w:rsid w:val="000F7DE7"/>
    <w:rsid w:val="0010016B"/>
    <w:rsid w:val="00100360"/>
    <w:rsid w:val="00104362"/>
    <w:rsid w:val="00110BAD"/>
    <w:rsid w:val="0011207E"/>
    <w:rsid w:val="001230FF"/>
    <w:rsid w:val="001241FC"/>
    <w:rsid w:val="00124231"/>
    <w:rsid w:val="001328F2"/>
    <w:rsid w:val="00132B63"/>
    <w:rsid w:val="001365E9"/>
    <w:rsid w:val="001406A8"/>
    <w:rsid w:val="0014128A"/>
    <w:rsid w:val="00141870"/>
    <w:rsid w:val="001435CB"/>
    <w:rsid w:val="00151949"/>
    <w:rsid w:val="00151E2B"/>
    <w:rsid w:val="00152334"/>
    <w:rsid w:val="001531EC"/>
    <w:rsid w:val="00153CFF"/>
    <w:rsid w:val="00161981"/>
    <w:rsid w:val="00163724"/>
    <w:rsid w:val="00165992"/>
    <w:rsid w:val="001734E7"/>
    <w:rsid w:val="00175B04"/>
    <w:rsid w:val="0017747E"/>
    <w:rsid w:val="0018314E"/>
    <w:rsid w:val="00184719"/>
    <w:rsid w:val="00197964"/>
    <w:rsid w:val="001A0A8D"/>
    <w:rsid w:val="001A1E7C"/>
    <w:rsid w:val="001C4240"/>
    <w:rsid w:val="001C5D98"/>
    <w:rsid w:val="001D154C"/>
    <w:rsid w:val="001D3006"/>
    <w:rsid w:val="001E24D0"/>
    <w:rsid w:val="001E7174"/>
    <w:rsid w:val="0020000C"/>
    <w:rsid w:val="0020033A"/>
    <w:rsid w:val="00207FF4"/>
    <w:rsid w:val="00216AAB"/>
    <w:rsid w:val="00217770"/>
    <w:rsid w:val="002204E2"/>
    <w:rsid w:val="002221AC"/>
    <w:rsid w:val="00222A85"/>
    <w:rsid w:val="00222AF7"/>
    <w:rsid w:val="00232120"/>
    <w:rsid w:val="002328DD"/>
    <w:rsid w:val="00234AA1"/>
    <w:rsid w:val="00243552"/>
    <w:rsid w:val="00243BFC"/>
    <w:rsid w:val="002454B4"/>
    <w:rsid w:val="00245810"/>
    <w:rsid w:val="00254F38"/>
    <w:rsid w:val="00267D3F"/>
    <w:rsid w:val="00272F1F"/>
    <w:rsid w:val="0027365E"/>
    <w:rsid w:val="002736F0"/>
    <w:rsid w:val="00282D3C"/>
    <w:rsid w:val="00294B79"/>
    <w:rsid w:val="002978A7"/>
    <w:rsid w:val="002A0BB1"/>
    <w:rsid w:val="002A235C"/>
    <w:rsid w:val="002A2EF8"/>
    <w:rsid w:val="002A5E54"/>
    <w:rsid w:val="002B45C3"/>
    <w:rsid w:val="002B6FD5"/>
    <w:rsid w:val="002D2FA8"/>
    <w:rsid w:val="002E109C"/>
    <w:rsid w:val="002E3A74"/>
    <w:rsid w:val="002E668C"/>
    <w:rsid w:val="002F00F2"/>
    <w:rsid w:val="002F4B64"/>
    <w:rsid w:val="002F579F"/>
    <w:rsid w:val="003043B0"/>
    <w:rsid w:val="003069D8"/>
    <w:rsid w:val="00311CF9"/>
    <w:rsid w:val="003158EC"/>
    <w:rsid w:val="00321181"/>
    <w:rsid w:val="00323702"/>
    <w:rsid w:val="003356E3"/>
    <w:rsid w:val="00336939"/>
    <w:rsid w:val="003422A4"/>
    <w:rsid w:val="00352697"/>
    <w:rsid w:val="00356FB6"/>
    <w:rsid w:val="003622B2"/>
    <w:rsid w:val="00362F43"/>
    <w:rsid w:val="003664ED"/>
    <w:rsid w:val="00376522"/>
    <w:rsid w:val="00377D59"/>
    <w:rsid w:val="003844DE"/>
    <w:rsid w:val="0038462A"/>
    <w:rsid w:val="0038557C"/>
    <w:rsid w:val="003866C4"/>
    <w:rsid w:val="003A5CBC"/>
    <w:rsid w:val="003A5E2B"/>
    <w:rsid w:val="003B3884"/>
    <w:rsid w:val="003C092B"/>
    <w:rsid w:val="003C6DC4"/>
    <w:rsid w:val="003D6F09"/>
    <w:rsid w:val="003E6285"/>
    <w:rsid w:val="003E7C96"/>
    <w:rsid w:val="003F762D"/>
    <w:rsid w:val="00401473"/>
    <w:rsid w:val="00415933"/>
    <w:rsid w:val="00423683"/>
    <w:rsid w:val="00423FB0"/>
    <w:rsid w:val="004273E7"/>
    <w:rsid w:val="00430F24"/>
    <w:rsid w:val="00435D65"/>
    <w:rsid w:val="00435EBD"/>
    <w:rsid w:val="00451B80"/>
    <w:rsid w:val="00455FD0"/>
    <w:rsid w:val="004569BB"/>
    <w:rsid w:val="00466D02"/>
    <w:rsid w:val="00477263"/>
    <w:rsid w:val="00485549"/>
    <w:rsid w:val="0049501A"/>
    <w:rsid w:val="004A0F19"/>
    <w:rsid w:val="004A29B2"/>
    <w:rsid w:val="004A678E"/>
    <w:rsid w:val="004A7CF2"/>
    <w:rsid w:val="004A7F44"/>
    <w:rsid w:val="004B182A"/>
    <w:rsid w:val="004B1ECE"/>
    <w:rsid w:val="004B4633"/>
    <w:rsid w:val="004C11F4"/>
    <w:rsid w:val="004C4868"/>
    <w:rsid w:val="004D3C97"/>
    <w:rsid w:val="004D5EAE"/>
    <w:rsid w:val="004E3732"/>
    <w:rsid w:val="004E5D51"/>
    <w:rsid w:val="004F0167"/>
    <w:rsid w:val="004F344B"/>
    <w:rsid w:val="00502991"/>
    <w:rsid w:val="00505B5F"/>
    <w:rsid w:val="00514A5F"/>
    <w:rsid w:val="0052002B"/>
    <w:rsid w:val="005235DB"/>
    <w:rsid w:val="00527DD4"/>
    <w:rsid w:val="00530EB0"/>
    <w:rsid w:val="00533C4E"/>
    <w:rsid w:val="005375AA"/>
    <w:rsid w:val="005409B9"/>
    <w:rsid w:val="00545EC2"/>
    <w:rsid w:val="0054734A"/>
    <w:rsid w:val="005546D8"/>
    <w:rsid w:val="00554807"/>
    <w:rsid w:val="005567E5"/>
    <w:rsid w:val="00557527"/>
    <w:rsid w:val="005755A4"/>
    <w:rsid w:val="005763DF"/>
    <w:rsid w:val="00582652"/>
    <w:rsid w:val="005906DB"/>
    <w:rsid w:val="005A2A55"/>
    <w:rsid w:val="005A2C70"/>
    <w:rsid w:val="005A456B"/>
    <w:rsid w:val="005B0D68"/>
    <w:rsid w:val="005B6053"/>
    <w:rsid w:val="005C337F"/>
    <w:rsid w:val="005D15A2"/>
    <w:rsid w:val="005D231A"/>
    <w:rsid w:val="005D3DC0"/>
    <w:rsid w:val="005D6BEF"/>
    <w:rsid w:val="005E29AA"/>
    <w:rsid w:val="005E4952"/>
    <w:rsid w:val="005E4CCD"/>
    <w:rsid w:val="005F5231"/>
    <w:rsid w:val="005F74CF"/>
    <w:rsid w:val="0060131B"/>
    <w:rsid w:val="006014ED"/>
    <w:rsid w:val="00604490"/>
    <w:rsid w:val="0060650F"/>
    <w:rsid w:val="00607CE8"/>
    <w:rsid w:val="0061679F"/>
    <w:rsid w:val="00622EBC"/>
    <w:rsid w:val="00622FBA"/>
    <w:rsid w:val="00625728"/>
    <w:rsid w:val="00637A49"/>
    <w:rsid w:val="0065634B"/>
    <w:rsid w:val="0066186B"/>
    <w:rsid w:val="00672FCE"/>
    <w:rsid w:val="006769A2"/>
    <w:rsid w:val="00677991"/>
    <w:rsid w:val="00681F59"/>
    <w:rsid w:val="006901CA"/>
    <w:rsid w:val="006A68E5"/>
    <w:rsid w:val="006A7936"/>
    <w:rsid w:val="006A7B70"/>
    <w:rsid w:val="006B21AC"/>
    <w:rsid w:val="006B637D"/>
    <w:rsid w:val="006C3D21"/>
    <w:rsid w:val="006C4BDB"/>
    <w:rsid w:val="006D43CD"/>
    <w:rsid w:val="006D7325"/>
    <w:rsid w:val="006E2BAB"/>
    <w:rsid w:val="006F1BAF"/>
    <w:rsid w:val="006F27CD"/>
    <w:rsid w:val="006F5874"/>
    <w:rsid w:val="00701598"/>
    <w:rsid w:val="007028B4"/>
    <w:rsid w:val="00702FA5"/>
    <w:rsid w:val="00703B4D"/>
    <w:rsid w:val="00712395"/>
    <w:rsid w:val="00712608"/>
    <w:rsid w:val="00714064"/>
    <w:rsid w:val="007166C4"/>
    <w:rsid w:val="007200C7"/>
    <w:rsid w:val="00723883"/>
    <w:rsid w:val="00732D90"/>
    <w:rsid w:val="007334B6"/>
    <w:rsid w:val="00734B34"/>
    <w:rsid w:val="00736D84"/>
    <w:rsid w:val="00751E52"/>
    <w:rsid w:val="00763EF7"/>
    <w:rsid w:val="00766048"/>
    <w:rsid w:val="007711B8"/>
    <w:rsid w:val="0077159B"/>
    <w:rsid w:val="00771E1C"/>
    <w:rsid w:val="007825B4"/>
    <w:rsid w:val="00782C5D"/>
    <w:rsid w:val="00784099"/>
    <w:rsid w:val="00786C50"/>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E2057"/>
    <w:rsid w:val="007E2E8A"/>
    <w:rsid w:val="007E42C2"/>
    <w:rsid w:val="007E5F97"/>
    <w:rsid w:val="007E67EC"/>
    <w:rsid w:val="007F045C"/>
    <w:rsid w:val="007F2371"/>
    <w:rsid w:val="007F2E6A"/>
    <w:rsid w:val="007F7E14"/>
    <w:rsid w:val="008001CA"/>
    <w:rsid w:val="00804945"/>
    <w:rsid w:val="00814B83"/>
    <w:rsid w:val="00821B76"/>
    <w:rsid w:val="00826A80"/>
    <w:rsid w:val="00835745"/>
    <w:rsid w:val="00836C28"/>
    <w:rsid w:val="008408E7"/>
    <w:rsid w:val="00840E09"/>
    <w:rsid w:val="00841386"/>
    <w:rsid w:val="008446CE"/>
    <w:rsid w:val="00852630"/>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D2D3D"/>
    <w:rsid w:val="008D55C5"/>
    <w:rsid w:val="008E2591"/>
    <w:rsid w:val="008E446A"/>
    <w:rsid w:val="008E5C09"/>
    <w:rsid w:val="008E79C6"/>
    <w:rsid w:val="008F37CA"/>
    <w:rsid w:val="008F4CD0"/>
    <w:rsid w:val="008F67CF"/>
    <w:rsid w:val="00904C87"/>
    <w:rsid w:val="0090797C"/>
    <w:rsid w:val="009118FA"/>
    <w:rsid w:val="00914A03"/>
    <w:rsid w:val="00915DEA"/>
    <w:rsid w:val="0092386A"/>
    <w:rsid w:val="00923CC3"/>
    <w:rsid w:val="0092433F"/>
    <w:rsid w:val="00931830"/>
    <w:rsid w:val="009333B5"/>
    <w:rsid w:val="009450D8"/>
    <w:rsid w:val="009524AD"/>
    <w:rsid w:val="00957098"/>
    <w:rsid w:val="009660E3"/>
    <w:rsid w:val="009708D0"/>
    <w:rsid w:val="00972D26"/>
    <w:rsid w:val="00973C4C"/>
    <w:rsid w:val="009814D6"/>
    <w:rsid w:val="0099102E"/>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186E"/>
    <w:rsid w:val="009E3C27"/>
    <w:rsid w:val="009E6763"/>
    <w:rsid w:val="009E6DC8"/>
    <w:rsid w:val="009E7810"/>
    <w:rsid w:val="009F583E"/>
    <w:rsid w:val="009F7F10"/>
    <w:rsid w:val="00A00597"/>
    <w:rsid w:val="00A0093B"/>
    <w:rsid w:val="00A1597D"/>
    <w:rsid w:val="00A22790"/>
    <w:rsid w:val="00A26AB0"/>
    <w:rsid w:val="00A34913"/>
    <w:rsid w:val="00A35F07"/>
    <w:rsid w:val="00A36D03"/>
    <w:rsid w:val="00A42E3A"/>
    <w:rsid w:val="00A63AF5"/>
    <w:rsid w:val="00A657C7"/>
    <w:rsid w:val="00A7739E"/>
    <w:rsid w:val="00A777D8"/>
    <w:rsid w:val="00A848D0"/>
    <w:rsid w:val="00A87084"/>
    <w:rsid w:val="00A93E0D"/>
    <w:rsid w:val="00AB1128"/>
    <w:rsid w:val="00AC2317"/>
    <w:rsid w:val="00AC2C97"/>
    <w:rsid w:val="00AC2CD4"/>
    <w:rsid w:val="00AC7A7B"/>
    <w:rsid w:val="00AD0679"/>
    <w:rsid w:val="00AD65F4"/>
    <w:rsid w:val="00AD69AA"/>
    <w:rsid w:val="00AE1670"/>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343A3"/>
    <w:rsid w:val="00B41E6D"/>
    <w:rsid w:val="00B450D5"/>
    <w:rsid w:val="00B51F58"/>
    <w:rsid w:val="00B55463"/>
    <w:rsid w:val="00B56E67"/>
    <w:rsid w:val="00B60998"/>
    <w:rsid w:val="00B71C35"/>
    <w:rsid w:val="00B72BEC"/>
    <w:rsid w:val="00B73A82"/>
    <w:rsid w:val="00B76F4D"/>
    <w:rsid w:val="00B77412"/>
    <w:rsid w:val="00B77752"/>
    <w:rsid w:val="00B83BC0"/>
    <w:rsid w:val="00B87A6F"/>
    <w:rsid w:val="00BA4C0A"/>
    <w:rsid w:val="00BB2A32"/>
    <w:rsid w:val="00BB6484"/>
    <w:rsid w:val="00BC24F8"/>
    <w:rsid w:val="00BC3920"/>
    <w:rsid w:val="00BC47AB"/>
    <w:rsid w:val="00BD0D7C"/>
    <w:rsid w:val="00BD2AB1"/>
    <w:rsid w:val="00BD3A7F"/>
    <w:rsid w:val="00BE09C1"/>
    <w:rsid w:val="00BE194F"/>
    <w:rsid w:val="00BE1FD4"/>
    <w:rsid w:val="00BE677A"/>
    <w:rsid w:val="00BE6A2E"/>
    <w:rsid w:val="00BF00A7"/>
    <w:rsid w:val="00BF33D9"/>
    <w:rsid w:val="00C075BD"/>
    <w:rsid w:val="00C11B10"/>
    <w:rsid w:val="00C12EA5"/>
    <w:rsid w:val="00C15E40"/>
    <w:rsid w:val="00C161BE"/>
    <w:rsid w:val="00C338CA"/>
    <w:rsid w:val="00C35CB3"/>
    <w:rsid w:val="00C50A0A"/>
    <w:rsid w:val="00C572D7"/>
    <w:rsid w:val="00C60016"/>
    <w:rsid w:val="00C638D8"/>
    <w:rsid w:val="00C63D6B"/>
    <w:rsid w:val="00C64128"/>
    <w:rsid w:val="00C74442"/>
    <w:rsid w:val="00C754BC"/>
    <w:rsid w:val="00C76E52"/>
    <w:rsid w:val="00C83525"/>
    <w:rsid w:val="00C9109E"/>
    <w:rsid w:val="00CA1729"/>
    <w:rsid w:val="00CA1984"/>
    <w:rsid w:val="00CA1DAE"/>
    <w:rsid w:val="00CA234E"/>
    <w:rsid w:val="00CA7429"/>
    <w:rsid w:val="00CB6216"/>
    <w:rsid w:val="00CC3973"/>
    <w:rsid w:val="00CC4578"/>
    <w:rsid w:val="00CC5C60"/>
    <w:rsid w:val="00CD0284"/>
    <w:rsid w:val="00CD0A91"/>
    <w:rsid w:val="00CD160F"/>
    <w:rsid w:val="00CE0DA0"/>
    <w:rsid w:val="00CE477D"/>
    <w:rsid w:val="00CF030B"/>
    <w:rsid w:val="00CF1DFC"/>
    <w:rsid w:val="00CF2856"/>
    <w:rsid w:val="00CF5CE7"/>
    <w:rsid w:val="00CF5EF5"/>
    <w:rsid w:val="00CF7481"/>
    <w:rsid w:val="00CF7EE3"/>
    <w:rsid w:val="00D0739E"/>
    <w:rsid w:val="00D13FC8"/>
    <w:rsid w:val="00D14E7C"/>
    <w:rsid w:val="00D26163"/>
    <w:rsid w:val="00D33731"/>
    <w:rsid w:val="00D3442D"/>
    <w:rsid w:val="00D34F1B"/>
    <w:rsid w:val="00D35ED3"/>
    <w:rsid w:val="00D40878"/>
    <w:rsid w:val="00D41D2D"/>
    <w:rsid w:val="00D463A3"/>
    <w:rsid w:val="00D51833"/>
    <w:rsid w:val="00D57BE5"/>
    <w:rsid w:val="00D67ABE"/>
    <w:rsid w:val="00D73373"/>
    <w:rsid w:val="00D74CA3"/>
    <w:rsid w:val="00D828E1"/>
    <w:rsid w:val="00D8441F"/>
    <w:rsid w:val="00D850B9"/>
    <w:rsid w:val="00D94E39"/>
    <w:rsid w:val="00D9789C"/>
    <w:rsid w:val="00DA0A77"/>
    <w:rsid w:val="00DB10D2"/>
    <w:rsid w:val="00DB1DD4"/>
    <w:rsid w:val="00DB61B3"/>
    <w:rsid w:val="00DC49A6"/>
    <w:rsid w:val="00DD0915"/>
    <w:rsid w:val="00DD1DFF"/>
    <w:rsid w:val="00DD33CF"/>
    <w:rsid w:val="00DE3896"/>
    <w:rsid w:val="00DE4435"/>
    <w:rsid w:val="00DF0231"/>
    <w:rsid w:val="00DF6E96"/>
    <w:rsid w:val="00E04C43"/>
    <w:rsid w:val="00E11FA9"/>
    <w:rsid w:val="00E13E91"/>
    <w:rsid w:val="00E16040"/>
    <w:rsid w:val="00E16D37"/>
    <w:rsid w:val="00E17E17"/>
    <w:rsid w:val="00E17F78"/>
    <w:rsid w:val="00E21B03"/>
    <w:rsid w:val="00E222F0"/>
    <w:rsid w:val="00E22D0F"/>
    <w:rsid w:val="00E31284"/>
    <w:rsid w:val="00E34071"/>
    <w:rsid w:val="00E406F2"/>
    <w:rsid w:val="00E415BA"/>
    <w:rsid w:val="00E470EC"/>
    <w:rsid w:val="00E5666B"/>
    <w:rsid w:val="00E577DD"/>
    <w:rsid w:val="00E60952"/>
    <w:rsid w:val="00E72064"/>
    <w:rsid w:val="00E76A71"/>
    <w:rsid w:val="00E82ED7"/>
    <w:rsid w:val="00E83483"/>
    <w:rsid w:val="00E85BF2"/>
    <w:rsid w:val="00E91110"/>
    <w:rsid w:val="00E9184C"/>
    <w:rsid w:val="00E94DD3"/>
    <w:rsid w:val="00EA49BA"/>
    <w:rsid w:val="00EA4E79"/>
    <w:rsid w:val="00EA5149"/>
    <w:rsid w:val="00EB02DF"/>
    <w:rsid w:val="00EB2795"/>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E8"/>
    <w:rsid w:val="00F543C6"/>
    <w:rsid w:val="00F5790A"/>
    <w:rsid w:val="00F609CD"/>
    <w:rsid w:val="00F72D98"/>
    <w:rsid w:val="00F76B81"/>
    <w:rsid w:val="00F83F8A"/>
    <w:rsid w:val="00F941E7"/>
    <w:rsid w:val="00FA4943"/>
    <w:rsid w:val="00FB6BD9"/>
    <w:rsid w:val="00FC0544"/>
    <w:rsid w:val="00FC0F9D"/>
    <w:rsid w:val="00FC3492"/>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CD34D-ED27-4EE2-9E78-8241F0A42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12515</TotalTime>
  <Pages>1</Pages>
  <Words>1600</Words>
  <Characters>9126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220</cp:revision>
  <dcterms:created xsi:type="dcterms:W3CDTF">2019-09-18T02:52:00Z</dcterms:created>
  <dcterms:modified xsi:type="dcterms:W3CDTF">2022-04-25T12:13:00Z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(3)2HfYc4Khx1zk74v2Y+I6GcO56QsRfmduZJ+6kIJtcCGvSor3UCFuF76/85fTd3ukyY08jexx
xwJf3SxPkDUMs8qo0NtR9ayCsPl808pceTOcNN205XSBVstTLsq+h4euQOxpA7OsQiNmkjQN
qYEGNW6ObUufROSDmuwBEi/rQgv7ae34kTeSf3CICM08LYLq1zNcT/vWR7PqG9y8c22cixDY
Eyj8i9z3VBscVlOOA5</vt:lpwstr>
  </property>
  <property fmtid="{D5CDD505-2E9C-101B-9397-08002B2CF9AE}" pid="3" name="_2015_ms_pID_7253431">
    <vt:lpwstr>RJYUW2u1uWIFfvna3xSykYFEvfkuxFJG/F66j5iTHlh/lbgAIO0wbP
RXEqRAMEYb3mVRUYyfwS0u+3SfiuF/xe8vgUwiQhOezWrAv3zc/ra3Z6r20TVPqR/XnB/jhq
rQCBoH85D8gxQdMsGSbf4x1zdna5BFLj5nwX9Zdsj4CQ+7QVOH4gsqXufKkkqoZ/2c2HSDxT
C1it8icDZoz3lgASPyPsieY1/a4r0uA42Ow7</vt:lpwstr>
  </property>
  <property fmtid="{D5CDD505-2E9C-101B-9397-08002B2CF9AE}" pid="4" name="_2015_ms_pID_7253432">
    <vt:lpwstr>a/VKJiYMnDT/j1h6v5tdTDY=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