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D31AF" w14:textId="6D8DA895" w:rsidR="009F52D7" w:rsidRPr="00554399" w:rsidRDefault="009F52D7" w:rsidP="009F52D7">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00932C93">
        <w:rPr>
          <w:rFonts w:ascii="Arial" w:hAnsi="Arial" w:cs="Arial"/>
          <w:b/>
          <w:sz w:val="24"/>
          <w:szCs w:val="24"/>
        </w:rPr>
        <w:t>10</w:t>
      </w:r>
      <w:r w:rsidR="00970536">
        <w:rPr>
          <w:rFonts w:ascii="Arial" w:hAnsi="Arial" w:cs="Arial"/>
          <w:b/>
          <w:sz w:val="24"/>
          <w:szCs w:val="24"/>
        </w:rPr>
        <w:t>3</w:t>
      </w:r>
      <w:r w:rsidR="00C94AC7">
        <w:rPr>
          <w:rFonts w:ascii="Arial" w:hAnsi="Arial" w:cs="Arial"/>
          <w:b/>
          <w:sz w:val="24"/>
          <w:szCs w:val="24"/>
        </w:rPr>
        <w:t>-</w:t>
      </w:r>
      <w:r w:rsidR="00951300" w:rsidRPr="00CD5A36">
        <w:rPr>
          <w:rFonts w:ascii="Arial" w:hAnsi="Arial" w:cs="Arial"/>
          <w:b/>
          <w:sz w:val="24"/>
          <w:szCs w:val="24"/>
        </w:rPr>
        <w:t>e</w:t>
      </w:r>
      <w:r w:rsidRPr="00554399">
        <w:rPr>
          <w:rFonts w:ascii="Arial" w:hAnsi="Arial" w:cs="Arial"/>
          <w:b/>
          <w:sz w:val="24"/>
          <w:szCs w:val="24"/>
        </w:rPr>
        <w:tab/>
      </w:r>
      <w:r w:rsidR="00B00412" w:rsidRPr="00B00412">
        <w:rPr>
          <w:rFonts w:ascii="Arial" w:hAnsi="Arial" w:cs="Arial"/>
          <w:b/>
          <w:sz w:val="24"/>
          <w:szCs w:val="24"/>
        </w:rPr>
        <w:t>R4-2207799</w:t>
      </w:r>
    </w:p>
    <w:p w14:paraId="2C67BE8C" w14:textId="6E894088" w:rsidR="009F52D7" w:rsidRPr="00554399" w:rsidRDefault="00951300" w:rsidP="00951300">
      <w:pPr>
        <w:pStyle w:val="Header"/>
        <w:tabs>
          <w:tab w:val="clear" w:pos="4153"/>
          <w:tab w:val="clear" w:pos="8306"/>
          <w:tab w:val="right" w:pos="9781"/>
          <w:tab w:val="right" w:pos="13323"/>
        </w:tabs>
        <w:spacing w:after="120"/>
        <w:outlineLvl w:val="0"/>
        <w:rPr>
          <w:rFonts w:ascii="Arial" w:eastAsia="SimSun" w:hAnsi="Arial"/>
          <w:b/>
          <w:sz w:val="24"/>
          <w:szCs w:val="24"/>
          <w:lang w:eastAsia="zh-CN"/>
        </w:rPr>
      </w:pPr>
      <w:r w:rsidRPr="00CD5A36">
        <w:rPr>
          <w:rFonts w:ascii="Arial" w:eastAsia="SimSun" w:hAnsi="Arial"/>
          <w:b/>
          <w:sz w:val="24"/>
          <w:szCs w:val="24"/>
          <w:lang w:eastAsia="zh-CN"/>
        </w:rPr>
        <w:t xml:space="preserve">Electronic Meeting, </w:t>
      </w:r>
      <w:r w:rsidR="00970536">
        <w:rPr>
          <w:rFonts w:ascii="Arial" w:eastAsia="SimSun" w:hAnsi="Arial"/>
          <w:b/>
          <w:sz w:val="24"/>
          <w:szCs w:val="24"/>
          <w:lang w:eastAsia="zh-CN"/>
        </w:rPr>
        <w:t xml:space="preserve">May 09 - </w:t>
      </w:r>
      <w:r w:rsidR="00932C93">
        <w:rPr>
          <w:rFonts w:ascii="Arial" w:eastAsia="SimSun" w:hAnsi="Arial"/>
          <w:b/>
          <w:sz w:val="24"/>
          <w:szCs w:val="24"/>
          <w:lang w:eastAsia="zh-CN"/>
        </w:rPr>
        <w:t>Ma</w:t>
      </w:r>
      <w:r w:rsidR="00970536">
        <w:rPr>
          <w:rFonts w:ascii="Arial" w:eastAsia="SimSun" w:hAnsi="Arial"/>
          <w:b/>
          <w:sz w:val="24"/>
          <w:szCs w:val="24"/>
          <w:lang w:eastAsia="zh-CN"/>
        </w:rPr>
        <w:t>y</w:t>
      </w:r>
      <w:r w:rsidR="00932C93">
        <w:rPr>
          <w:rFonts w:ascii="Arial" w:eastAsia="SimSun" w:hAnsi="Arial"/>
          <w:b/>
          <w:sz w:val="24"/>
          <w:szCs w:val="24"/>
          <w:lang w:eastAsia="zh-CN"/>
        </w:rPr>
        <w:t xml:space="preserve"> </w:t>
      </w:r>
      <w:r w:rsidR="00970536">
        <w:rPr>
          <w:rFonts w:ascii="Arial" w:eastAsia="SimSun" w:hAnsi="Arial"/>
          <w:b/>
          <w:sz w:val="24"/>
          <w:szCs w:val="24"/>
          <w:lang w:eastAsia="zh-CN"/>
        </w:rPr>
        <w:t>20</w:t>
      </w:r>
      <w:r w:rsidRPr="00CD5A36">
        <w:rPr>
          <w:rFonts w:ascii="Arial" w:eastAsia="SimSun" w:hAnsi="Arial"/>
          <w:b/>
          <w:sz w:val="24"/>
          <w:szCs w:val="24"/>
          <w:lang w:eastAsia="zh-CN"/>
        </w:rPr>
        <w:t>, 202</w:t>
      </w:r>
      <w:r w:rsidR="00C94AC7">
        <w:rPr>
          <w:rFonts w:ascii="Arial" w:eastAsia="SimSun" w:hAnsi="Arial"/>
          <w:b/>
          <w:sz w:val="24"/>
          <w:szCs w:val="24"/>
          <w:lang w:eastAsia="zh-CN"/>
        </w:rPr>
        <w:t>2</w:t>
      </w:r>
    </w:p>
    <w:p w14:paraId="2305CEA3" w14:textId="7213F9FC" w:rsidR="009F52D7" w:rsidRPr="00303915" w:rsidRDefault="009F52D7" w:rsidP="009F52D7">
      <w:pPr>
        <w:pStyle w:val="CH"/>
        <w:rPr>
          <w:sz w:val="24"/>
          <w:szCs w:val="24"/>
        </w:rPr>
      </w:pPr>
      <w:r w:rsidRPr="00303915">
        <w:rPr>
          <w:sz w:val="24"/>
          <w:szCs w:val="24"/>
        </w:rPr>
        <w:t>Agenda item:</w:t>
      </w:r>
      <w:r w:rsidRPr="00303915">
        <w:rPr>
          <w:sz w:val="24"/>
          <w:szCs w:val="24"/>
        </w:rPr>
        <w:tab/>
      </w:r>
      <w:r w:rsidR="00DC3489" w:rsidRPr="00DC3489">
        <w:rPr>
          <w:sz w:val="24"/>
          <w:szCs w:val="24"/>
        </w:rPr>
        <w:t>9.11.2.1.1</w:t>
      </w:r>
    </w:p>
    <w:p w14:paraId="30D50B86" w14:textId="77777777" w:rsidR="009F52D7" w:rsidRPr="00303915" w:rsidRDefault="009F52D7" w:rsidP="009F52D7">
      <w:pPr>
        <w:pStyle w:val="CH"/>
        <w:rPr>
          <w:sz w:val="24"/>
          <w:szCs w:val="24"/>
        </w:rPr>
      </w:pPr>
      <w:r w:rsidRPr="00303915">
        <w:rPr>
          <w:sz w:val="24"/>
          <w:szCs w:val="24"/>
        </w:rPr>
        <w:t>Source:</w:t>
      </w:r>
      <w:r w:rsidRPr="00303915">
        <w:rPr>
          <w:sz w:val="24"/>
          <w:szCs w:val="24"/>
        </w:rPr>
        <w:tab/>
        <w:t>Apple Inc.</w:t>
      </w:r>
    </w:p>
    <w:p w14:paraId="7827D204" w14:textId="5E0A8E7E" w:rsidR="009F52D7" w:rsidRPr="00303915" w:rsidRDefault="009F52D7" w:rsidP="00C94AC7">
      <w:pPr>
        <w:pStyle w:val="CH"/>
        <w:ind w:left="2250" w:hanging="2250"/>
        <w:rPr>
          <w:sz w:val="24"/>
          <w:szCs w:val="24"/>
          <w:lang w:val="de-DE"/>
        </w:rPr>
      </w:pPr>
      <w:r w:rsidRPr="00303915">
        <w:rPr>
          <w:sz w:val="24"/>
          <w:szCs w:val="24"/>
        </w:rPr>
        <w:t>Title:</w:t>
      </w:r>
      <w:r w:rsidRPr="00303915">
        <w:rPr>
          <w:sz w:val="24"/>
          <w:szCs w:val="24"/>
        </w:rPr>
        <w:tab/>
      </w:r>
      <w:r w:rsidR="00DC3489" w:rsidRPr="00DC3489">
        <w:rPr>
          <w:sz w:val="24"/>
          <w:szCs w:val="24"/>
        </w:rPr>
        <w:t xml:space="preserve">Simulation results for PDSCH requirements in </w:t>
      </w:r>
      <w:r w:rsidR="00E55591">
        <w:rPr>
          <w:sz w:val="24"/>
          <w:szCs w:val="24"/>
        </w:rPr>
        <w:t>I</w:t>
      </w:r>
      <w:r w:rsidR="00DC3489" w:rsidRPr="00DC3489">
        <w:rPr>
          <w:sz w:val="24"/>
          <w:szCs w:val="24"/>
        </w:rPr>
        <w:t xml:space="preserve">ntercell </w:t>
      </w:r>
      <w:r w:rsidR="00E55591">
        <w:rPr>
          <w:sz w:val="24"/>
          <w:szCs w:val="24"/>
        </w:rPr>
        <w:t>I</w:t>
      </w:r>
      <w:r w:rsidR="00DC3489" w:rsidRPr="00DC3489">
        <w:rPr>
          <w:sz w:val="24"/>
          <w:szCs w:val="24"/>
        </w:rPr>
        <w:t>nterference</w:t>
      </w:r>
    </w:p>
    <w:p w14:paraId="2AB0E874" w14:textId="531E0CC2"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626BDE">
        <w:rPr>
          <w:sz w:val="24"/>
          <w:szCs w:val="24"/>
        </w:rPr>
        <w:t>7</w:t>
      </w:r>
    </w:p>
    <w:p w14:paraId="5FD26D80" w14:textId="77777777" w:rsidR="009F52D7" w:rsidRPr="00303915" w:rsidRDefault="009F52D7" w:rsidP="009F52D7">
      <w:pPr>
        <w:pStyle w:val="CH"/>
        <w:rPr>
          <w:sz w:val="24"/>
          <w:szCs w:val="24"/>
        </w:rPr>
      </w:pPr>
      <w:r w:rsidRPr="00303915">
        <w:rPr>
          <w:sz w:val="24"/>
          <w:szCs w:val="24"/>
        </w:rPr>
        <w:t>Document for:</w:t>
      </w:r>
      <w:r w:rsidRPr="00303915">
        <w:rPr>
          <w:sz w:val="24"/>
          <w:szCs w:val="24"/>
        </w:rPr>
        <w:tab/>
        <w:t>Discussion</w:t>
      </w:r>
    </w:p>
    <w:p w14:paraId="26BFACA8" w14:textId="77777777" w:rsidR="009F52D7" w:rsidRPr="0008103A" w:rsidRDefault="009F52D7" w:rsidP="009F52D7">
      <w:pPr>
        <w:pStyle w:val="CH"/>
      </w:pPr>
    </w:p>
    <w:p w14:paraId="224F64C0" w14:textId="77777777" w:rsidR="009F52D7" w:rsidRPr="00303915" w:rsidRDefault="009F52D7" w:rsidP="009F52D7">
      <w:pPr>
        <w:pStyle w:val="Heading1"/>
      </w:pPr>
      <w:r w:rsidRPr="00303915">
        <w:t xml:space="preserve">1. Introduction </w:t>
      </w:r>
    </w:p>
    <w:p w14:paraId="2739081B" w14:textId="3CB0C78C" w:rsidR="00C94AC7" w:rsidRPr="00316E46" w:rsidRDefault="00C94AC7" w:rsidP="00C94AC7">
      <w:pPr>
        <w:spacing w:after="120"/>
        <w:rPr>
          <w:sz w:val="20"/>
          <w:szCs w:val="20"/>
        </w:rPr>
      </w:pPr>
      <w:r w:rsidRPr="00E55591">
        <w:rPr>
          <w:sz w:val="20"/>
          <w:szCs w:val="20"/>
        </w:rPr>
        <w:t>In RAN4#10</w:t>
      </w:r>
      <w:r w:rsidR="00DC3489" w:rsidRPr="00E55591">
        <w:rPr>
          <w:sz w:val="20"/>
          <w:szCs w:val="20"/>
        </w:rPr>
        <w:t>2</w:t>
      </w:r>
      <w:r w:rsidRPr="00E55591">
        <w:rPr>
          <w:sz w:val="20"/>
          <w:szCs w:val="20"/>
        </w:rPr>
        <w:t xml:space="preserve">-e PDSCH demodulation requirements with MMSE-IRC for inter-cell interference was discussed and way forward [1] was agreed. In this contribution we </w:t>
      </w:r>
      <w:r w:rsidR="00104D5D">
        <w:rPr>
          <w:sz w:val="20"/>
          <w:szCs w:val="20"/>
        </w:rPr>
        <w:t xml:space="preserve">discuss the open issues and </w:t>
      </w:r>
      <w:r w:rsidRPr="00E55591">
        <w:rPr>
          <w:sz w:val="20"/>
          <w:szCs w:val="20"/>
        </w:rPr>
        <w:t>present simulation results</w:t>
      </w:r>
      <w:r w:rsidR="00DC3489" w:rsidRPr="00E55591">
        <w:rPr>
          <w:sz w:val="20"/>
          <w:szCs w:val="20"/>
        </w:rPr>
        <w:t xml:space="preserve"> for PDSCH demod requirements in ICI</w:t>
      </w:r>
      <w:r w:rsidRPr="00E55591">
        <w:rPr>
          <w:sz w:val="20"/>
          <w:szCs w:val="20"/>
        </w:rPr>
        <w:t>.</w:t>
      </w:r>
      <w:r w:rsidRPr="00316E46">
        <w:rPr>
          <w:sz w:val="20"/>
          <w:szCs w:val="20"/>
        </w:rPr>
        <w:t xml:space="preserve">  </w:t>
      </w:r>
    </w:p>
    <w:p w14:paraId="4EAFA8EB" w14:textId="6F1FED64" w:rsidR="009F52D7" w:rsidRDefault="009F52D7" w:rsidP="009F52D7">
      <w:pPr>
        <w:pStyle w:val="Heading1"/>
      </w:pPr>
      <w:r>
        <w:t xml:space="preserve">2. </w:t>
      </w:r>
      <w:r w:rsidR="00104D5D">
        <w:t>Discussion</w:t>
      </w:r>
    </w:p>
    <w:p w14:paraId="6BB3AD6B" w14:textId="00A81018" w:rsidR="009F52D7" w:rsidRDefault="00104D5D" w:rsidP="005B410D">
      <w:pPr>
        <w:spacing w:after="120"/>
        <w:rPr>
          <w:rFonts w:eastAsia="SimSun"/>
          <w:sz w:val="20"/>
          <w:szCs w:val="20"/>
          <w:lang w:val="en-GB" w:eastAsia="en-GB"/>
        </w:rPr>
      </w:pPr>
      <w:r>
        <w:rPr>
          <w:rFonts w:eastAsia="SimSun"/>
          <w:sz w:val="20"/>
          <w:szCs w:val="20"/>
          <w:lang w:val="en-GB" w:eastAsia="en-GB"/>
        </w:rPr>
        <w:t xml:space="preserve">One of the open issues in RAN4#102-e for PDSCH demod requirements in ICI was </w:t>
      </w:r>
      <w:r w:rsidRPr="00104D5D">
        <w:rPr>
          <w:rFonts w:eastAsia="SimSun"/>
          <w:sz w:val="20"/>
          <w:szCs w:val="20"/>
          <w:lang w:val="en-GB" w:eastAsia="en-GB"/>
        </w:rPr>
        <w:t>Interference modelling in PDCCH region</w:t>
      </w:r>
      <w:r>
        <w:rPr>
          <w:rFonts w:eastAsia="SimSun"/>
          <w:sz w:val="20"/>
          <w:szCs w:val="20"/>
          <w:lang w:val="en-GB" w:eastAsia="en-GB"/>
        </w:rPr>
        <w:t>. The following options were discussed in the last meeting captured in [1]:</w:t>
      </w:r>
    </w:p>
    <w:p w14:paraId="05437902" w14:textId="77777777" w:rsidR="0051665C" w:rsidRPr="009C1F3F" w:rsidRDefault="0051665C" w:rsidP="0051665C">
      <w:pPr>
        <w:numPr>
          <w:ilvl w:val="1"/>
          <w:numId w:val="3"/>
        </w:numPr>
        <w:overflowPunct w:val="0"/>
        <w:autoSpaceDE w:val="0"/>
        <w:autoSpaceDN w:val="0"/>
        <w:adjustRightInd w:val="0"/>
        <w:spacing w:before="120" w:after="120"/>
        <w:textAlignment w:val="baseline"/>
        <w:rPr>
          <w:sz w:val="20"/>
          <w:szCs w:val="20"/>
          <w:lang w:eastAsia="ja-JP" w:bidi="hi-IN"/>
        </w:rPr>
      </w:pPr>
      <w:r w:rsidRPr="009C1F3F">
        <w:rPr>
          <w:sz w:val="20"/>
          <w:szCs w:val="20"/>
          <w:lang w:eastAsia="ja-JP" w:bidi="hi-IN"/>
        </w:rPr>
        <w:t>Considered options</w:t>
      </w:r>
    </w:p>
    <w:p w14:paraId="0886011F" w14:textId="77777777" w:rsidR="0051665C" w:rsidRPr="009C1F3F" w:rsidRDefault="0051665C" w:rsidP="0051665C">
      <w:pPr>
        <w:numPr>
          <w:ilvl w:val="2"/>
          <w:numId w:val="3"/>
        </w:numPr>
        <w:overflowPunct w:val="0"/>
        <w:autoSpaceDE w:val="0"/>
        <w:autoSpaceDN w:val="0"/>
        <w:adjustRightInd w:val="0"/>
        <w:spacing w:before="120" w:after="120"/>
        <w:textAlignment w:val="baseline"/>
        <w:rPr>
          <w:sz w:val="20"/>
          <w:szCs w:val="20"/>
          <w:lang w:eastAsia="ja-JP" w:bidi="hi-IN"/>
        </w:rPr>
      </w:pPr>
      <w:r w:rsidRPr="009C1F3F">
        <w:rPr>
          <w:sz w:val="20"/>
          <w:szCs w:val="20"/>
          <w:lang w:eastAsia="ja-JP" w:bidi="hi-IN"/>
        </w:rPr>
        <w:t>Option 1: Reuse the LTE PDSCH IRC testing approach. NR interference model to have unallocated RE’s in control region filled with QPSK randomly modulated symbols with random precoding for the number of antenna ports in the requirement scenario.</w:t>
      </w:r>
    </w:p>
    <w:p w14:paraId="17E5A901" w14:textId="77777777" w:rsidR="0051665C" w:rsidRPr="009C1F3F" w:rsidRDefault="0051665C" w:rsidP="0051665C">
      <w:pPr>
        <w:numPr>
          <w:ilvl w:val="2"/>
          <w:numId w:val="3"/>
        </w:numPr>
        <w:overflowPunct w:val="0"/>
        <w:autoSpaceDE w:val="0"/>
        <w:autoSpaceDN w:val="0"/>
        <w:adjustRightInd w:val="0"/>
        <w:spacing w:before="120" w:after="120"/>
        <w:textAlignment w:val="baseline"/>
        <w:rPr>
          <w:sz w:val="20"/>
          <w:szCs w:val="20"/>
          <w:lang w:eastAsia="ja-JP" w:bidi="hi-IN"/>
        </w:rPr>
      </w:pPr>
      <w:r w:rsidRPr="009C1F3F">
        <w:rPr>
          <w:sz w:val="20"/>
          <w:szCs w:val="20"/>
          <w:lang w:eastAsia="ja-JP" w:bidi="hi-IN"/>
        </w:rPr>
        <w:t>Option 2: Assume PDCCH transmission from interference cells</w:t>
      </w:r>
    </w:p>
    <w:p w14:paraId="60913B51" w14:textId="77777777" w:rsidR="0051665C" w:rsidRPr="009C1F3F" w:rsidRDefault="0051665C" w:rsidP="0051665C">
      <w:pPr>
        <w:numPr>
          <w:ilvl w:val="2"/>
          <w:numId w:val="3"/>
        </w:numPr>
        <w:overflowPunct w:val="0"/>
        <w:autoSpaceDE w:val="0"/>
        <w:autoSpaceDN w:val="0"/>
        <w:adjustRightInd w:val="0"/>
        <w:spacing w:before="120" w:after="120"/>
        <w:textAlignment w:val="baseline"/>
        <w:rPr>
          <w:sz w:val="20"/>
          <w:szCs w:val="20"/>
          <w:lang w:eastAsia="ja-JP" w:bidi="hi-IN"/>
        </w:rPr>
      </w:pPr>
      <w:r w:rsidRPr="009C1F3F">
        <w:rPr>
          <w:sz w:val="20"/>
          <w:szCs w:val="20"/>
          <w:lang w:eastAsia="ja-JP" w:bidi="hi-IN"/>
        </w:rPr>
        <w:t>Option 3: Assume PDCCH transmission from interference cells and use non-overlapping PDCCH configurations. Use parameters in Table 2-4 from R4-2205789 as PDCCH configurations</w:t>
      </w:r>
    </w:p>
    <w:p w14:paraId="3E9D75DB" w14:textId="77777777" w:rsidR="0051665C" w:rsidRPr="009C1F3F" w:rsidRDefault="0051665C" w:rsidP="0051665C">
      <w:pPr>
        <w:numPr>
          <w:ilvl w:val="2"/>
          <w:numId w:val="3"/>
        </w:numPr>
        <w:overflowPunct w:val="0"/>
        <w:autoSpaceDE w:val="0"/>
        <w:autoSpaceDN w:val="0"/>
        <w:adjustRightInd w:val="0"/>
        <w:spacing w:before="120" w:after="120"/>
        <w:textAlignment w:val="baseline"/>
        <w:rPr>
          <w:sz w:val="20"/>
          <w:szCs w:val="20"/>
          <w:lang w:eastAsia="ja-JP" w:bidi="hi-IN"/>
        </w:rPr>
      </w:pPr>
      <w:r w:rsidRPr="009C1F3F">
        <w:rPr>
          <w:sz w:val="20"/>
          <w:szCs w:val="20"/>
          <w:lang w:eastAsia="ja-JP" w:bidi="hi-IN"/>
        </w:rPr>
        <w:t>Option 4: Assume Option 3 when SSB is non-colliding and Option 2 when SSB is colliding.</w:t>
      </w:r>
    </w:p>
    <w:p w14:paraId="39BF2DD2" w14:textId="77777777" w:rsidR="0051665C" w:rsidRPr="009C1F3F" w:rsidRDefault="0051665C" w:rsidP="0051665C">
      <w:pPr>
        <w:numPr>
          <w:ilvl w:val="1"/>
          <w:numId w:val="3"/>
        </w:numPr>
        <w:overflowPunct w:val="0"/>
        <w:autoSpaceDE w:val="0"/>
        <w:autoSpaceDN w:val="0"/>
        <w:adjustRightInd w:val="0"/>
        <w:spacing w:before="120" w:after="120"/>
        <w:textAlignment w:val="baseline"/>
        <w:rPr>
          <w:sz w:val="20"/>
          <w:szCs w:val="20"/>
          <w:lang w:eastAsia="ja-JP" w:bidi="hi-IN"/>
        </w:rPr>
      </w:pPr>
      <w:r w:rsidRPr="009C1F3F">
        <w:rPr>
          <w:sz w:val="20"/>
          <w:szCs w:val="20"/>
          <w:lang w:eastAsia="ja-JP" w:bidi="hi-IN"/>
        </w:rPr>
        <w:t>Companies are encouraged to check the impact of PDCCH decoding on PDSCH performance</w:t>
      </w:r>
    </w:p>
    <w:p w14:paraId="764DB444" w14:textId="77777777" w:rsidR="0051665C" w:rsidRPr="009C1F3F" w:rsidRDefault="0051665C" w:rsidP="0051665C">
      <w:pPr>
        <w:numPr>
          <w:ilvl w:val="1"/>
          <w:numId w:val="3"/>
        </w:numPr>
        <w:overflowPunct w:val="0"/>
        <w:autoSpaceDE w:val="0"/>
        <w:autoSpaceDN w:val="0"/>
        <w:adjustRightInd w:val="0"/>
        <w:spacing w:before="120" w:after="120"/>
        <w:textAlignment w:val="baseline"/>
        <w:rPr>
          <w:sz w:val="20"/>
          <w:szCs w:val="20"/>
          <w:lang w:eastAsia="ja-JP" w:bidi="hi-IN"/>
        </w:rPr>
      </w:pPr>
      <w:r w:rsidRPr="009C1F3F">
        <w:rPr>
          <w:sz w:val="20"/>
          <w:szCs w:val="20"/>
          <w:lang w:eastAsia="ja-JP" w:bidi="hi-IN"/>
        </w:rPr>
        <w:t>Companies are encouraged to check whether there are any RRM related issues (RLM, RLF) for one of considered options</w:t>
      </w:r>
    </w:p>
    <w:p w14:paraId="1A337255" w14:textId="0CA172A4" w:rsidR="00104D5D" w:rsidRDefault="00A51A5E" w:rsidP="005B410D">
      <w:pPr>
        <w:spacing w:after="120"/>
        <w:rPr>
          <w:rFonts w:eastAsia="SimSun"/>
          <w:sz w:val="20"/>
          <w:szCs w:val="20"/>
          <w:lang w:val="en-GB" w:eastAsia="en-GB"/>
        </w:rPr>
      </w:pPr>
      <w:r>
        <w:rPr>
          <w:rFonts w:eastAsia="SimSun"/>
          <w:sz w:val="20"/>
          <w:szCs w:val="20"/>
          <w:lang w:val="en-GB" w:eastAsia="en-GB"/>
        </w:rPr>
        <w:t xml:space="preserve">In </w:t>
      </w:r>
      <w:r w:rsidR="0083467F">
        <w:rPr>
          <w:rFonts w:eastAsia="SimSun"/>
          <w:sz w:val="20"/>
          <w:szCs w:val="20"/>
          <w:lang w:val="en-GB" w:eastAsia="en-GB"/>
        </w:rPr>
        <w:t xml:space="preserve">the </w:t>
      </w:r>
      <w:r>
        <w:rPr>
          <w:rFonts w:eastAsia="SimSun"/>
          <w:sz w:val="20"/>
          <w:szCs w:val="20"/>
          <w:lang w:val="en-GB" w:eastAsia="en-GB"/>
        </w:rPr>
        <w:t xml:space="preserve">real network scenario PDCCH would </w:t>
      </w:r>
      <w:r w:rsidR="0083467F">
        <w:rPr>
          <w:rFonts w:eastAsia="SimSun"/>
          <w:sz w:val="20"/>
          <w:szCs w:val="20"/>
          <w:lang w:val="en-GB" w:eastAsia="en-GB"/>
        </w:rPr>
        <w:t xml:space="preserve">typically </w:t>
      </w:r>
      <w:r>
        <w:rPr>
          <w:rFonts w:eastAsia="SimSun"/>
          <w:sz w:val="20"/>
          <w:szCs w:val="20"/>
          <w:lang w:val="en-GB" w:eastAsia="en-GB"/>
        </w:rPr>
        <w:t>see interference from PDCCH from other cells. It would be unrealistic to assume th</w:t>
      </w:r>
      <w:r w:rsidR="0083467F">
        <w:rPr>
          <w:rFonts w:eastAsia="SimSun"/>
          <w:sz w:val="20"/>
          <w:szCs w:val="20"/>
          <w:lang w:val="en-GB" w:eastAsia="en-GB"/>
        </w:rPr>
        <w:t>at</w:t>
      </w:r>
      <w:r>
        <w:rPr>
          <w:rFonts w:eastAsia="SimSun"/>
          <w:sz w:val="20"/>
          <w:szCs w:val="20"/>
          <w:lang w:val="en-GB" w:eastAsia="en-GB"/>
        </w:rPr>
        <w:t xml:space="preserve"> PDCCH is interference free. Hence, Option 3 would be impractical. With option 4, we don’t think the network would co-ordinate PDCCH transmission to reduce interference if SSB</w:t>
      </w:r>
      <w:r w:rsidR="0083467F">
        <w:rPr>
          <w:rFonts w:eastAsia="SimSun"/>
          <w:sz w:val="20"/>
          <w:szCs w:val="20"/>
          <w:lang w:val="en-GB" w:eastAsia="en-GB"/>
        </w:rPr>
        <w:t xml:space="preserve"> transmission is non-overlapping. </w:t>
      </w:r>
    </w:p>
    <w:p w14:paraId="28B7A5BE" w14:textId="3D77967F" w:rsidR="0083467F" w:rsidRDefault="0083467F" w:rsidP="005B410D">
      <w:pPr>
        <w:spacing w:after="120"/>
        <w:rPr>
          <w:rFonts w:eastAsia="SimSun"/>
          <w:i/>
          <w:iCs/>
          <w:sz w:val="20"/>
          <w:szCs w:val="20"/>
          <w:lang w:val="en-GB" w:eastAsia="en-GB"/>
        </w:rPr>
      </w:pPr>
      <w:r>
        <w:rPr>
          <w:rFonts w:eastAsia="SimSun"/>
          <w:b/>
          <w:bCs/>
          <w:i/>
          <w:iCs/>
          <w:sz w:val="20"/>
          <w:szCs w:val="20"/>
          <w:lang w:val="en-GB" w:eastAsia="en-GB"/>
        </w:rPr>
        <w:t xml:space="preserve">Observation #1: </w:t>
      </w:r>
      <w:r>
        <w:rPr>
          <w:rFonts w:eastAsia="SimSun"/>
          <w:i/>
          <w:iCs/>
          <w:sz w:val="20"/>
          <w:szCs w:val="20"/>
          <w:lang w:val="en-GB" w:eastAsia="en-GB"/>
        </w:rPr>
        <w:t>It would be unrealistic to assume that PDCCH would be interference free in ICI scenarios or that network would co-ordinate PDCCH transmission if SSB are non-overlapping</w:t>
      </w:r>
    </w:p>
    <w:p w14:paraId="3E37F62F" w14:textId="77777777" w:rsidR="00D16F3A" w:rsidRDefault="0083467F" w:rsidP="00D16F3A">
      <w:pPr>
        <w:spacing w:after="120"/>
        <w:rPr>
          <w:rFonts w:eastAsia="SimSun"/>
          <w:sz w:val="20"/>
          <w:szCs w:val="20"/>
          <w:lang w:val="en-GB" w:eastAsia="en-GB"/>
        </w:rPr>
      </w:pPr>
      <w:r>
        <w:rPr>
          <w:rFonts w:eastAsia="SimSun"/>
          <w:sz w:val="20"/>
          <w:szCs w:val="20"/>
          <w:lang w:val="en-GB" w:eastAsia="en-GB"/>
        </w:rPr>
        <w:t xml:space="preserve">There was also a concern </w:t>
      </w:r>
      <w:r w:rsidR="00D167C7">
        <w:rPr>
          <w:rFonts w:eastAsia="SimSun"/>
          <w:sz w:val="20"/>
          <w:szCs w:val="20"/>
          <w:lang w:val="en-GB" w:eastAsia="en-GB"/>
        </w:rPr>
        <w:t>in-sync/ out-of-sync evaluation might be affected</w:t>
      </w:r>
      <w:r>
        <w:rPr>
          <w:rFonts w:eastAsia="SimSun"/>
          <w:sz w:val="20"/>
          <w:szCs w:val="20"/>
          <w:lang w:val="en-GB" w:eastAsia="en-GB"/>
        </w:rPr>
        <w:t xml:space="preserve"> if th</w:t>
      </w:r>
      <w:r w:rsidR="00D167C7">
        <w:rPr>
          <w:rFonts w:eastAsia="SimSun"/>
          <w:sz w:val="20"/>
          <w:szCs w:val="20"/>
          <w:lang w:val="en-GB" w:eastAsia="en-GB"/>
        </w:rPr>
        <w:t xml:space="preserve">ere is interference on PDCCH and no interference on SSB. If SSB is used </w:t>
      </w:r>
      <w:r w:rsidR="00322A55">
        <w:rPr>
          <w:rFonts w:eastAsia="SimSun"/>
          <w:sz w:val="20"/>
          <w:szCs w:val="20"/>
          <w:lang w:val="en-GB" w:eastAsia="en-GB"/>
        </w:rPr>
        <w:t xml:space="preserve">as RLM-RS and </w:t>
      </w:r>
      <w:r w:rsidR="00D15D3E">
        <w:rPr>
          <w:rFonts w:eastAsia="SimSun"/>
          <w:sz w:val="20"/>
          <w:szCs w:val="20"/>
          <w:lang w:val="en-GB" w:eastAsia="en-GB"/>
        </w:rPr>
        <w:t xml:space="preserve">is non-overlapping with other SSB, it may be interference free or see interference from other channel from other cells. In case its interference free the SSB based measurements at the UE might be optimistic. For the SINR operating range considered for ICI requirements, all &gt; -4dB, we don’t expect any issue with in-sync/ out-of-sync evaluation and the </w:t>
      </w:r>
      <w:r w:rsidR="000D5873">
        <w:rPr>
          <w:rFonts w:eastAsia="SimSun"/>
          <w:sz w:val="20"/>
          <w:szCs w:val="20"/>
          <w:lang w:val="en-GB" w:eastAsia="en-GB"/>
        </w:rPr>
        <w:t>SNR threshold of out-of-sync is much lower.</w:t>
      </w:r>
      <w:r w:rsidR="00D16F3A">
        <w:rPr>
          <w:rFonts w:eastAsia="SimSun"/>
          <w:sz w:val="20"/>
          <w:szCs w:val="20"/>
          <w:lang w:val="en-GB" w:eastAsia="en-GB"/>
        </w:rPr>
        <w:t xml:space="preserve"> Also, PDCCH is a robust channel and for the operating SINR used for ICI requirements, we don’t expect to see PDCCH decoding errors. </w:t>
      </w:r>
    </w:p>
    <w:p w14:paraId="2FD549E0" w14:textId="03EC45D7" w:rsidR="0083467F" w:rsidRDefault="0083467F" w:rsidP="005B410D">
      <w:pPr>
        <w:spacing w:after="120"/>
        <w:rPr>
          <w:rFonts w:eastAsia="SimSun"/>
          <w:sz w:val="20"/>
          <w:szCs w:val="20"/>
          <w:lang w:val="en-GB" w:eastAsia="en-GB"/>
        </w:rPr>
      </w:pPr>
    </w:p>
    <w:p w14:paraId="101FAED2" w14:textId="67F0B477" w:rsidR="000D5873" w:rsidRPr="000D5873" w:rsidRDefault="000D5873" w:rsidP="005B410D">
      <w:pPr>
        <w:spacing w:after="120"/>
        <w:rPr>
          <w:rFonts w:eastAsia="SimSun"/>
          <w:i/>
          <w:iCs/>
          <w:sz w:val="20"/>
          <w:szCs w:val="20"/>
          <w:lang w:val="en-GB" w:eastAsia="en-GB"/>
        </w:rPr>
      </w:pPr>
      <w:r>
        <w:rPr>
          <w:rFonts w:eastAsia="SimSun"/>
          <w:b/>
          <w:bCs/>
          <w:i/>
          <w:iCs/>
          <w:sz w:val="20"/>
          <w:szCs w:val="20"/>
          <w:lang w:val="en-GB" w:eastAsia="en-GB"/>
        </w:rPr>
        <w:t xml:space="preserve">Observation #2: </w:t>
      </w:r>
      <w:r>
        <w:rPr>
          <w:rFonts w:eastAsia="SimSun"/>
          <w:i/>
          <w:iCs/>
          <w:sz w:val="20"/>
          <w:szCs w:val="20"/>
          <w:lang w:val="en-GB" w:eastAsia="en-GB"/>
        </w:rPr>
        <w:t xml:space="preserve">We don’t expect to see any problem with out-of-sync/in-sync evaluation if there is no interference on SSB and interference on PDCCH for the SINR ranges considered for ICI requirements. </w:t>
      </w:r>
    </w:p>
    <w:p w14:paraId="230BFA57" w14:textId="27A81461" w:rsidR="00D16F3A" w:rsidRPr="000D5873" w:rsidRDefault="00D16F3A" w:rsidP="00D16F3A">
      <w:pPr>
        <w:spacing w:after="120"/>
        <w:rPr>
          <w:rFonts w:eastAsia="SimSun"/>
          <w:i/>
          <w:iCs/>
          <w:sz w:val="20"/>
          <w:szCs w:val="20"/>
          <w:lang w:val="en-GB" w:eastAsia="en-GB"/>
        </w:rPr>
      </w:pPr>
      <w:r>
        <w:rPr>
          <w:rFonts w:eastAsia="SimSun"/>
          <w:b/>
          <w:bCs/>
          <w:i/>
          <w:iCs/>
          <w:sz w:val="20"/>
          <w:szCs w:val="20"/>
          <w:lang w:val="en-GB" w:eastAsia="en-GB"/>
        </w:rPr>
        <w:t xml:space="preserve">Observation #3: </w:t>
      </w:r>
      <w:r>
        <w:rPr>
          <w:rFonts w:eastAsia="SimSun"/>
          <w:i/>
          <w:iCs/>
          <w:sz w:val="20"/>
          <w:szCs w:val="20"/>
          <w:lang w:val="en-GB" w:eastAsia="en-GB"/>
        </w:rPr>
        <w:t xml:space="preserve">We don’t expect to PDCCH decoding error in the SINR ranges considered for ICI requirements. </w:t>
      </w:r>
    </w:p>
    <w:p w14:paraId="0120A201" w14:textId="77777777" w:rsidR="000D5873" w:rsidRDefault="000D5873" w:rsidP="005B410D">
      <w:pPr>
        <w:spacing w:after="120"/>
        <w:rPr>
          <w:rFonts w:eastAsia="SimSun"/>
          <w:sz w:val="20"/>
          <w:szCs w:val="20"/>
          <w:lang w:val="en-GB" w:eastAsia="en-GB"/>
        </w:rPr>
      </w:pPr>
    </w:p>
    <w:p w14:paraId="5F596FBE" w14:textId="6F5EDD01" w:rsidR="00104D5D" w:rsidRDefault="000D5873" w:rsidP="005B410D">
      <w:pPr>
        <w:spacing w:after="120"/>
        <w:rPr>
          <w:rFonts w:eastAsia="SimSun"/>
          <w:sz w:val="20"/>
          <w:szCs w:val="20"/>
          <w:lang w:val="en-GB" w:eastAsia="en-GB"/>
        </w:rPr>
      </w:pPr>
      <w:r>
        <w:rPr>
          <w:rFonts w:eastAsia="SimSun"/>
          <w:sz w:val="20"/>
          <w:szCs w:val="20"/>
          <w:lang w:val="en-GB" w:eastAsia="en-GB"/>
        </w:rPr>
        <w:t xml:space="preserve">Based on the above observations, it would be suitable to introduce either PDCCH transmission from interference cells or have QPSK modulated random symbols </w:t>
      </w:r>
      <w:r w:rsidR="00F555F1">
        <w:rPr>
          <w:rFonts w:eastAsia="SimSun"/>
          <w:sz w:val="20"/>
          <w:szCs w:val="20"/>
          <w:lang w:val="en-GB" w:eastAsia="en-GB"/>
        </w:rPr>
        <w:t xml:space="preserve">in PDCCH region. For all channels – TRS, NZP CSI-RS, PDSCH we have the same signal transmitted from interference cell as the target cell. For easier test setup it would be suitable to also have PDCCH </w:t>
      </w:r>
      <w:r w:rsidR="0017238B">
        <w:rPr>
          <w:rFonts w:eastAsia="SimSun"/>
          <w:sz w:val="20"/>
          <w:szCs w:val="20"/>
          <w:lang w:val="en-GB" w:eastAsia="en-GB"/>
        </w:rPr>
        <w:t>transmitted from interference cell in PDCCH region.</w:t>
      </w:r>
      <w:r w:rsidR="00D16F3A">
        <w:rPr>
          <w:rFonts w:eastAsia="SimSun"/>
          <w:sz w:val="20"/>
          <w:szCs w:val="20"/>
          <w:lang w:val="en-GB" w:eastAsia="en-GB"/>
        </w:rPr>
        <w:t xml:space="preserve"> </w:t>
      </w:r>
    </w:p>
    <w:p w14:paraId="5A295966" w14:textId="51096BF3" w:rsidR="0017238B" w:rsidRPr="0017238B" w:rsidRDefault="0017238B" w:rsidP="005B410D">
      <w:pPr>
        <w:spacing w:after="120"/>
        <w:rPr>
          <w:rFonts w:eastAsia="SimSun"/>
          <w:b/>
          <w:bCs/>
          <w:sz w:val="20"/>
          <w:szCs w:val="20"/>
          <w:lang w:val="en-GB" w:eastAsia="en-GB"/>
        </w:rPr>
      </w:pPr>
      <w:r>
        <w:rPr>
          <w:rFonts w:eastAsia="SimSun"/>
          <w:b/>
          <w:bCs/>
          <w:sz w:val="20"/>
          <w:szCs w:val="20"/>
          <w:lang w:val="en-GB" w:eastAsia="en-GB"/>
        </w:rPr>
        <w:t xml:space="preserve">Proposal #1: For interference modelling in PDCCH </w:t>
      </w:r>
      <w:r>
        <w:rPr>
          <w:rFonts w:eastAsia="SimSun"/>
          <w:b/>
          <w:bCs/>
          <w:sz w:val="20"/>
          <w:szCs w:val="20"/>
          <w:lang w:eastAsia="en-GB"/>
        </w:rPr>
        <w:t>a</w:t>
      </w:r>
      <w:r w:rsidRPr="0017238B">
        <w:rPr>
          <w:rFonts w:eastAsia="SimSun"/>
          <w:b/>
          <w:bCs/>
          <w:sz w:val="20"/>
          <w:szCs w:val="20"/>
          <w:lang w:eastAsia="en-GB"/>
        </w:rPr>
        <w:t>ssume PDCCH transmission from interference cells</w:t>
      </w:r>
      <w:r>
        <w:rPr>
          <w:rFonts w:eastAsia="SimSun"/>
          <w:b/>
          <w:bCs/>
          <w:sz w:val="20"/>
          <w:szCs w:val="20"/>
          <w:lang w:eastAsia="en-GB"/>
        </w:rPr>
        <w:t>.</w:t>
      </w:r>
    </w:p>
    <w:p w14:paraId="781A5B74" w14:textId="153BC1EA" w:rsidR="00104D5D" w:rsidRDefault="00DA24C0" w:rsidP="00104D5D">
      <w:pPr>
        <w:pStyle w:val="Heading1"/>
      </w:pPr>
      <w:r>
        <w:t>3</w:t>
      </w:r>
      <w:r w:rsidR="00104D5D">
        <w:t>. Simulation Results</w:t>
      </w:r>
    </w:p>
    <w:p w14:paraId="7C3621FE" w14:textId="5EE295DD" w:rsidR="0017238B" w:rsidRDefault="0017238B" w:rsidP="005B410D">
      <w:pPr>
        <w:spacing w:after="120"/>
        <w:rPr>
          <w:rFonts w:eastAsia="SimSun"/>
          <w:sz w:val="20"/>
          <w:szCs w:val="20"/>
          <w:lang w:val="en-GB" w:eastAsia="en-GB"/>
        </w:rPr>
      </w:pPr>
      <w:r>
        <w:rPr>
          <w:rFonts w:eastAsia="SimSun"/>
          <w:sz w:val="20"/>
          <w:szCs w:val="20"/>
          <w:lang w:val="en-GB" w:eastAsia="en-GB"/>
        </w:rPr>
        <w:t>For the simulation assumptions agreed for PDSCH demodulation requirements in ICI, we present simulation results below.</w:t>
      </w:r>
    </w:p>
    <w:p w14:paraId="33FB675E" w14:textId="355B5112" w:rsidR="00D16F3A" w:rsidRDefault="00D16F3A" w:rsidP="00D16F3A">
      <w:pPr>
        <w:pStyle w:val="Caption"/>
        <w:keepNext/>
        <w:jc w:val="center"/>
      </w:pPr>
      <w:r>
        <w:t xml:space="preserve">Table </w:t>
      </w:r>
      <w:r w:rsidR="00B00412">
        <w:fldChar w:fldCharType="begin"/>
      </w:r>
      <w:r w:rsidR="00B00412">
        <w:instrText xml:space="preserve"> SEQ Table \* ARABIC </w:instrText>
      </w:r>
      <w:r w:rsidR="00B00412">
        <w:fldChar w:fldCharType="separate"/>
      </w:r>
      <w:r>
        <w:rPr>
          <w:noProof/>
        </w:rPr>
        <w:t>1</w:t>
      </w:r>
      <w:r w:rsidR="00B00412">
        <w:rPr>
          <w:noProof/>
        </w:rPr>
        <w:fldChar w:fldCharType="end"/>
      </w:r>
      <w:r>
        <w:t>: Performance results for PDSCH demod in ICI</w:t>
      </w:r>
    </w:p>
    <w:tbl>
      <w:tblPr>
        <w:tblW w:w="9811" w:type="dxa"/>
        <w:tblLook w:val="04A0" w:firstRow="1" w:lastRow="0" w:firstColumn="1" w:lastColumn="0" w:noHBand="0" w:noVBand="1"/>
      </w:tblPr>
      <w:tblGrid>
        <w:gridCol w:w="1075"/>
        <w:gridCol w:w="1170"/>
        <w:gridCol w:w="1170"/>
        <w:gridCol w:w="1530"/>
        <w:gridCol w:w="1566"/>
        <w:gridCol w:w="1591"/>
        <w:gridCol w:w="1709"/>
      </w:tblGrid>
      <w:tr w:rsidR="00D16F3A" w:rsidRPr="00D16F3A" w14:paraId="3954967E" w14:textId="77777777" w:rsidTr="00D16F3A">
        <w:trPr>
          <w:trHeight w:val="320"/>
        </w:trPr>
        <w:tc>
          <w:tcPr>
            <w:tcW w:w="107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930218" w14:textId="77777777" w:rsidR="00D16F3A" w:rsidRPr="00D16F3A" w:rsidRDefault="00D16F3A">
            <w:pPr>
              <w:jc w:val="center"/>
              <w:rPr>
                <w:b/>
                <w:bCs/>
                <w:color w:val="000000"/>
                <w:sz w:val="20"/>
                <w:szCs w:val="20"/>
              </w:rPr>
            </w:pPr>
            <w:r w:rsidRPr="00D16F3A">
              <w:rPr>
                <w:b/>
                <w:bCs/>
                <w:color w:val="000000"/>
                <w:sz w:val="20"/>
                <w:szCs w:val="20"/>
              </w:rPr>
              <w:t>Ant. Config</w:t>
            </w:r>
          </w:p>
        </w:tc>
        <w:tc>
          <w:tcPr>
            <w:tcW w:w="117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C44D3A" w14:textId="77777777" w:rsidR="00D16F3A" w:rsidRPr="00D16F3A" w:rsidRDefault="00D16F3A">
            <w:pPr>
              <w:jc w:val="center"/>
              <w:rPr>
                <w:b/>
                <w:bCs/>
                <w:color w:val="000000"/>
                <w:sz w:val="20"/>
                <w:szCs w:val="20"/>
              </w:rPr>
            </w:pPr>
            <w:r w:rsidRPr="00D16F3A">
              <w:rPr>
                <w:b/>
                <w:bCs/>
                <w:color w:val="000000"/>
                <w:sz w:val="20"/>
                <w:szCs w:val="20"/>
              </w:rPr>
              <w:t>Duplex</w:t>
            </w:r>
          </w:p>
        </w:tc>
        <w:tc>
          <w:tcPr>
            <w:tcW w:w="117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D3833B" w14:textId="77777777" w:rsidR="00D16F3A" w:rsidRPr="00D16F3A" w:rsidRDefault="00D16F3A">
            <w:pPr>
              <w:jc w:val="center"/>
              <w:rPr>
                <w:b/>
                <w:bCs/>
                <w:color w:val="000000"/>
                <w:sz w:val="20"/>
                <w:szCs w:val="20"/>
              </w:rPr>
            </w:pPr>
            <w:r w:rsidRPr="00D16F3A">
              <w:rPr>
                <w:b/>
                <w:bCs/>
                <w:color w:val="000000"/>
                <w:sz w:val="20"/>
                <w:szCs w:val="20"/>
              </w:rPr>
              <w:t>Num. Inf Cells</w:t>
            </w:r>
          </w:p>
        </w:tc>
        <w:tc>
          <w:tcPr>
            <w:tcW w:w="153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5E747B" w14:textId="77777777" w:rsidR="00D16F3A" w:rsidRPr="00D16F3A" w:rsidRDefault="00D16F3A">
            <w:pPr>
              <w:jc w:val="center"/>
              <w:rPr>
                <w:b/>
                <w:bCs/>
                <w:color w:val="000000"/>
                <w:sz w:val="20"/>
                <w:szCs w:val="20"/>
              </w:rPr>
            </w:pPr>
            <w:r w:rsidRPr="00D16F3A">
              <w:rPr>
                <w:b/>
                <w:bCs/>
                <w:color w:val="000000"/>
                <w:sz w:val="20"/>
                <w:szCs w:val="20"/>
              </w:rPr>
              <w:t>Deployment</w:t>
            </w:r>
          </w:p>
        </w:tc>
        <w:tc>
          <w:tcPr>
            <w:tcW w:w="156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A76ADF" w14:textId="77777777" w:rsidR="00D16F3A" w:rsidRPr="00D16F3A" w:rsidRDefault="00D16F3A">
            <w:pPr>
              <w:jc w:val="center"/>
              <w:rPr>
                <w:b/>
                <w:bCs/>
                <w:color w:val="000000"/>
                <w:sz w:val="20"/>
                <w:szCs w:val="20"/>
              </w:rPr>
            </w:pPr>
            <w:r w:rsidRPr="00D16F3A">
              <w:rPr>
                <w:b/>
                <w:bCs/>
                <w:color w:val="000000"/>
                <w:sz w:val="20"/>
                <w:szCs w:val="20"/>
              </w:rPr>
              <w:t>Prop. Channel</w:t>
            </w:r>
          </w:p>
        </w:tc>
        <w:tc>
          <w:tcPr>
            <w:tcW w:w="330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EBBE532" w14:textId="77777777" w:rsidR="00D16F3A" w:rsidRPr="00D16F3A" w:rsidRDefault="00D16F3A">
            <w:pPr>
              <w:jc w:val="center"/>
              <w:rPr>
                <w:b/>
                <w:bCs/>
                <w:color w:val="000000"/>
                <w:sz w:val="20"/>
                <w:szCs w:val="20"/>
              </w:rPr>
            </w:pPr>
            <w:r w:rsidRPr="00D16F3A">
              <w:rPr>
                <w:b/>
                <w:bCs/>
                <w:color w:val="000000"/>
                <w:sz w:val="20"/>
                <w:szCs w:val="20"/>
              </w:rPr>
              <w:t>SNR @ 70% Max TP</w:t>
            </w:r>
          </w:p>
        </w:tc>
      </w:tr>
      <w:tr w:rsidR="00D16F3A" w:rsidRPr="00D16F3A" w14:paraId="0D548C67" w14:textId="77777777" w:rsidTr="00D16F3A">
        <w:trPr>
          <w:trHeight w:val="320"/>
        </w:trPr>
        <w:tc>
          <w:tcPr>
            <w:tcW w:w="1075" w:type="dxa"/>
            <w:vMerge/>
            <w:tcBorders>
              <w:top w:val="single" w:sz="4" w:space="0" w:color="auto"/>
              <w:left w:val="single" w:sz="4" w:space="0" w:color="auto"/>
              <w:bottom w:val="single" w:sz="4" w:space="0" w:color="auto"/>
              <w:right w:val="single" w:sz="4" w:space="0" w:color="auto"/>
            </w:tcBorders>
            <w:vAlign w:val="center"/>
            <w:hideMark/>
          </w:tcPr>
          <w:p w14:paraId="7D1E25D4" w14:textId="77777777" w:rsidR="00D16F3A" w:rsidRPr="00D16F3A" w:rsidRDefault="00D16F3A">
            <w:pPr>
              <w:rPr>
                <w:b/>
                <w:bCs/>
                <w:color w:val="000000"/>
                <w:sz w:val="20"/>
                <w:szCs w:val="20"/>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089E2FDA" w14:textId="77777777" w:rsidR="00D16F3A" w:rsidRPr="00D16F3A" w:rsidRDefault="00D16F3A">
            <w:pPr>
              <w:rPr>
                <w:b/>
                <w:bCs/>
                <w:color w:val="000000"/>
                <w:sz w:val="20"/>
                <w:szCs w:val="20"/>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379E7F29" w14:textId="77777777" w:rsidR="00D16F3A" w:rsidRPr="00D16F3A" w:rsidRDefault="00D16F3A">
            <w:pPr>
              <w:rPr>
                <w:b/>
                <w:bCs/>
                <w:color w:val="000000"/>
                <w:sz w:val="20"/>
                <w:szCs w:val="20"/>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56810DE0" w14:textId="77777777" w:rsidR="00D16F3A" w:rsidRPr="00D16F3A" w:rsidRDefault="00D16F3A">
            <w:pPr>
              <w:rPr>
                <w:b/>
                <w:bCs/>
                <w:color w:val="000000"/>
                <w:sz w:val="20"/>
                <w:szCs w:val="20"/>
              </w:rPr>
            </w:pPr>
          </w:p>
        </w:tc>
        <w:tc>
          <w:tcPr>
            <w:tcW w:w="1566" w:type="dxa"/>
            <w:vMerge/>
            <w:tcBorders>
              <w:top w:val="single" w:sz="4" w:space="0" w:color="auto"/>
              <w:left w:val="single" w:sz="4" w:space="0" w:color="auto"/>
              <w:bottom w:val="single" w:sz="4" w:space="0" w:color="auto"/>
              <w:right w:val="single" w:sz="4" w:space="0" w:color="auto"/>
            </w:tcBorders>
            <w:vAlign w:val="center"/>
            <w:hideMark/>
          </w:tcPr>
          <w:p w14:paraId="2FFE3D3E" w14:textId="77777777" w:rsidR="00D16F3A" w:rsidRPr="00D16F3A" w:rsidRDefault="00D16F3A">
            <w:pPr>
              <w:rPr>
                <w:b/>
                <w:bCs/>
                <w:color w:val="000000"/>
                <w:sz w:val="20"/>
                <w:szCs w:val="20"/>
              </w:rPr>
            </w:pPr>
          </w:p>
        </w:tc>
        <w:tc>
          <w:tcPr>
            <w:tcW w:w="1591" w:type="dxa"/>
            <w:tcBorders>
              <w:top w:val="nil"/>
              <w:left w:val="nil"/>
              <w:bottom w:val="single" w:sz="4" w:space="0" w:color="auto"/>
              <w:right w:val="single" w:sz="4" w:space="0" w:color="auto"/>
            </w:tcBorders>
            <w:shd w:val="clear" w:color="auto" w:fill="auto"/>
            <w:noWrap/>
            <w:vAlign w:val="center"/>
            <w:hideMark/>
          </w:tcPr>
          <w:p w14:paraId="47803875" w14:textId="77777777" w:rsidR="00D16F3A" w:rsidRPr="00D16F3A" w:rsidRDefault="00D16F3A">
            <w:pPr>
              <w:jc w:val="center"/>
              <w:rPr>
                <w:b/>
                <w:bCs/>
                <w:color w:val="000000"/>
                <w:sz w:val="20"/>
                <w:szCs w:val="20"/>
              </w:rPr>
            </w:pPr>
            <w:r w:rsidRPr="00D16F3A">
              <w:rPr>
                <w:b/>
                <w:bCs/>
                <w:color w:val="000000"/>
                <w:sz w:val="20"/>
                <w:szCs w:val="20"/>
              </w:rPr>
              <w:t>Alignment</w:t>
            </w:r>
          </w:p>
        </w:tc>
        <w:tc>
          <w:tcPr>
            <w:tcW w:w="1709" w:type="dxa"/>
            <w:tcBorders>
              <w:top w:val="nil"/>
              <w:left w:val="nil"/>
              <w:bottom w:val="single" w:sz="4" w:space="0" w:color="auto"/>
              <w:right w:val="single" w:sz="4" w:space="0" w:color="auto"/>
            </w:tcBorders>
            <w:shd w:val="clear" w:color="auto" w:fill="auto"/>
            <w:noWrap/>
            <w:vAlign w:val="center"/>
            <w:hideMark/>
          </w:tcPr>
          <w:p w14:paraId="1D02BE8B" w14:textId="77777777" w:rsidR="00D16F3A" w:rsidRPr="00D16F3A" w:rsidRDefault="00D16F3A">
            <w:pPr>
              <w:jc w:val="center"/>
              <w:rPr>
                <w:b/>
                <w:bCs/>
                <w:color w:val="000000"/>
                <w:sz w:val="20"/>
                <w:szCs w:val="20"/>
              </w:rPr>
            </w:pPr>
            <w:r w:rsidRPr="00D16F3A">
              <w:rPr>
                <w:b/>
                <w:bCs/>
                <w:color w:val="000000"/>
                <w:sz w:val="20"/>
                <w:szCs w:val="20"/>
              </w:rPr>
              <w:t>Impairment</w:t>
            </w:r>
          </w:p>
        </w:tc>
      </w:tr>
      <w:tr w:rsidR="00D16F3A" w:rsidRPr="00D16F3A" w14:paraId="319523A3" w14:textId="77777777" w:rsidTr="00D16F3A">
        <w:trPr>
          <w:trHeight w:val="320"/>
        </w:trPr>
        <w:tc>
          <w:tcPr>
            <w:tcW w:w="107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F9AFDD7" w14:textId="77777777" w:rsidR="00D16F3A" w:rsidRPr="00D16F3A" w:rsidRDefault="00D16F3A">
            <w:pPr>
              <w:jc w:val="center"/>
              <w:rPr>
                <w:color w:val="000000"/>
                <w:sz w:val="20"/>
                <w:szCs w:val="20"/>
              </w:rPr>
            </w:pPr>
            <w:r w:rsidRPr="00D16F3A">
              <w:rPr>
                <w:color w:val="000000"/>
                <w:sz w:val="20"/>
                <w:szCs w:val="20"/>
              </w:rPr>
              <w:t>2x2</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8092AAC" w14:textId="77777777" w:rsidR="00D16F3A" w:rsidRPr="00D16F3A" w:rsidRDefault="00D16F3A">
            <w:pPr>
              <w:jc w:val="center"/>
              <w:rPr>
                <w:color w:val="000000"/>
                <w:sz w:val="20"/>
                <w:szCs w:val="20"/>
              </w:rPr>
            </w:pPr>
            <w:r w:rsidRPr="00D16F3A">
              <w:rPr>
                <w:color w:val="000000"/>
                <w:sz w:val="20"/>
                <w:szCs w:val="20"/>
              </w:rPr>
              <w:t>FDD</w:t>
            </w:r>
          </w:p>
        </w:tc>
        <w:tc>
          <w:tcPr>
            <w:tcW w:w="1170" w:type="dxa"/>
            <w:tcBorders>
              <w:top w:val="nil"/>
              <w:left w:val="nil"/>
              <w:bottom w:val="single" w:sz="4" w:space="0" w:color="auto"/>
              <w:right w:val="single" w:sz="4" w:space="0" w:color="auto"/>
            </w:tcBorders>
            <w:shd w:val="clear" w:color="auto" w:fill="auto"/>
            <w:noWrap/>
            <w:vAlign w:val="center"/>
            <w:hideMark/>
          </w:tcPr>
          <w:p w14:paraId="12B6F535" w14:textId="77777777" w:rsidR="00D16F3A" w:rsidRPr="00D16F3A" w:rsidRDefault="00D16F3A">
            <w:pPr>
              <w:jc w:val="center"/>
              <w:rPr>
                <w:color w:val="000000"/>
                <w:sz w:val="20"/>
                <w:szCs w:val="20"/>
              </w:rPr>
            </w:pPr>
            <w:r w:rsidRPr="00D16F3A">
              <w:rPr>
                <w:color w:val="000000"/>
                <w:sz w:val="20"/>
                <w:szCs w:val="20"/>
              </w:rPr>
              <w:t>2</w:t>
            </w:r>
          </w:p>
        </w:tc>
        <w:tc>
          <w:tcPr>
            <w:tcW w:w="1530" w:type="dxa"/>
            <w:tcBorders>
              <w:top w:val="nil"/>
              <w:left w:val="nil"/>
              <w:bottom w:val="single" w:sz="4" w:space="0" w:color="auto"/>
              <w:right w:val="single" w:sz="4" w:space="0" w:color="auto"/>
            </w:tcBorders>
            <w:shd w:val="clear" w:color="auto" w:fill="auto"/>
            <w:noWrap/>
            <w:vAlign w:val="center"/>
            <w:hideMark/>
          </w:tcPr>
          <w:p w14:paraId="0FE9BB50" w14:textId="77777777" w:rsidR="00D16F3A" w:rsidRPr="00D16F3A" w:rsidRDefault="00D16F3A">
            <w:pPr>
              <w:jc w:val="center"/>
              <w:rPr>
                <w:color w:val="000000"/>
                <w:sz w:val="20"/>
                <w:szCs w:val="20"/>
              </w:rPr>
            </w:pPr>
            <w:proofErr w:type="spellStart"/>
            <w:r w:rsidRPr="00D16F3A">
              <w:rPr>
                <w:color w:val="000000"/>
                <w:sz w:val="20"/>
                <w:szCs w:val="20"/>
              </w:rPr>
              <w:t>HomoNet</w:t>
            </w:r>
            <w:proofErr w:type="spellEnd"/>
            <w:r w:rsidRPr="00D16F3A">
              <w:rPr>
                <w:color w:val="000000"/>
                <w:sz w:val="20"/>
                <w:szCs w:val="20"/>
              </w:rPr>
              <w:t xml:space="preserve"> </w:t>
            </w:r>
          </w:p>
        </w:tc>
        <w:tc>
          <w:tcPr>
            <w:tcW w:w="1566" w:type="dxa"/>
            <w:tcBorders>
              <w:top w:val="nil"/>
              <w:left w:val="nil"/>
              <w:bottom w:val="single" w:sz="4" w:space="0" w:color="auto"/>
              <w:right w:val="single" w:sz="4" w:space="0" w:color="auto"/>
            </w:tcBorders>
            <w:shd w:val="clear" w:color="auto" w:fill="auto"/>
            <w:noWrap/>
            <w:vAlign w:val="center"/>
            <w:hideMark/>
          </w:tcPr>
          <w:p w14:paraId="14C3A35D" w14:textId="77777777" w:rsidR="00D16F3A" w:rsidRPr="00D16F3A" w:rsidRDefault="00D16F3A">
            <w:pPr>
              <w:jc w:val="center"/>
              <w:rPr>
                <w:color w:val="000000"/>
                <w:sz w:val="20"/>
                <w:szCs w:val="20"/>
              </w:rPr>
            </w:pPr>
            <w:r w:rsidRPr="00D16F3A">
              <w:rPr>
                <w:color w:val="000000"/>
                <w:sz w:val="20"/>
                <w:szCs w:val="20"/>
              </w:rPr>
              <w:t>TDLC300-100</w:t>
            </w:r>
          </w:p>
        </w:tc>
        <w:tc>
          <w:tcPr>
            <w:tcW w:w="1591" w:type="dxa"/>
            <w:tcBorders>
              <w:top w:val="nil"/>
              <w:left w:val="nil"/>
              <w:bottom w:val="single" w:sz="4" w:space="0" w:color="auto"/>
              <w:right w:val="single" w:sz="4" w:space="0" w:color="auto"/>
            </w:tcBorders>
            <w:shd w:val="clear" w:color="auto" w:fill="auto"/>
            <w:noWrap/>
            <w:vAlign w:val="center"/>
            <w:hideMark/>
          </w:tcPr>
          <w:p w14:paraId="305EDC36" w14:textId="77777777" w:rsidR="00D16F3A" w:rsidRPr="00D16F3A" w:rsidRDefault="00D16F3A">
            <w:pPr>
              <w:jc w:val="center"/>
              <w:rPr>
                <w:color w:val="000000"/>
                <w:sz w:val="20"/>
                <w:szCs w:val="20"/>
              </w:rPr>
            </w:pPr>
            <w:r w:rsidRPr="00D16F3A">
              <w:rPr>
                <w:color w:val="000000"/>
                <w:sz w:val="20"/>
                <w:szCs w:val="20"/>
              </w:rPr>
              <w:t>14.4</w:t>
            </w:r>
          </w:p>
        </w:tc>
        <w:tc>
          <w:tcPr>
            <w:tcW w:w="1709" w:type="dxa"/>
            <w:tcBorders>
              <w:top w:val="nil"/>
              <w:left w:val="nil"/>
              <w:bottom w:val="single" w:sz="4" w:space="0" w:color="auto"/>
              <w:right w:val="single" w:sz="4" w:space="0" w:color="auto"/>
            </w:tcBorders>
            <w:shd w:val="clear" w:color="auto" w:fill="auto"/>
            <w:noWrap/>
            <w:vAlign w:val="center"/>
            <w:hideMark/>
          </w:tcPr>
          <w:p w14:paraId="4232CAA6" w14:textId="77777777" w:rsidR="00D16F3A" w:rsidRPr="00D16F3A" w:rsidRDefault="00D16F3A">
            <w:pPr>
              <w:jc w:val="center"/>
              <w:rPr>
                <w:color w:val="000000"/>
                <w:sz w:val="20"/>
                <w:szCs w:val="20"/>
              </w:rPr>
            </w:pPr>
            <w:r w:rsidRPr="00D16F3A">
              <w:rPr>
                <w:color w:val="000000"/>
                <w:sz w:val="20"/>
                <w:szCs w:val="20"/>
              </w:rPr>
              <w:t>16.4</w:t>
            </w:r>
          </w:p>
        </w:tc>
      </w:tr>
      <w:tr w:rsidR="00D16F3A" w:rsidRPr="00D16F3A" w14:paraId="34B7737A" w14:textId="77777777" w:rsidTr="00D16F3A">
        <w:trPr>
          <w:trHeight w:val="320"/>
        </w:trPr>
        <w:tc>
          <w:tcPr>
            <w:tcW w:w="1075" w:type="dxa"/>
            <w:vMerge/>
            <w:tcBorders>
              <w:top w:val="nil"/>
              <w:left w:val="single" w:sz="4" w:space="0" w:color="auto"/>
              <w:bottom w:val="single" w:sz="4" w:space="0" w:color="auto"/>
              <w:right w:val="single" w:sz="4" w:space="0" w:color="auto"/>
            </w:tcBorders>
            <w:vAlign w:val="center"/>
            <w:hideMark/>
          </w:tcPr>
          <w:p w14:paraId="4184FC2E" w14:textId="77777777" w:rsidR="00D16F3A" w:rsidRPr="00D16F3A" w:rsidRDefault="00D16F3A">
            <w:pPr>
              <w:rPr>
                <w:color w:val="000000"/>
                <w:sz w:val="20"/>
                <w:szCs w:val="20"/>
              </w:rPr>
            </w:pPr>
          </w:p>
        </w:tc>
        <w:tc>
          <w:tcPr>
            <w:tcW w:w="1170" w:type="dxa"/>
            <w:vMerge/>
            <w:tcBorders>
              <w:top w:val="nil"/>
              <w:left w:val="single" w:sz="4" w:space="0" w:color="auto"/>
              <w:bottom w:val="single" w:sz="4" w:space="0" w:color="auto"/>
              <w:right w:val="single" w:sz="4" w:space="0" w:color="auto"/>
            </w:tcBorders>
            <w:vAlign w:val="center"/>
            <w:hideMark/>
          </w:tcPr>
          <w:p w14:paraId="25CB53FE" w14:textId="77777777" w:rsidR="00D16F3A" w:rsidRPr="00D16F3A" w:rsidRDefault="00D16F3A">
            <w:pPr>
              <w:rPr>
                <w:color w:val="000000"/>
                <w:sz w:val="20"/>
                <w:szCs w:val="20"/>
              </w:rPr>
            </w:pPr>
          </w:p>
        </w:tc>
        <w:tc>
          <w:tcPr>
            <w:tcW w:w="1170" w:type="dxa"/>
            <w:tcBorders>
              <w:top w:val="nil"/>
              <w:left w:val="nil"/>
              <w:bottom w:val="single" w:sz="4" w:space="0" w:color="auto"/>
              <w:right w:val="single" w:sz="4" w:space="0" w:color="auto"/>
            </w:tcBorders>
            <w:shd w:val="clear" w:color="auto" w:fill="auto"/>
            <w:noWrap/>
            <w:vAlign w:val="center"/>
            <w:hideMark/>
          </w:tcPr>
          <w:p w14:paraId="0462049A" w14:textId="77777777" w:rsidR="00D16F3A" w:rsidRPr="00D16F3A" w:rsidRDefault="00D16F3A">
            <w:pPr>
              <w:jc w:val="center"/>
              <w:rPr>
                <w:color w:val="000000"/>
                <w:sz w:val="20"/>
                <w:szCs w:val="20"/>
              </w:rPr>
            </w:pPr>
            <w:r w:rsidRPr="00D16F3A">
              <w:rPr>
                <w:color w:val="000000"/>
                <w:sz w:val="20"/>
                <w:szCs w:val="20"/>
              </w:rPr>
              <w:t>1</w:t>
            </w:r>
          </w:p>
        </w:tc>
        <w:tc>
          <w:tcPr>
            <w:tcW w:w="1530" w:type="dxa"/>
            <w:tcBorders>
              <w:top w:val="nil"/>
              <w:left w:val="nil"/>
              <w:bottom w:val="single" w:sz="4" w:space="0" w:color="auto"/>
              <w:right w:val="single" w:sz="4" w:space="0" w:color="auto"/>
            </w:tcBorders>
            <w:shd w:val="clear" w:color="auto" w:fill="auto"/>
            <w:noWrap/>
            <w:vAlign w:val="center"/>
            <w:hideMark/>
          </w:tcPr>
          <w:p w14:paraId="3F574CCE" w14:textId="77777777" w:rsidR="00D16F3A" w:rsidRPr="00D16F3A" w:rsidRDefault="00D16F3A">
            <w:pPr>
              <w:jc w:val="center"/>
              <w:rPr>
                <w:color w:val="000000"/>
                <w:sz w:val="20"/>
                <w:szCs w:val="20"/>
              </w:rPr>
            </w:pPr>
            <w:r w:rsidRPr="00D16F3A">
              <w:rPr>
                <w:color w:val="000000"/>
                <w:sz w:val="20"/>
                <w:szCs w:val="20"/>
              </w:rPr>
              <w:t> </w:t>
            </w:r>
            <w:proofErr w:type="spellStart"/>
            <w:r w:rsidRPr="00D16F3A">
              <w:rPr>
                <w:color w:val="000000"/>
                <w:sz w:val="20"/>
                <w:szCs w:val="20"/>
              </w:rPr>
              <w:t>HetNet</w:t>
            </w:r>
            <w:proofErr w:type="spellEnd"/>
          </w:p>
        </w:tc>
        <w:tc>
          <w:tcPr>
            <w:tcW w:w="1566" w:type="dxa"/>
            <w:tcBorders>
              <w:top w:val="nil"/>
              <w:left w:val="nil"/>
              <w:bottom w:val="single" w:sz="4" w:space="0" w:color="auto"/>
              <w:right w:val="single" w:sz="4" w:space="0" w:color="auto"/>
            </w:tcBorders>
            <w:shd w:val="clear" w:color="auto" w:fill="auto"/>
            <w:noWrap/>
            <w:vAlign w:val="center"/>
            <w:hideMark/>
          </w:tcPr>
          <w:p w14:paraId="132A51E8" w14:textId="77777777" w:rsidR="00D16F3A" w:rsidRPr="00D16F3A" w:rsidRDefault="00D16F3A">
            <w:pPr>
              <w:jc w:val="center"/>
              <w:rPr>
                <w:color w:val="000000"/>
                <w:sz w:val="20"/>
                <w:szCs w:val="20"/>
              </w:rPr>
            </w:pPr>
            <w:r w:rsidRPr="00D16F3A">
              <w:rPr>
                <w:color w:val="000000"/>
                <w:sz w:val="20"/>
                <w:szCs w:val="20"/>
              </w:rPr>
              <w:t>TDLA30-10</w:t>
            </w:r>
          </w:p>
        </w:tc>
        <w:tc>
          <w:tcPr>
            <w:tcW w:w="1591" w:type="dxa"/>
            <w:tcBorders>
              <w:top w:val="nil"/>
              <w:left w:val="nil"/>
              <w:bottom w:val="single" w:sz="4" w:space="0" w:color="auto"/>
              <w:right w:val="single" w:sz="4" w:space="0" w:color="auto"/>
            </w:tcBorders>
            <w:shd w:val="clear" w:color="auto" w:fill="auto"/>
            <w:noWrap/>
            <w:vAlign w:val="center"/>
            <w:hideMark/>
          </w:tcPr>
          <w:p w14:paraId="5994E74E" w14:textId="77777777" w:rsidR="00D16F3A" w:rsidRPr="00D16F3A" w:rsidRDefault="00D16F3A">
            <w:pPr>
              <w:jc w:val="center"/>
              <w:rPr>
                <w:color w:val="000000"/>
                <w:sz w:val="20"/>
                <w:szCs w:val="20"/>
              </w:rPr>
            </w:pPr>
            <w:r w:rsidRPr="00D16F3A">
              <w:rPr>
                <w:color w:val="000000"/>
                <w:sz w:val="20"/>
                <w:szCs w:val="20"/>
              </w:rPr>
              <w:t>11</w:t>
            </w:r>
          </w:p>
        </w:tc>
        <w:tc>
          <w:tcPr>
            <w:tcW w:w="1709" w:type="dxa"/>
            <w:tcBorders>
              <w:top w:val="nil"/>
              <w:left w:val="nil"/>
              <w:bottom w:val="single" w:sz="4" w:space="0" w:color="auto"/>
              <w:right w:val="single" w:sz="4" w:space="0" w:color="auto"/>
            </w:tcBorders>
            <w:shd w:val="clear" w:color="auto" w:fill="auto"/>
            <w:noWrap/>
            <w:vAlign w:val="center"/>
            <w:hideMark/>
          </w:tcPr>
          <w:p w14:paraId="407A73C0" w14:textId="77777777" w:rsidR="00D16F3A" w:rsidRPr="00D16F3A" w:rsidRDefault="00D16F3A">
            <w:pPr>
              <w:jc w:val="center"/>
              <w:rPr>
                <w:color w:val="000000"/>
                <w:sz w:val="20"/>
                <w:szCs w:val="20"/>
              </w:rPr>
            </w:pPr>
            <w:r w:rsidRPr="00D16F3A">
              <w:rPr>
                <w:color w:val="000000"/>
                <w:sz w:val="20"/>
                <w:szCs w:val="20"/>
              </w:rPr>
              <w:t>13</w:t>
            </w:r>
          </w:p>
        </w:tc>
      </w:tr>
      <w:tr w:rsidR="00D16F3A" w:rsidRPr="00D16F3A" w14:paraId="6E471943" w14:textId="77777777" w:rsidTr="00D16F3A">
        <w:trPr>
          <w:trHeight w:val="320"/>
        </w:trPr>
        <w:tc>
          <w:tcPr>
            <w:tcW w:w="1075" w:type="dxa"/>
            <w:vMerge/>
            <w:tcBorders>
              <w:top w:val="nil"/>
              <w:left w:val="single" w:sz="4" w:space="0" w:color="auto"/>
              <w:bottom w:val="single" w:sz="4" w:space="0" w:color="auto"/>
              <w:right w:val="single" w:sz="4" w:space="0" w:color="auto"/>
            </w:tcBorders>
            <w:vAlign w:val="center"/>
            <w:hideMark/>
          </w:tcPr>
          <w:p w14:paraId="7CD5EA48" w14:textId="77777777" w:rsidR="00D16F3A" w:rsidRPr="00D16F3A" w:rsidRDefault="00D16F3A">
            <w:pPr>
              <w:rPr>
                <w:color w:val="000000"/>
                <w:sz w:val="20"/>
                <w:szCs w:val="20"/>
              </w:rPr>
            </w:pP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589B9A1" w14:textId="77777777" w:rsidR="00D16F3A" w:rsidRPr="00D16F3A" w:rsidRDefault="00D16F3A">
            <w:pPr>
              <w:jc w:val="center"/>
              <w:rPr>
                <w:color w:val="000000"/>
                <w:sz w:val="20"/>
                <w:szCs w:val="20"/>
              </w:rPr>
            </w:pPr>
            <w:r w:rsidRPr="00D16F3A">
              <w:rPr>
                <w:color w:val="000000"/>
                <w:sz w:val="20"/>
                <w:szCs w:val="20"/>
              </w:rPr>
              <w:t>TDD</w:t>
            </w:r>
          </w:p>
        </w:tc>
        <w:tc>
          <w:tcPr>
            <w:tcW w:w="1170" w:type="dxa"/>
            <w:tcBorders>
              <w:top w:val="nil"/>
              <w:left w:val="nil"/>
              <w:bottom w:val="single" w:sz="4" w:space="0" w:color="auto"/>
              <w:right w:val="single" w:sz="4" w:space="0" w:color="auto"/>
            </w:tcBorders>
            <w:shd w:val="clear" w:color="auto" w:fill="auto"/>
            <w:noWrap/>
            <w:vAlign w:val="center"/>
            <w:hideMark/>
          </w:tcPr>
          <w:p w14:paraId="7FA3177F" w14:textId="77777777" w:rsidR="00D16F3A" w:rsidRPr="00D16F3A" w:rsidRDefault="00D16F3A">
            <w:pPr>
              <w:jc w:val="center"/>
              <w:rPr>
                <w:color w:val="000000"/>
                <w:sz w:val="20"/>
                <w:szCs w:val="20"/>
              </w:rPr>
            </w:pPr>
            <w:r w:rsidRPr="00D16F3A">
              <w:rPr>
                <w:color w:val="000000"/>
                <w:sz w:val="20"/>
                <w:szCs w:val="20"/>
              </w:rPr>
              <w:t>2</w:t>
            </w:r>
          </w:p>
        </w:tc>
        <w:tc>
          <w:tcPr>
            <w:tcW w:w="1530" w:type="dxa"/>
            <w:tcBorders>
              <w:top w:val="nil"/>
              <w:left w:val="nil"/>
              <w:bottom w:val="single" w:sz="4" w:space="0" w:color="auto"/>
              <w:right w:val="single" w:sz="4" w:space="0" w:color="auto"/>
            </w:tcBorders>
            <w:shd w:val="clear" w:color="auto" w:fill="auto"/>
            <w:noWrap/>
            <w:vAlign w:val="center"/>
            <w:hideMark/>
          </w:tcPr>
          <w:p w14:paraId="2EC96451" w14:textId="77777777" w:rsidR="00D16F3A" w:rsidRPr="00D16F3A" w:rsidRDefault="00D16F3A">
            <w:pPr>
              <w:jc w:val="center"/>
              <w:rPr>
                <w:color w:val="000000"/>
                <w:sz w:val="20"/>
                <w:szCs w:val="20"/>
              </w:rPr>
            </w:pPr>
            <w:proofErr w:type="spellStart"/>
            <w:r w:rsidRPr="00D16F3A">
              <w:rPr>
                <w:color w:val="000000"/>
                <w:sz w:val="20"/>
                <w:szCs w:val="20"/>
              </w:rPr>
              <w:t>HomoNet</w:t>
            </w:r>
            <w:proofErr w:type="spellEnd"/>
            <w:r w:rsidRPr="00D16F3A">
              <w:rPr>
                <w:color w:val="000000"/>
                <w:sz w:val="20"/>
                <w:szCs w:val="20"/>
              </w:rPr>
              <w:t xml:space="preserve"> </w:t>
            </w:r>
          </w:p>
        </w:tc>
        <w:tc>
          <w:tcPr>
            <w:tcW w:w="1566" w:type="dxa"/>
            <w:tcBorders>
              <w:top w:val="nil"/>
              <w:left w:val="nil"/>
              <w:bottom w:val="single" w:sz="4" w:space="0" w:color="auto"/>
              <w:right w:val="single" w:sz="4" w:space="0" w:color="auto"/>
            </w:tcBorders>
            <w:shd w:val="clear" w:color="auto" w:fill="auto"/>
            <w:noWrap/>
            <w:vAlign w:val="center"/>
            <w:hideMark/>
          </w:tcPr>
          <w:p w14:paraId="7F1A3098" w14:textId="77777777" w:rsidR="00D16F3A" w:rsidRPr="00D16F3A" w:rsidRDefault="00D16F3A">
            <w:pPr>
              <w:jc w:val="center"/>
              <w:rPr>
                <w:color w:val="000000"/>
                <w:sz w:val="20"/>
                <w:szCs w:val="20"/>
              </w:rPr>
            </w:pPr>
            <w:r w:rsidRPr="00D16F3A">
              <w:rPr>
                <w:color w:val="000000"/>
                <w:sz w:val="20"/>
                <w:szCs w:val="20"/>
              </w:rPr>
              <w:t>TDLC300-100</w:t>
            </w:r>
          </w:p>
        </w:tc>
        <w:tc>
          <w:tcPr>
            <w:tcW w:w="1591" w:type="dxa"/>
            <w:tcBorders>
              <w:top w:val="nil"/>
              <w:left w:val="nil"/>
              <w:bottom w:val="single" w:sz="4" w:space="0" w:color="auto"/>
              <w:right w:val="single" w:sz="4" w:space="0" w:color="auto"/>
            </w:tcBorders>
            <w:shd w:val="clear" w:color="auto" w:fill="auto"/>
            <w:noWrap/>
            <w:vAlign w:val="center"/>
            <w:hideMark/>
          </w:tcPr>
          <w:p w14:paraId="2AC727C3" w14:textId="77777777" w:rsidR="00D16F3A" w:rsidRPr="00D16F3A" w:rsidRDefault="00D16F3A">
            <w:pPr>
              <w:jc w:val="center"/>
              <w:rPr>
                <w:color w:val="000000"/>
                <w:sz w:val="20"/>
                <w:szCs w:val="20"/>
              </w:rPr>
            </w:pPr>
            <w:r w:rsidRPr="00D16F3A">
              <w:rPr>
                <w:color w:val="000000"/>
                <w:sz w:val="20"/>
                <w:szCs w:val="20"/>
              </w:rPr>
              <w:t>14.6</w:t>
            </w:r>
          </w:p>
        </w:tc>
        <w:tc>
          <w:tcPr>
            <w:tcW w:w="1709" w:type="dxa"/>
            <w:tcBorders>
              <w:top w:val="nil"/>
              <w:left w:val="nil"/>
              <w:bottom w:val="single" w:sz="4" w:space="0" w:color="auto"/>
              <w:right w:val="single" w:sz="4" w:space="0" w:color="auto"/>
            </w:tcBorders>
            <w:shd w:val="clear" w:color="auto" w:fill="auto"/>
            <w:noWrap/>
            <w:vAlign w:val="center"/>
            <w:hideMark/>
          </w:tcPr>
          <w:p w14:paraId="354D3716" w14:textId="77777777" w:rsidR="00D16F3A" w:rsidRPr="00D16F3A" w:rsidRDefault="00D16F3A">
            <w:pPr>
              <w:jc w:val="center"/>
              <w:rPr>
                <w:color w:val="000000"/>
                <w:sz w:val="20"/>
                <w:szCs w:val="20"/>
              </w:rPr>
            </w:pPr>
            <w:r w:rsidRPr="00D16F3A">
              <w:rPr>
                <w:color w:val="000000"/>
                <w:sz w:val="20"/>
                <w:szCs w:val="20"/>
              </w:rPr>
              <w:t>16.6</w:t>
            </w:r>
          </w:p>
        </w:tc>
      </w:tr>
      <w:tr w:rsidR="00D16F3A" w:rsidRPr="00D16F3A" w14:paraId="5FF538F4" w14:textId="77777777" w:rsidTr="00D16F3A">
        <w:trPr>
          <w:trHeight w:val="320"/>
        </w:trPr>
        <w:tc>
          <w:tcPr>
            <w:tcW w:w="1075" w:type="dxa"/>
            <w:vMerge/>
            <w:tcBorders>
              <w:top w:val="nil"/>
              <w:left w:val="single" w:sz="4" w:space="0" w:color="auto"/>
              <w:bottom w:val="single" w:sz="4" w:space="0" w:color="auto"/>
              <w:right w:val="single" w:sz="4" w:space="0" w:color="auto"/>
            </w:tcBorders>
            <w:vAlign w:val="center"/>
            <w:hideMark/>
          </w:tcPr>
          <w:p w14:paraId="38A10A1D" w14:textId="77777777" w:rsidR="00D16F3A" w:rsidRPr="00D16F3A" w:rsidRDefault="00D16F3A">
            <w:pPr>
              <w:rPr>
                <w:color w:val="000000"/>
                <w:sz w:val="20"/>
                <w:szCs w:val="20"/>
              </w:rPr>
            </w:pPr>
          </w:p>
        </w:tc>
        <w:tc>
          <w:tcPr>
            <w:tcW w:w="1170" w:type="dxa"/>
            <w:vMerge/>
            <w:tcBorders>
              <w:top w:val="nil"/>
              <w:left w:val="single" w:sz="4" w:space="0" w:color="auto"/>
              <w:bottom w:val="single" w:sz="4" w:space="0" w:color="auto"/>
              <w:right w:val="single" w:sz="4" w:space="0" w:color="auto"/>
            </w:tcBorders>
            <w:vAlign w:val="center"/>
            <w:hideMark/>
          </w:tcPr>
          <w:p w14:paraId="150DCE3C" w14:textId="77777777" w:rsidR="00D16F3A" w:rsidRPr="00D16F3A" w:rsidRDefault="00D16F3A">
            <w:pPr>
              <w:rPr>
                <w:color w:val="000000"/>
                <w:sz w:val="20"/>
                <w:szCs w:val="20"/>
              </w:rPr>
            </w:pPr>
          </w:p>
        </w:tc>
        <w:tc>
          <w:tcPr>
            <w:tcW w:w="1170" w:type="dxa"/>
            <w:tcBorders>
              <w:top w:val="nil"/>
              <w:left w:val="nil"/>
              <w:bottom w:val="single" w:sz="4" w:space="0" w:color="auto"/>
              <w:right w:val="single" w:sz="4" w:space="0" w:color="auto"/>
            </w:tcBorders>
            <w:shd w:val="clear" w:color="auto" w:fill="auto"/>
            <w:noWrap/>
            <w:vAlign w:val="center"/>
            <w:hideMark/>
          </w:tcPr>
          <w:p w14:paraId="4DAD8327" w14:textId="77777777" w:rsidR="00D16F3A" w:rsidRPr="00D16F3A" w:rsidRDefault="00D16F3A">
            <w:pPr>
              <w:jc w:val="center"/>
              <w:rPr>
                <w:color w:val="000000"/>
                <w:sz w:val="20"/>
                <w:szCs w:val="20"/>
              </w:rPr>
            </w:pPr>
            <w:r w:rsidRPr="00D16F3A">
              <w:rPr>
                <w:color w:val="000000"/>
                <w:sz w:val="20"/>
                <w:szCs w:val="20"/>
              </w:rPr>
              <w:t>1</w:t>
            </w:r>
          </w:p>
        </w:tc>
        <w:tc>
          <w:tcPr>
            <w:tcW w:w="1530" w:type="dxa"/>
            <w:tcBorders>
              <w:top w:val="nil"/>
              <w:left w:val="nil"/>
              <w:bottom w:val="single" w:sz="4" w:space="0" w:color="auto"/>
              <w:right w:val="single" w:sz="4" w:space="0" w:color="auto"/>
            </w:tcBorders>
            <w:shd w:val="clear" w:color="auto" w:fill="auto"/>
            <w:noWrap/>
            <w:vAlign w:val="center"/>
            <w:hideMark/>
          </w:tcPr>
          <w:p w14:paraId="148D4138" w14:textId="77777777" w:rsidR="00D16F3A" w:rsidRPr="00D16F3A" w:rsidRDefault="00D16F3A">
            <w:pPr>
              <w:jc w:val="center"/>
              <w:rPr>
                <w:color w:val="000000"/>
                <w:sz w:val="20"/>
                <w:szCs w:val="20"/>
              </w:rPr>
            </w:pPr>
            <w:r w:rsidRPr="00D16F3A">
              <w:rPr>
                <w:color w:val="000000"/>
                <w:sz w:val="20"/>
                <w:szCs w:val="20"/>
              </w:rPr>
              <w:t> </w:t>
            </w:r>
            <w:proofErr w:type="spellStart"/>
            <w:r w:rsidRPr="00D16F3A">
              <w:rPr>
                <w:color w:val="000000"/>
                <w:sz w:val="20"/>
                <w:szCs w:val="20"/>
              </w:rPr>
              <w:t>HetNet</w:t>
            </w:r>
            <w:proofErr w:type="spellEnd"/>
          </w:p>
        </w:tc>
        <w:tc>
          <w:tcPr>
            <w:tcW w:w="1566" w:type="dxa"/>
            <w:tcBorders>
              <w:top w:val="nil"/>
              <w:left w:val="nil"/>
              <w:bottom w:val="single" w:sz="4" w:space="0" w:color="auto"/>
              <w:right w:val="single" w:sz="4" w:space="0" w:color="auto"/>
            </w:tcBorders>
            <w:shd w:val="clear" w:color="auto" w:fill="auto"/>
            <w:noWrap/>
            <w:vAlign w:val="center"/>
            <w:hideMark/>
          </w:tcPr>
          <w:p w14:paraId="0A0BB0DA" w14:textId="77777777" w:rsidR="00D16F3A" w:rsidRPr="00D16F3A" w:rsidRDefault="00D16F3A">
            <w:pPr>
              <w:jc w:val="center"/>
              <w:rPr>
                <w:color w:val="000000"/>
                <w:sz w:val="20"/>
                <w:szCs w:val="20"/>
              </w:rPr>
            </w:pPr>
            <w:r w:rsidRPr="00D16F3A">
              <w:rPr>
                <w:color w:val="000000"/>
                <w:sz w:val="20"/>
                <w:szCs w:val="20"/>
              </w:rPr>
              <w:t>TDLA30-10</w:t>
            </w:r>
          </w:p>
        </w:tc>
        <w:tc>
          <w:tcPr>
            <w:tcW w:w="1591" w:type="dxa"/>
            <w:tcBorders>
              <w:top w:val="nil"/>
              <w:left w:val="nil"/>
              <w:bottom w:val="single" w:sz="4" w:space="0" w:color="auto"/>
              <w:right w:val="single" w:sz="4" w:space="0" w:color="auto"/>
            </w:tcBorders>
            <w:shd w:val="clear" w:color="auto" w:fill="auto"/>
            <w:noWrap/>
            <w:vAlign w:val="center"/>
            <w:hideMark/>
          </w:tcPr>
          <w:p w14:paraId="7D8C54D0" w14:textId="77777777" w:rsidR="00D16F3A" w:rsidRPr="00D16F3A" w:rsidRDefault="00D16F3A">
            <w:pPr>
              <w:jc w:val="center"/>
              <w:rPr>
                <w:color w:val="000000"/>
                <w:sz w:val="20"/>
                <w:szCs w:val="20"/>
              </w:rPr>
            </w:pPr>
            <w:r w:rsidRPr="00D16F3A">
              <w:rPr>
                <w:color w:val="000000"/>
                <w:sz w:val="20"/>
                <w:szCs w:val="20"/>
              </w:rPr>
              <w:t>10.9</w:t>
            </w:r>
          </w:p>
        </w:tc>
        <w:tc>
          <w:tcPr>
            <w:tcW w:w="1709" w:type="dxa"/>
            <w:tcBorders>
              <w:top w:val="nil"/>
              <w:left w:val="nil"/>
              <w:bottom w:val="single" w:sz="4" w:space="0" w:color="auto"/>
              <w:right w:val="single" w:sz="4" w:space="0" w:color="auto"/>
            </w:tcBorders>
            <w:shd w:val="clear" w:color="auto" w:fill="auto"/>
            <w:noWrap/>
            <w:vAlign w:val="center"/>
            <w:hideMark/>
          </w:tcPr>
          <w:p w14:paraId="0B9EA38E" w14:textId="77777777" w:rsidR="00D16F3A" w:rsidRPr="00D16F3A" w:rsidRDefault="00D16F3A">
            <w:pPr>
              <w:jc w:val="center"/>
              <w:rPr>
                <w:color w:val="000000"/>
                <w:sz w:val="20"/>
                <w:szCs w:val="20"/>
              </w:rPr>
            </w:pPr>
            <w:r w:rsidRPr="00D16F3A">
              <w:rPr>
                <w:color w:val="000000"/>
                <w:sz w:val="20"/>
                <w:szCs w:val="20"/>
              </w:rPr>
              <w:t>12.9</w:t>
            </w:r>
          </w:p>
        </w:tc>
      </w:tr>
      <w:tr w:rsidR="00D16F3A" w:rsidRPr="00D16F3A" w14:paraId="45BBA617" w14:textId="77777777" w:rsidTr="00D16F3A">
        <w:trPr>
          <w:trHeight w:val="320"/>
        </w:trPr>
        <w:tc>
          <w:tcPr>
            <w:tcW w:w="107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D96D596" w14:textId="77777777" w:rsidR="00D16F3A" w:rsidRPr="00D16F3A" w:rsidRDefault="00D16F3A">
            <w:pPr>
              <w:jc w:val="center"/>
              <w:rPr>
                <w:color w:val="000000"/>
                <w:sz w:val="20"/>
                <w:szCs w:val="20"/>
              </w:rPr>
            </w:pPr>
            <w:r w:rsidRPr="00D16F3A">
              <w:rPr>
                <w:color w:val="000000"/>
                <w:sz w:val="20"/>
                <w:szCs w:val="20"/>
              </w:rPr>
              <w:t>2x4</w:t>
            </w: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E8CB960" w14:textId="77777777" w:rsidR="00D16F3A" w:rsidRPr="00D16F3A" w:rsidRDefault="00D16F3A">
            <w:pPr>
              <w:jc w:val="center"/>
              <w:rPr>
                <w:color w:val="000000"/>
                <w:sz w:val="20"/>
                <w:szCs w:val="20"/>
              </w:rPr>
            </w:pPr>
            <w:r w:rsidRPr="00D16F3A">
              <w:rPr>
                <w:color w:val="000000"/>
                <w:sz w:val="20"/>
                <w:szCs w:val="20"/>
              </w:rPr>
              <w:t>FDD</w:t>
            </w:r>
          </w:p>
        </w:tc>
        <w:tc>
          <w:tcPr>
            <w:tcW w:w="1170" w:type="dxa"/>
            <w:tcBorders>
              <w:top w:val="nil"/>
              <w:left w:val="nil"/>
              <w:bottom w:val="single" w:sz="4" w:space="0" w:color="auto"/>
              <w:right w:val="single" w:sz="4" w:space="0" w:color="auto"/>
            </w:tcBorders>
            <w:shd w:val="clear" w:color="auto" w:fill="auto"/>
            <w:noWrap/>
            <w:vAlign w:val="center"/>
            <w:hideMark/>
          </w:tcPr>
          <w:p w14:paraId="77B08890" w14:textId="77777777" w:rsidR="00D16F3A" w:rsidRPr="00D16F3A" w:rsidRDefault="00D16F3A">
            <w:pPr>
              <w:jc w:val="center"/>
              <w:rPr>
                <w:color w:val="000000"/>
                <w:sz w:val="20"/>
                <w:szCs w:val="20"/>
              </w:rPr>
            </w:pPr>
            <w:r w:rsidRPr="00D16F3A">
              <w:rPr>
                <w:color w:val="000000"/>
                <w:sz w:val="20"/>
                <w:szCs w:val="20"/>
              </w:rPr>
              <w:t>2</w:t>
            </w:r>
          </w:p>
        </w:tc>
        <w:tc>
          <w:tcPr>
            <w:tcW w:w="1530" w:type="dxa"/>
            <w:tcBorders>
              <w:top w:val="nil"/>
              <w:left w:val="nil"/>
              <w:bottom w:val="single" w:sz="4" w:space="0" w:color="auto"/>
              <w:right w:val="single" w:sz="4" w:space="0" w:color="auto"/>
            </w:tcBorders>
            <w:shd w:val="clear" w:color="auto" w:fill="auto"/>
            <w:noWrap/>
            <w:vAlign w:val="center"/>
            <w:hideMark/>
          </w:tcPr>
          <w:p w14:paraId="4A7403B5" w14:textId="77777777" w:rsidR="00D16F3A" w:rsidRPr="00D16F3A" w:rsidRDefault="00D16F3A">
            <w:pPr>
              <w:jc w:val="center"/>
              <w:rPr>
                <w:color w:val="000000"/>
                <w:sz w:val="20"/>
                <w:szCs w:val="20"/>
              </w:rPr>
            </w:pPr>
            <w:proofErr w:type="spellStart"/>
            <w:r w:rsidRPr="00D16F3A">
              <w:rPr>
                <w:color w:val="000000"/>
                <w:sz w:val="20"/>
                <w:szCs w:val="20"/>
              </w:rPr>
              <w:t>HomoNet</w:t>
            </w:r>
            <w:proofErr w:type="spellEnd"/>
            <w:r w:rsidRPr="00D16F3A">
              <w:rPr>
                <w:color w:val="000000"/>
                <w:sz w:val="20"/>
                <w:szCs w:val="20"/>
              </w:rPr>
              <w:t xml:space="preserve"> </w:t>
            </w:r>
          </w:p>
        </w:tc>
        <w:tc>
          <w:tcPr>
            <w:tcW w:w="1566" w:type="dxa"/>
            <w:tcBorders>
              <w:top w:val="nil"/>
              <w:left w:val="nil"/>
              <w:bottom w:val="single" w:sz="4" w:space="0" w:color="auto"/>
              <w:right w:val="single" w:sz="4" w:space="0" w:color="auto"/>
            </w:tcBorders>
            <w:shd w:val="clear" w:color="auto" w:fill="auto"/>
            <w:noWrap/>
            <w:vAlign w:val="center"/>
            <w:hideMark/>
          </w:tcPr>
          <w:p w14:paraId="5FBF1948" w14:textId="77777777" w:rsidR="00D16F3A" w:rsidRPr="00D16F3A" w:rsidRDefault="00D16F3A">
            <w:pPr>
              <w:jc w:val="center"/>
              <w:rPr>
                <w:color w:val="000000"/>
                <w:sz w:val="20"/>
                <w:szCs w:val="20"/>
              </w:rPr>
            </w:pPr>
            <w:r w:rsidRPr="00D16F3A">
              <w:rPr>
                <w:color w:val="000000"/>
                <w:sz w:val="20"/>
                <w:szCs w:val="20"/>
              </w:rPr>
              <w:t>TDLC300-100</w:t>
            </w:r>
          </w:p>
        </w:tc>
        <w:tc>
          <w:tcPr>
            <w:tcW w:w="1591" w:type="dxa"/>
            <w:tcBorders>
              <w:top w:val="nil"/>
              <w:left w:val="nil"/>
              <w:bottom w:val="single" w:sz="4" w:space="0" w:color="auto"/>
              <w:right w:val="single" w:sz="4" w:space="0" w:color="auto"/>
            </w:tcBorders>
            <w:shd w:val="clear" w:color="auto" w:fill="auto"/>
            <w:noWrap/>
            <w:vAlign w:val="center"/>
            <w:hideMark/>
          </w:tcPr>
          <w:p w14:paraId="4139D9E4" w14:textId="77777777" w:rsidR="00D16F3A" w:rsidRPr="00D16F3A" w:rsidRDefault="00D16F3A">
            <w:pPr>
              <w:jc w:val="center"/>
              <w:rPr>
                <w:color w:val="000000"/>
                <w:sz w:val="20"/>
                <w:szCs w:val="20"/>
              </w:rPr>
            </w:pPr>
            <w:r w:rsidRPr="00D16F3A">
              <w:rPr>
                <w:color w:val="000000"/>
                <w:sz w:val="20"/>
                <w:szCs w:val="20"/>
              </w:rPr>
              <w:t>10.7</w:t>
            </w:r>
          </w:p>
        </w:tc>
        <w:tc>
          <w:tcPr>
            <w:tcW w:w="1709" w:type="dxa"/>
            <w:tcBorders>
              <w:top w:val="nil"/>
              <w:left w:val="nil"/>
              <w:bottom w:val="single" w:sz="4" w:space="0" w:color="auto"/>
              <w:right w:val="single" w:sz="4" w:space="0" w:color="auto"/>
            </w:tcBorders>
            <w:shd w:val="clear" w:color="auto" w:fill="auto"/>
            <w:noWrap/>
            <w:vAlign w:val="center"/>
            <w:hideMark/>
          </w:tcPr>
          <w:p w14:paraId="6368C788" w14:textId="77777777" w:rsidR="00D16F3A" w:rsidRPr="00D16F3A" w:rsidRDefault="00D16F3A">
            <w:pPr>
              <w:jc w:val="center"/>
              <w:rPr>
                <w:color w:val="000000"/>
                <w:sz w:val="20"/>
                <w:szCs w:val="20"/>
              </w:rPr>
            </w:pPr>
            <w:r w:rsidRPr="00D16F3A">
              <w:rPr>
                <w:color w:val="000000"/>
                <w:sz w:val="20"/>
                <w:szCs w:val="20"/>
              </w:rPr>
              <w:t>12.7</w:t>
            </w:r>
          </w:p>
        </w:tc>
      </w:tr>
      <w:tr w:rsidR="00D16F3A" w:rsidRPr="00D16F3A" w14:paraId="4800B17E" w14:textId="77777777" w:rsidTr="00D16F3A">
        <w:trPr>
          <w:trHeight w:val="320"/>
        </w:trPr>
        <w:tc>
          <w:tcPr>
            <w:tcW w:w="1075" w:type="dxa"/>
            <w:vMerge/>
            <w:tcBorders>
              <w:top w:val="nil"/>
              <w:left w:val="single" w:sz="4" w:space="0" w:color="auto"/>
              <w:bottom w:val="single" w:sz="4" w:space="0" w:color="auto"/>
              <w:right w:val="single" w:sz="4" w:space="0" w:color="auto"/>
            </w:tcBorders>
            <w:vAlign w:val="center"/>
            <w:hideMark/>
          </w:tcPr>
          <w:p w14:paraId="4ADF9998" w14:textId="77777777" w:rsidR="00D16F3A" w:rsidRPr="00D16F3A" w:rsidRDefault="00D16F3A">
            <w:pPr>
              <w:rPr>
                <w:color w:val="000000"/>
                <w:sz w:val="20"/>
                <w:szCs w:val="20"/>
              </w:rPr>
            </w:pPr>
          </w:p>
        </w:tc>
        <w:tc>
          <w:tcPr>
            <w:tcW w:w="1170" w:type="dxa"/>
            <w:vMerge/>
            <w:tcBorders>
              <w:top w:val="nil"/>
              <w:left w:val="single" w:sz="4" w:space="0" w:color="auto"/>
              <w:bottom w:val="single" w:sz="4" w:space="0" w:color="auto"/>
              <w:right w:val="single" w:sz="4" w:space="0" w:color="auto"/>
            </w:tcBorders>
            <w:vAlign w:val="center"/>
            <w:hideMark/>
          </w:tcPr>
          <w:p w14:paraId="7F1442DE" w14:textId="77777777" w:rsidR="00D16F3A" w:rsidRPr="00D16F3A" w:rsidRDefault="00D16F3A">
            <w:pPr>
              <w:rPr>
                <w:color w:val="000000"/>
                <w:sz w:val="20"/>
                <w:szCs w:val="20"/>
              </w:rPr>
            </w:pPr>
          </w:p>
        </w:tc>
        <w:tc>
          <w:tcPr>
            <w:tcW w:w="1170" w:type="dxa"/>
            <w:tcBorders>
              <w:top w:val="nil"/>
              <w:left w:val="nil"/>
              <w:bottom w:val="single" w:sz="4" w:space="0" w:color="auto"/>
              <w:right w:val="single" w:sz="4" w:space="0" w:color="auto"/>
            </w:tcBorders>
            <w:shd w:val="clear" w:color="auto" w:fill="auto"/>
            <w:noWrap/>
            <w:vAlign w:val="center"/>
            <w:hideMark/>
          </w:tcPr>
          <w:p w14:paraId="47563902" w14:textId="77777777" w:rsidR="00D16F3A" w:rsidRPr="00D16F3A" w:rsidRDefault="00D16F3A">
            <w:pPr>
              <w:jc w:val="center"/>
              <w:rPr>
                <w:color w:val="000000"/>
                <w:sz w:val="20"/>
                <w:szCs w:val="20"/>
              </w:rPr>
            </w:pPr>
            <w:r w:rsidRPr="00D16F3A">
              <w:rPr>
                <w:color w:val="000000"/>
                <w:sz w:val="20"/>
                <w:szCs w:val="20"/>
              </w:rPr>
              <w:t>1</w:t>
            </w:r>
          </w:p>
        </w:tc>
        <w:tc>
          <w:tcPr>
            <w:tcW w:w="1530" w:type="dxa"/>
            <w:tcBorders>
              <w:top w:val="nil"/>
              <w:left w:val="nil"/>
              <w:bottom w:val="single" w:sz="4" w:space="0" w:color="auto"/>
              <w:right w:val="single" w:sz="4" w:space="0" w:color="auto"/>
            </w:tcBorders>
            <w:shd w:val="clear" w:color="auto" w:fill="auto"/>
            <w:noWrap/>
            <w:vAlign w:val="center"/>
            <w:hideMark/>
          </w:tcPr>
          <w:p w14:paraId="51D5CD07" w14:textId="77777777" w:rsidR="00D16F3A" w:rsidRPr="00D16F3A" w:rsidRDefault="00D16F3A">
            <w:pPr>
              <w:jc w:val="center"/>
              <w:rPr>
                <w:color w:val="000000"/>
                <w:sz w:val="20"/>
                <w:szCs w:val="20"/>
              </w:rPr>
            </w:pPr>
            <w:r w:rsidRPr="00D16F3A">
              <w:rPr>
                <w:color w:val="000000"/>
                <w:sz w:val="20"/>
                <w:szCs w:val="20"/>
              </w:rPr>
              <w:t> </w:t>
            </w:r>
            <w:proofErr w:type="spellStart"/>
            <w:r w:rsidRPr="00D16F3A">
              <w:rPr>
                <w:color w:val="000000"/>
                <w:sz w:val="20"/>
                <w:szCs w:val="20"/>
              </w:rPr>
              <w:t>HetNet</w:t>
            </w:r>
            <w:proofErr w:type="spellEnd"/>
          </w:p>
        </w:tc>
        <w:tc>
          <w:tcPr>
            <w:tcW w:w="1566" w:type="dxa"/>
            <w:tcBorders>
              <w:top w:val="nil"/>
              <w:left w:val="nil"/>
              <w:bottom w:val="single" w:sz="4" w:space="0" w:color="auto"/>
              <w:right w:val="single" w:sz="4" w:space="0" w:color="auto"/>
            </w:tcBorders>
            <w:shd w:val="clear" w:color="auto" w:fill="auto"/>
            <w:noWrap/>
            <w:vAlign w:val="center"/>
            <w:hideMark/>
          </w:tcPr>
          <w:p w14:paraId="12277471" w14:textId="77777777" w:rsidR="00D16F3A" w:rsidRPr="00D16F3A" w:rsidRDefault="00D16F3A">
            <w:pPr>
              <w:jc w:val="center"/>
              <w:rPr>
                <w:color w:val="000000"/>
                <w:sz w:val="20"/>
                <w:szCs w:val="20"/>
              </w:rPr>
            </w:pPr>
            <w:r w:rsidRPr="00D16F3A">
              <w:rPr>
                <w:color w:val="000000"/>
                <w:sz w:val="20"/>
                <w:szCs w:val="20"/>
              </w:rPr>
              <w:t>TDLA30-10</w:t>
            </w:r>
          </w:p>
        </w:tc>
        <w:tc>
          <w:tcPr>
            <w:tcW w:w="1591" w:type="dxa"/>
            <w:tcBorders>
              <w:top w:val="nil"/>
              <w:left w:val="nil"/>
              <w:bottom w:val="single" w:sz="4" w:space="0" w:color="auto"/>
              <w:right w:val="single" w:sz="4" w:space="0" w:color="auto"/>
            </w:tcBorders>
            <w:shd w:val="clear" w:color="auto" w:fill="auto"/>
            <w:noWrap/>
            <w:vAlign w:val="center"/>
            <w:hideMark/>
          </w:tcPr>
          <w:p w14:paraId="0EAABFF0" w14:textId="77777777" w:rsidR="00D16F3A" w:rsidRPr="00D16F3A" w:rsidRDefault="00D16F3A">
            <w:pPr>
              <w:jc w:val="center"/>
              <w:rPr>
                <w:color w:val="000000"/>
                <w:sz w:val="20"/>
                <w:szCs w:val="20"/>
              </w:rPr>
            </w:pPr>
            <w:r w:rsidRPr="00D16F3A">
              <w:rPr>
                <w:color w:val="000000"/>
                <w:sz w:val="20"/>
                <w:szCs w:val="20"/>
              </w:rPr>
              <w:t>6.2</w:t>
            </w:r>
          </w:p>
        </w:tc>
        <w:tc>
          <w:tcPr>
            <w:tcW w:w="1709" w:type="dxa"/>
            <w:tcBorders>
              <w:top w:val="nil"/>
              <w:left w:val="nil"/>
              <w:bottom w:val="single" w:sz="4" w:space="0" w:color="auto"/>
              <w:right w:val="single" w:sz="4" w:space="0" w:color="auto"/>
            </w:tcBorders>
            <w:shd w:val="clear" w:color="auto" w:fill="auto"/>
            <w:noWrap/>
            <w:vAlign w:val="center"/>
            <w:hideMark/>
          </w:tcPr>
          <w:p w14:paraId="47920618" w14:textId="77777777" w:rsidR="00D16F3A" w:rsidRPr="00D16F3A" w:rsidRDefault="00D16F3A">
            <w:pPr>
              <w:jc w:val="center"/>
              <w:rPr>
                <w:color w:val="000000"/>
                <w:sz w:val="20"/>
                <w:szCs w:val="20"/>
              </w:rPr>
            </w:pPr>
            <w:r w:rsidRPr="00D16F3A">
              <w:rPr>
                <w:color w:val="000000"/>
                <w:sz w:val="20"/>
                <w:szCs w:val="20"/>
              </w:rPr>
              <w:t>8.2</w:t>
            </w:r>
          </w:p>
        </w:tc>
      </w:tr>
      <w:tr w:rsidR="00D16F3A" w:rsidRPr="00D16F3A" w14:paraId="62A244AA" w14:textId="77777777" w:rsidTr="00D16F3A">
        <w:trPr>
          <w:trHeight w:val="320"/>
        </w:trPr>
        <w:tc>
          <w:tcPr>
            <w:tcW w:w="1075" w:type="dxa"/>
            <w:vMerge/>
            <w:tcBorders>
              <w:top w:val="nil"/>
              <w:left w:val="single" w:sz="4" w:space="0" w:color="auto"/>
              <w:bottom w:val="single" w:sz="4" w:space="0" w:color="auto"/>
              <w:right w:val="single" w:sz="4" w:space="0" w:color="auto"/>
            </w:tcBorders>
            <w:vAlign w:val="center"/>
            <w:hideMark/>
          </w:tcPr>
          <w:p w14:paraId="5DA60264" w14:textId="77777777" w:rsidR="00D16F3A" w:rsidRPr="00D16F3A" w:rsidRDefault="00D16F3A">
            <w:pPr>
              <w:rPr>
                <w:color w:val="000000"/>
                <w:sz w:val="20"/>
                <w:szCs w:val="20"/>
              </w:rPr>
            </w:pPr>
          </w:p>
        </w:tc>
        <w:tc>
          <w:tcPr>
            <w:tcW w:w="117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4B6AB71" w14:textId="77777777" w:rsidR="00D16F3A" w:rsidRPr="00D16F3A" w:rsidRDefault="00D16F3A">
            <w:pPr>
              <w:jc w:val="center"/>
              <w:rPr>
                <w:color w:val="000000"/>
                <w:sz w:val="20"/>
                <w:szCs w:val="20"/>
              </w:rPr>
            </w:pPr>
            <w:r w:rsidRPr="00D16F3A">
              <w:rPr>
                <w:color w:val="000000"/>
                <w:sz w:val="20"/>
                <w:szCs w:val="20"/>
              </w:rPr>
              <w:t>TDD</w:t>
            </w:r>
          </w:p>
        </w:tc>
        <w:tc>
          <w:tcPr>
            <w:tcW w:w="1170" w:type="dxa"/>
            <w:tcBorders>
              <w:top w:val="nil"/>
              <w:left w:val="nil"/>
              <w:bottom w:val="single" w:sz="4" w:space="0" w:color="auto"/>
              <w:right w:val="single" w:sz="4" w:space="0" w:color="auto"/>
            </w:tcBorders>
            <w:shd w:val="clear" w:color="auto" w:fill="auto"/>
            <w:noWrap/>
            <w:vAlign w:val="center"/>
            <w:hideMark/>
          </w:tcPr>
          <w:p w14:paraId="2EDBE438" w14:textId="77777777" w:rsidR="00D16F3A" w:rsidRPr="00D16F3A" w:rsidRDefault="00D16F3A">
            <w:pPr>
              <w:jc w:val="center"/>
              <w:rPr>
                <w:color w:val="000000"/>
                <w:sz w:val="20"/>
                <w:szCs w:val="20"/>
              </w:rPr>
            </w:pPr>
            <w:r w:rsidRPr="00D16F3A">
              <w:rPr>
                <w:color w:val="000000"/>
                <w:sz w:val="20"/>
                <w:szCs w:val="20"/>
              </w:rPr>
              <w:t>2</w:t>
            </w:r>
          </w:p>
        </w:tc>
        <w:tc>
          <w:tcPr>
            <w:tcW w:w="1530" w:type="dxa"/>
            <w:tcBorders>
              <w:top w:val="nil"/>
              <w:left w:val="nil"/>
              <w:bottom w:val="single" w:sz="4" w:space="0" w:color="auto"/>
              <w:right w:val="single" w:sz="4" w:space="0" w:color="auto"/>
            </w:tcBorders>
            <w:shd w:val="clear" w:color="auto" w:fill="auto"/>
            <w:noWrap/>
            <w:vAlign w:val="center"/>
            <w:hideMark/>
          </w:tcPr>
          <w:p w14:paraId="44CF0DD6" w14:textId="77777777" w:rsidR="00D16F3A" w:rsidRPr="00D16F3A" w:rsidRDefault="00D16F3A">
            <w:pPr>
              <w:jc w:val="center"/>
              <w:rPr>
                <w:color w:val="000000"/>
                <w:sz w:val="20"/>
                <w:szCs w:val="20"/>
              </w:rPr>
            </w:pPr>
            <w:proofErr w:type="spellStart"/>
            <w:r w:rsidRPr="00D16F3A">
              <w:rPr>
                <w:color w:val="000000"/>
                <w:sz w:val="20"/>
                <w:szCs w:val="20"/>
              </w:rPr>
              <w:t>HomoNet</w:t>
            </w:r>
            <w:proofErr w:type="spellEnd"/>
            <w:r w:rsidRPr="00D16F3A">
              <w:rPr>
                <w:color w:val="000000"/>
                <w:sz w:val="20"/>
                <w:szCs w:val="20"/>
              </w:rPr>
              <w:t xml:space="preserve"> </w:t>
            </w:r>
          </w:p>
        </w:tc>
        <w:tc>
          <w:tcPr>
            <w:tcW w:w="1566" w:type="dxa"/>
            <w:tcBorders>
              <w:top w:val="nil"/>
              <w:left w:val="nil"/>
              <w:bottom w:val="single" w:sz="4" w:space="0" w:color="auto"/>
              <w:right w:val="single" w:sz="4" w:space="0" w:color="auto"/>
            </w:tcBorders>
            <w:shd w:val="clear" w:color="auto" w:fill="auto"/>
            <w:noWrap/>
            <w:vAlign w:val="center"/>
            <w:hideMark/>
          </w:tcPr>
          <w:p w14:paraId="5652AE3F" w14:textId="77777777" w:rsidR="00D16F3A" w:rsidRPr="00D16F3A" w:rsidRDefault="00D16F3A">
            <w:pPr>
              <w:jc w:val="center"/>
              <w:rPr>
                <w:color w:val="000000"/>
                <w:sz w:val="20"/>
                <w:szCs w:val="20"/>
              </w:rPr>
            </w:pPr>
            <w:r w:rsidRPr="00D16F3A">
              <w:rPr>
                <w:color w:val="000000"/>
                <w:sz w:val="20"/>
                <w:szCs w:val="20"/>
              </w:rPr>
              <w:t>TDLC300-100</w:t>
            </w:r>
          </w:p>
        </w:tc>
        <w:tc>
          <w:tcPr>
            <w:tcW w:w="1591" w:type="dxa"/>
            <w:tcBorders>
              <w:top w:val="nil"/>
              <w:left w:val="nil"/>
              <w:bottom w:val="single" w:sz="4" w:space="0" w:color="auto"/>
              <w:right w:val="single" w:sz="4" w:space="0" w:color="auto"/>
            </w:tcBorders>
            <w:shd w:val="clear" w:color="auto" w:fill="auto"/>
            <w:noWrap/>
            <w:vAlign w:val="center"/>
            <w:hideMark/>
          </w:tcPr>
          <w:p w14:paraId="3CF3891E" w14:textId="77777777" w:rsidR="00D16F3A" w:rsidRPr="00D16F3A" w:rsidRDefault="00D16F3A">
            <w:pPr>
              <w:jc w:val="center"/>
              <w:rPr>
                <w:color w:val="000000"/>
                <w:sz w:val="20"/>
                <w:szCs w:val="20"/>
              </w:rPr>
            </w:pPr>
            <w:r w:rsidRPr="00D16F3A">
              <w:rPr>
                <w:color w:val="000000"/>
                <w:sz w:val="20"/>
                <w:szCs w:val="20"/>
              </w:rPr>
              <w:t>11.1</w:t>
            </w:r>
          </w:p>
        </w:tc>
        <w:tc>
          <w:tcPr>
            <w:tcW w:w="1709" w:type="dxa"/>
            <w:tcBorders>
              <w:top w:val="nil"/>
              <w:left w:val="nil"/>
              <w:bottom w:val="single" w:sz="4" w:space="0" w:color="auto"/>
              <w:right w:val="single" w:sz="4" w:space="0" w:color="auto"/>
            </w:tcBorders>
            <w:shd w:val="clear" w:color="auto" w:fill="auto"/>
            <w:noWrap/>
            <w:vAlign w:val="center"/>
            <w:hideMark/>
          </w:tcPr>
          <w:p w14:paraId="65E022C1" w14:textId="77777777" w:rsidR="00D16F3A" w:rsidRPr="00D16F3A" w:rsidRDefault="00D16F3A">
            <w:pPr>
              <w:jc w:val="center"/>
              <w:rPr>
                <w:color w:val="000000"/>
                <w:sz w:val="20"/>
                <w:szCs w:val="20"/>
              </w:rPr>
            </w:pPr>
            <w:r w:rsidRPr="00D16F3A">
              <w:rPr>
                <w:color w:val="000000"/>
                <w:sz w:val="20"/>
                <w:szCs w:val="20"/>
              </w:rPr>
              <w:t>13.1</w:t>
            </w:r>
          </w:p>
        </w:tc>
      </w:tr>
      <w:tr w:rsidR="00D16F3A" w:rsidRPr="00D16F3A" w14:paraId="491151FD" w14:textId="77777777" w:rsidTr="00D16F3A">
        <w:trPr>
          <w:trHeight w:val="320"/>
        </w:trPr>
        <w:tc>
          <w:tcPr>
            <w:tcW w:w="1075" w:type="dxa"/>
            <w:vMerge/>
            <w:tcBorders>
              <w:top w:val="nil"/>
              <w:left w:val="single" w:sz="4" w:space="0" w:color="auto"/>
              <w:bottom w:val="single" w:sz="4" w:space="0" w:color="auto"/>
              <w:right w:val="single" w:sz="4" w:space="0" w:color="auto"/>
            </w:tcBorders>
            <w:vAlign w:val="center"/>
            <w:hideMark/>
          </w:tcPr>
          <w:p w14:paraId="063125F2" w14:textId="77777777" w:rsidR="00D16F3A" w:rsidRPr="00D16F3A" w:rsidRDefault="00D16F3A">
            <w:pPr>
              <w:rPr>
                <w:color w:val="000000"/>
                <w:sz w:val="20"/>
                <w:szCs w:val="20"/>
              </w:rPr>
            </w:pPr>
          </w:p>
        </w:tc>
        <w:tc>
          <w:tcPr>
            <w:tcW w:w="1170" w:type="dxa"/>
            <w:vMerge/>
            <w:tcBorders>
              <w:top w:val="nil"/>
              <w:left w:val="single" w:sz="4" w:space="0" w:color="auto"/>
              <w:bottom w:val="single" w:sz="4" w:space="0" w:color="auto"/>
              <w:right w:val="single" w:sz="4" w:space="0" w:color="auto"/>
            </w:tcBorders>
            <w:vAlign w:val="center"/>
            <w:hideMark/>
          </w:tcPr>
          <w:p w14:paraId="268975E1" w14:textId="77777777" w:rsidR="00D16F3A" w:rsidRPr="00D16F3A" w:rsidRDefault="00D16F3A">
            <w:pPr>
              <w:rPr>
                <w:color w:val="000000"/>
                <w:sz w:val="20"/>
                <w:szCs w:val="20"/>
              </w:rPr>
            </w:pPr>
          </w:p>
        </w:tc>
        <w:tc>
          <w:tcPr>
            <w:tcW w:w="1170" w:type="dxa"/>
            <w:tcBorders>
              <w:top w:val="nil"/>
              <w:left w:val="nil"/>
              <w:bottom w:val="single" w:sz="4" w:space="0" w:color="auto"/>
              <w:right w:val="single" w:sz="4" w:space="0" w:color="auto"/>
            </w:tcBorders>
            <w:shd w:val="clear" w:color="auto" w:fill="auto"/>
            <w:noWrap/>
            <w:vAlign w:val="center"/>
            <w:hideMark/>
          </w:tcPr>
          <w:p w14:paraId="027BFEBA" w14:textId="77777777" w:rsidR="00D16F3A" w:rsidRPr="00D16F3A" w:rsidRDefault="00D16F3A">
            <w:pPr>
              <w:jc w:val="center"/>
              <w:rPr>
                <w:color w:val="000000"/>
                <w:sz w:val="20"/>
                <w:szCs w:val="20"/>
              </w:rPr>
            </w:pPr>
            <w:r w:rsidRPr="00D16F3A">
              <w:rPr>
                <w:color w:val="000000"/>
                <w:sz w:val="20"/>
                <w:szCs w:val="20"/>
              </w:rPr>
              <w:t>1</w:t>
            </w:r>
          </w:p>
        </w:tc>
        <w:tc>
          <w:tcPr>
            <w:tcW w:w="1530" w:type="dxa"/>
            <w:tcBorders>
              <w:top w:val="nil"/>
              <w:left w:val="nil"/>
              <w:bottom w:val="single" w:sz="4" w:space="0" w:color="auto"/>
              <w:right w:val="single" w:sz="4" w:space="0" w:color="auto"/>
            </w:tcBorders>
            <w:shd w:val="clear" w:color="auto" w:fill="auto"/>
            <w:noWrap/>
            <w:vAlign w:val="center"/>
            <w:hideMark/>
          </w:tcPr>
          <w:p w14:paraId="69E7CBB5" w14:textId="77777777" w:rsidR="00D16F3A" w:rsidRPr="00D16F3A" w:rsidRDefault="00D16F3A">
            <w:pPr>
              <w:jc w:val="center"/>
              <w:rPr>
                <w:color w:val="000000"/>
                <w:sz w:val="20"/>
                <w:szCs w:val="20"/>
              </w:rPr>
            </w:pPr>
            <w:r w:rsidRPr="00D16F3A">
              <w:rPr>
                <w:color w:val="000000"/>
                <w:sz w:val="20"/>
                <w:szCs w:val="20"/>
              </w:rPr>
              <w:t> </w:t>
            </w:r>
            <w:proofErr w:type="spellStart"/>
            <w:r w:rsidRPr="00D16F3A">
              <w:rPr>
                <w:color w:val="000000"/>
                <w:sz w:val="20"/>
                <w:szCs w:val="20"/>
              </w:rPr>
              <w:t>HetNet</w:t>
            </w:r>
            <w:proofErr w:type="spellEnd"/>
          </w:p>
        </w:tc>
        <w:tc>
          <w:tcPr>
            <w:tcW w:w="1566" w:type="dxa"/>
            <w:tcBorders>
              <w:top w:val="nil"/>
              <w:left w:val="nil"/>
              <w:bottom w:val="single" w:sz="4" w:space="0" w:color="auto"/>
              <w:right w:val="single" w:sz="4" w:space="0" w:color="auto"/>
            </w:tcBorders>
            <w:shd w:val="clear" w:color="auto" w:fill="auto"/>
            <w:noWrap/>
            <w:vAlign w:val="center"/>
            <w:hideMark/>
          </w:tcPr>
          <w:p w14:paraId="7C7ECA0D" w14:textId="77777777" w:rsidR="00D16F3A" w:rsidRPr="00D16F3A" w:rsidRDefault="00D16F3A">
            <w:pPr>
              <w:jc w:val="center"/>
              <w:rPr>
                <w:color w:val="000000"/>
                <w:sz w:val="20"/>
                <w:szCs w:val="20"/>
              </w:rPr>
            </w:pPr>
            <w:r w:rsidRPr="00D16F3A">
              <w:rPr>
                <w:color w:val="000000"/>
                <w:sz w:val="20"/>
                <w:szCs w:val="20"/>
              </w:rPr>
              <w:t>TDLA30-10</w:t>
            </w:r>
          </w:p>
        </w:tc>
        <w:tc>
          <w:tcPr>
            <w:tcW w:w="1591" w:type="dxa"/>
            <w:tcBorders>
              <w:top w:val="nil"/>
              <w:left w:val="nil"/>
              <w:bottom w:val="single" w:sz="4" w:space="0" w:color="auto"/>
              <w:right w:val="single" w:sz="4" w:space="0" w:color="auto"/>
            </w:tcBorders>
            <w:shd w:val="clear" w:color="auto" w:fill="auto"/>
            <w:noWrap/>
            <w:vAlign w:val="center"/>
            <w:hideMark/>
          </w:tcPr>
          <w:p w14:paraId="271A49C3" w14:textId="77777777" w:rsidR="00D16F3A" w:rsidRPr="00D16F3A" w:rsidRDefault="00D16F3A">
            <w:pPr>
              <w:jc w:val="center"/>
              <w:rPr>
                <w:color w:val="000000"/>
                <w:sz w:val="20"/>
                <w:szCs w:val="20"/>
              </w:rPr>
            </w:pPr>
            <w:r w:rsidRPr="00D16F3A">
              <w:rPr>
                <w:color w:val="000000"/>
                <w:sz w:val="20"/>
                <w:szCs w:val="20"/>
              </w:rPr>
              <w:t>6.6</w:t>
            </w:r>
          </w:p>
        </w:tc>
        <w:tc>
          <w:tcPr>
            <w:tcW w:w="1709" w:type="dxa"/>
            <w:tcBorders>
              <w:top w:val="nil"/>
              <w:left w:val="nil"/>
              <w:bottom w:val="single" w:sz="4" w:space="0" w:color="auto"/>
              <w:right w:val="single" w:sz="4" w:space="0" w:color="auto"/>
            </w:tcBorders>
            <w:shd w:val="clear" w:color="auto" w:fill="auto"/>
            <w:noWrap/>
            <w:vAlign w:val="center"/>
            <w:hideMark/>
          </w:tcPr>
          <w:p w14:paraId="368C8D31" w14:textId="77777777" w:rsidR="00D16F3A" w:rsidRPr="00D16F3A" w:rsidRDefault="00D16F3A">
            <w:pPr>
              <w:jc w:val="center"/>
              <w:rPr>
                <w:color w:val="000000"/>
                <w:sz w:val="20"/>
                <w:szCs w:val="20"/>
              </w:rPr>
            </w:pPr>
            <w:r w:rsidRPr="00D16F3A">
              <w:rPr>
                <w:color w:val="000000"/>
                <w:sz w:val="20"/>
                <w:szCs w:val="20"/>
              </w:rPr>
              <w:t>8.6</w:t>
            </w:r>
          </w:p>
        </w:tc>
      </w:tr>
    </w:tbl>
    <w:p w14:paraId="2A8D2E3A" w14:textId="77777777" w:rsidR="0017238B" w:rsidRPr="005B410D" w:rsidRDefault="0017238B" w:rsidP="005B410D">
      <w:pPr>
        <w:spacing w:after="120"/>
        <w:rPr>
          <w:rFonts w:eastAsia="SimSun"/>
          <w:sz w:val="20"/>
          <w:szCs w:val="20"/>
          <w:lang w:val="en-GB" w:eastAsia="en-GB"/>
        </w:rPr>
      </w:pPr>
    </w:p>
    <w:p w14:paraId="0B3141EF" w14:textId="5B7D5DC5" w:rsidR="009F52D7" w:rsidRPr="002F79EB" w:rsidRDefault="00DA24C0" w:rsidP="009F52D7">
      <w:pPr>
        <w:pStyle w:val="Heading1"/>
        <w:rPr>
          <w:lang w:val="en-US"/>
        </w:rPr>
      </w:pPr>
      <w:r>
        <w:rPr>
          <w:lang w:val="en-US"/>
        </w:rPr>
        <w:t>4</w:t>
      </w:r>
      <w:r w:rsidR="009F52D7">
        <w:rPr>
          <w:lang w:val="en-US"/>
        </w:rPr>
        <w:t>. Conclusion</w:t>
      </w:r>
    </w:p>
    <w:p w14:paraId="2A735BCF" w14:textId="7E112BEE" w:rsidR="00D16F3A" w:rsidRPr="005B410D" w:rsidRDefault="00D16F3A" w:rsidP="00D16F3A">
      <w:pPr>
        <w:spacing w:after="120"/>
        <w:rPr>
          <w:sz w:val="20"/>
          <w:szCs w:val="20"/>
        </w:rPr>
      </w:pPr>
      <w:r w:rsidRPr="001F11DE">
        <w:rPr>
          <w:sz w:val="20"/>
          <w:szCs w:val="20"/>
        </w:rPr>
        <w:t>In this paper, we provide our views on the open issues for requirements definition for PDSCH demod with ICI and simulation results</w:t>
      </w:r>
      <w:r>
        <w:rPr>
          <w:sz w:val="20"/>
          <w:szCs w:val="20"/>
        </w:rPr>
        <w:t xml:space="preserve"> for requirements definition</w:t>
      </w:r>
      <w:r w:rsidRPr="001F11DE">
        <w:rPr>
          <w:sz w:val="20"/>
          <w:szCs w:val="20"/>
        </w:rPr>
        <w:t>. Our observations and proposals are captured below:</w:t>
      </w:r>
    </w:p>
    <w:p w14:paraId="374D9E94" w14:textId="77777777" w:rsidR="00D16F3A" w:rsidRDefault="00D16F3A" w:rsidP="00D16F3A">
      <w:pPr>
        <w:spacing w:after="120"/>
        <w:rPr>
          <w:rFonts w:eastAsia="SimSun"/>
          <w:i/>
          <w:iCs/>
          <w:sz w:val="20"/>
          <w:szCs w:val="20"/>
          <w:lang w:val="en-GB" w:eastAsia="en-GB"/>
        </w:rPr>
      </w:pPr>
      <w:r>
        <w:rPr>
          <w:rFonts w:eastAsia="SimSun"/>
          <w:b/>
          <w:bCs/>
          <w:i/>
          <w:iCs/>
          <w:sz w:val="20"/>
          <w:szCs w:val="20"/>
          <w:lang w:val="en-GB" w:eastAsia="en-GB"/>
        </w:rPr>
        <w:t xml:space="preserve">Observation #1: </w:t>
      </w:r>
      <w:r>
        <w:rPr>
          <w:rFonts w:eastAsia="SimSun"/>
          <w:i/>
          <w:iCs/>
          <w:sz w:val="20"/>
          <w:szCs w:val="20"/>
          <w:lang w:val="en-GB" w:eastAsia="en-GB"/>
        </w:rPr>
        <w:t>It would be unrealistic to assume that PDCCH would be interference free in ICI scenarios or that network would co-ordinate PDCCH transmission if SSB are non-overlapping</w:t>
      </w:r>
    </w:p>
    <w:p w14:paraId="37C96883" w14:textId="77777777" w:rsidR="00D16F3A" w:rsidRPr="000D5873" w:rsidRDefault="00D16F3A" w:rsidP="00D16F3A">
      <w:pPr>
        <w:spacing w:after="120"/>
        <w:rPr>
          <w:rFonts w:eastAsia="SimSun"/>
          <w:i/>
          <w:iCs/>
          <w:sz w:val="20"/>
          <w:szCs w:val="20"/>
          <w:lang w:val="en-GB" w:eastAsia="en-GB"/>
        </w:rPr>
      </w:pPr>
      <w:r>
        <w:rPr>
          <w:rFonts w:eastAsia="SimSun"/>
          <w:b/>
          <w:bCs/>
          <w:i/>
          <w:iCs/>
          <w:sz w:val="20"/>
          <w:szCs w:val="20"/>
          <w:lang w:val="en-GB" w:eastAsia="en-GB"/>
        </w:rPr>
        <w:t xml:space="preserve">Observation #2: </w:t>
      </w:r>
      <w:r>
        <w:rPr>
          <w:rFonts w:eastAsia="SimSun"/>
          <w:i/>
          <w:iCs/>
          <w:sz w:val="20"/>
          <w:szCs w:val="20"/>
          <w:lang w:val="en-GB" w:eastAsia="en-GB"/>
        </w:rPr>
        <w:t xml:space="preserve">We don’t expect to see any problem with out-of-sync/in-sync evaluation if there is no interference on SSB and interference on PDCCH for the SINR ranges considered for ICI requirements. </w:t>
      </w:r>
    </w:p>
    <w:p w14:paraId="44BB2DC6" w14:textId="77777777" w:rsidR="00D16F3A" w:rsidRPr="000D5873" w:rsidRDefault="00D16F3A" w:rsidP="00D16F3A">
      <w:pPr>
        <w:spacing w:after="120"/>
        <w:rPr>
          <w:rFonts w:eastAsia="SimSun"/>
          <w:i/>
          <w:iCs/>
          <w:sz w:val="20"/>
          <w:szCs w:val="20"/>
          <w:lang w:val="en-GB" w:eastAsia="en-GB"/>
        </w:rPr>
      </w:pPr>
      <w:r>
        <w:rPr>
          <w:rFonts w:eastAsia="SimSun"/>
          <w:b/>
          <w:bCs/>
          <w:i/>
          <w:iCs/>
          <w:sz w:val="20"/>
          <w:szCs w:val="20"/>
          <w:lang w:val="en-GB" w:eastAsia="en-GB"/>
        </w:rPr>
        <w:t xml:space="preserve">Observation #3: </w:t>
      </w:r>
      <w:r>
        <w:rPr>
          <w:rFonts w:eastAsia="SimSun"/>
          <w:i/>
          <w:iCs/>
          <w:sz w:val="20"/>
          <w:szCs w:val="20"/>
          <w:lang w:val="en-GB" w:eastAsia="en-GB"/>
        </w:rPr>
        <w:t xml:space="preserve">We don’t expect to PDCCH decoding error in the SINR ranges considered for ICI requirements. </w:t>
      </w:r>
    </w:p>
    <w:p w14:paraId="5FFD0A37" w14:textId="359C16F4" w:rsidR="00DF1ED2" w:rsidRPr="009C1F3F" w:rsidRDefault="00D16F3A" w:rsidP="005B410D">
      <w:pPr>
        <w:spacing w:after="120"/>
        <w:rPr>
          <w:rFonts w:eastAsia="SimSun"/>
          <w:b/>
          <w:bCs/>
          <w:sz w:val="20"/>
          <w:szCs w:val="20"/>
          <w:lang w:val="en-GB" w:eastAsia="en-GB"/>
        </w:rPr>
      </w:pPr>
      <w:r>
        <w:rPr>
          <w:rFonts w:eastAsia="SimSun"/>
          <w:b/>
          <w:bCs/>
          <w:sz w:val="20"/>
          <w:szCs w:val="20"/>
          <w:lang w:val="en-GB" w:eastAsia="en-GB"/>
        </w:rPr>
        <w:t xml:space="preserve">Proposal #1: For interference modelling in PDCCH </w:t>
      </w:r>
      <w:r>
        <w:rPr>
          <w:rFonts w:eastAsia="SimSun"/>
          <w:b/>
          <w:bCs/>
          <w:sz w:val="20"/>
          <w:szCs w:val="20"/>
          <w:lang w:eastAsia="en-GB"/>
        </w:rPr>
        <w:t>a</w:t>
      </w:r>
      <w:r w:rsidRPr="0017238B">
        <w:rPr>
          <w:rFonts w:eastAsia="SimSun"/>
          <w:b/>
          <w:bCs/>
          <w:sz w:val="20"/>
          <w:szCs w:val="20"/>
          <w:lang w:eastAsia="en-GB"/>
        </w:rPr>
        <w:t>ssume PDCCH transmission from interference cells</w:t>
      </w:r>
      <w:r>
        <w:rPr>
          <w:rFonts w:eastAsia="SimSun"/>
          <w:b/>
          <w:bCs/>
          <w:sz w:val="20"/>
          <w:szCs w:val="20"/>
          <w:lang w:eastAsia="en-GB"/>
        </w:rPr>
        <w:t>.</w:t>
      </w:r>
    </w:p>
    <w:p w14:paraId="43538C86" w14:textId="77777777" w:rsidR="009F52D7" w:rsidRDefault="009F52D7" w:rsidP="009F52D7">
      <w:pPr>
        <w:pStyle w:val="Heading1"/>
        <w:ind w:left="432" w:hanging="432"/>
        <w:rPr>
          <w:lang w:val="en-US"/>
        </w:rPr>
      </w:pPr>
      <w:r>
        <w:rPr>
          <w:lang w:val="en-US"/>
        </w:rPr>
        <w:lastRenderedPageBreak/>
        <w:t>Reference</w:t>
      </w:r>
    </w:p>
    <w:p w14:paraId="509A2F1D" w14:textId="01DE7512" w:rsidR="00C94AC7" w:rsidRPr="00E55591" w:rsidRDefault="00E55591" w:rsidP="00C94AC7">
      <w:pPr>
        <w:pStyle w:val="ListParagraph"/>
        <w:numPr>
          <w:ilvl w:val="0"/>
          <w:numId w:val="2"/>
        </w:numPr>
        <w:spacing w:after="120"/>
        <w:ind w:firstLineChars="0"/>
        <w:jc w:val="both"/>
        <w:rPr>
          <w:rFonts w:ascii="Times New Roman" w:hAnsi="Times New Roman" w:cs="Times New Roman"/>
          <w:sz w:val="20"/>
          <w:szCs w:val="20"/>
        </w:rPr>
      </w:pPr>
      <w:r w:rsidRPr="00E55591">
        <w:rPr>
          <w:rFonts w:ascii="Times New Roman" w:hAnsi="Times New Roman" w:cs="Times New Roman"/>
          <w:sz w:val="20"/>
          <w:szCs w:val="20"/>
          <w:lang w:val="en-GB"/>
        </w:rPr>
        <w:t>R4-2207242</w:t>
      </w:r>
      <w:r w:rsidR="00C94AC7" w:rsidRPr="00E55591">
        <w:rPr>
          <w:rFonts w:ascii="Times New Roman" w:hAnsi="Times New Roman" w:cs="Times New Roman"/>
          <w:sz w:val="20"/>
          <w:szCs w:val="20"/>
        </w:rPr>
        <w:t>, “</w:t>
      </w:r>
      <w:r w:rsidRPr="00E55591">
        <w:rPr>
          <w:rFonts w:ascii="Times New Roman" w:hAnsi="Times New Roman" w:cs="Times New Roman"/>
          <w:sz w:val="20"/>
          <w:szCs w:val="20"/>
        </w:rPr>
        <w:t>WF on general and PDSCH demodulation requirements for inter-cell interference MMSE-IRC</w:t>
      </w:r>
      <w:r w:rsidR="00C94AC7" w:rsidRPr="00E55591">
        <w:rPr>
          <w:rFonts w:ascii="Times New Roman" w:hAnsi="Times New Roman" w:cs="Times New Roman"/>
          <w:sz w:val="20"/>
          <w:szCs w:val="20"/>
        </w:rPr>
        <w:t xml:space="preserve">”, Intel.  </w:t>
      </w:r>
    </w:p>
    <w:p w14:paraId="56E792EE" w14:textId="77777777" w:rsidR="009F52D7" w:rsidRDefault="009F52D7" w:rsidP="009F52D7"/>
    <w:p w14:paraId="57796A25" w14:textId="77777777" w:rsidR="00924CB2" w:rsidRDefault="00924CB2"/>
    <w:sectPr w:rsidR="00924CB2"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259338048">
    <w:abstractNumId w:val="0"/>
  </w:num>
  <w:num w:numId="2" w16cid:durableId="1198423226">
    <w:abstractNumId w:val="2"/>
  </w:num>
  <w:num w:numId="3" w16cid:durableId="10640615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D5873"/>
    <w:rsid w:val="00104D5D"/>
    <w:rsid w:val="00121828"/>
    <w:rsid w:val="0017238B"/>
    <w:rsid w:val="00177147"/>
    <w:rsid w:val="001B5D0A"/>
    <w:rsid w:val="001C663E"/>
    <w:rsid w:val="002870EA"/>
    <w:rsid w:val="002F4FA3"/>
    <w:rsid w:val="00322A55"/>
    <w:rsid w:val="004D1584"/>
    <w:rsid w:val="0051665C"/>
    <w:rsid w:val="0057184D"/>
    <w:rsid w:val="005B410D"/>
    <w:rsid w:val="005D1B1F"/>
    <w:rsid w:val="00626BDE"/>
    <w:rsid w:val="00775238"/>
    <w:rsid w:val="007A3BE1"/>
    <w:rsid w:val="007C626C"/>
    <w:rsid w:val="0083467F"/>
    <w:rsid w:val="00924CB2"/>
    <w:rsid w:val="00932C93"/>
    <w:rsid w:val="00951300"/>
    <w:rsid w:val="00970536"/>
    <w:rsid w:val="009776DC"/>
    <w:rsid w:val="009C1F3F"/>
    <w:rsid w:val="009D596C"/>
    <w:rsid w:val="009F52D7"/>
    <w:rsid w:val="00A211CC"/>
    <w:rsid w:val="00A51A5E"/>
    <w:rsid w:val="00B00412"/>
    <w:rsid w:val="00B8567C"/>
    <w:rsid w:val="00C94AC7"/>
    <w:rsid w:val="00CD0F63"/>
    <w:rsid w:val="00D15D3E"/>
    <w:rsid w:val="00D167C7"/>
    <w:rsid w:val="00D16F3A"/>
    <w:rsid w:val="00DA24C0"/>
    <w:rsid w:val="00DB6943"/>
    <w:rsid w:val="00DC3489"/>
    <w:rsid w:val="00DF1ED2"/>
    <w:rsid w:val="00E55591"/>
    <w:rsid w:val="00E5586A"/>
    <w:rsid w:val="00E9138B"/>
    <w:rsid w:val="00F441E8"/>
    <w:rsid w:val="00F555F1"/>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6F3A"/>
    <w:rPr>
      <w:rFonts w:ascii="Times New Roman" w:eastAsia="Times New Roman" w:hAnsi="Times New Roman" w:cs="Times New Roman"/>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rPr>
  </w:style>
  <w:style w:type="paragraph" w:styleId="ListParagraph">
    <w:name w:val="List Paragraph"/>
    <w:basedOn w:val="Normal"/>
    <w:link w:val="ListParagraphChar"/>
    <w:uiPriority w:val="34"/>
    <w:qFormat/>
    <w:rsid w:val="009F52D7"/>
    <w:pPr>
      <w:ind w:firstLineChars="200" w:firstLine="420"/>
    </w:pPr>
    <w:rPr>
      <w:rFonts w:ascii="SimSun" w:eastAsia="SimSun" w:hAnsi="SimSun" w:cs="SimSun"/>
      <w:lang w:eastAsia="zh-CN"/>
    </w:rPr>
  </w:style>
  <w:style w:type="character" w:customStyle="1" w:styleId="ListParagraphChar">
    <w:name w:val="List Paragraph Char"/>
    <w:link w:val="ListParagraph"/>
    <w:uiPriority w:val="34"/>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862</Words>
  <Characters>4242</Characters>
  <Application>Microsoft Office Word</Application>
  <DocSecurity>0</DocSecurity>
  <Lines>530</Lines>
  <Paragraphs>340</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4764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 (Manasa)</cp:lastModifiedBy>
  <cp:revision>2</cp:revision>
  <dcterms:created xsi:type="dcterms:W3CDTF">2022-04-25T04:26:00Z</dcterms:created>
  <dcterms:modified xsi:type="dcterms:W3CDTF">2022-04-25T04:26:00Z</dcterms:modified>
</cp:coreProperties>
</file>