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95866" w14:textId="324D2A8E" w:rsidR="00F9323F" w:rsidRPr="00DE39AC" w:rsidRDefault="00F9323F" w:rsidP="00F9323F">
      <w:pPr>
        <w:tabs>
          <w:tab w:val="right" w:pos="9639"/>
        </w:tabs>
        <w:spacing w:after="0"/>
        <w:rPr>
          <w:rFonts w:ascii="Arial" w:hAnsi="Arial"/>
          <w:b/>
          <w:noProof/>
          <w:sz w:val="24"/>
        </w:rPr>
      </w:pPr>
      <w:bookmarkStart w:id="0" w:name="_Ref399006623"/>
      <w:bookmarkStart w:id="1" w:name="_Toc92513360"/>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6F6985">
        <w:rPr>
          <w:rFonts w:ascii="Arial" w:hAnsi="Arial"/>
          <w:b/>
          <w:noProof/>
          <w:sz w:val="24"/>
        </w:rPr>
        <w:t>04212</w:t>
      </w:r>
    </w:p>
    <w:p w14:paraId="6B513EA2" w14:textId="77777777" w:rsidR="00F9323F" w:rsidRPr="00DE39AC" w:rsidRDefault="00F9323F" w:rsidP="00F9323F">
      <w:pPr>
        <w:tabs>
          <w:tab w:val="right" w:pos="9639"/>
        </w:tabs>
        <w:spacing w:after="0"/>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26DCB72D" w14:textId="77777777" w:rsidR="00F9323F" w:rsidRPr="00DE39AC" w:rsidRDefault="00F9323F" w:rsidP="00F9323F">
      <w:pPr>
        <w:spacing w:after="0"/>
      </w:pPr>
    </w:p>
    <w:p w14:paraId="7C6C0998" w14:textId="038BC57F" w:rsidR="00F9323F" w:rsidRPr="00DE39AC" w:rsidRDefault="00F9323F" w:rsidP="00F9323F">
      <w:pPr>
        <w:tabs>
          <w:tab w:val="left" w:pos="1985"/>
          <w:tab w:val="left" w:pos="2410"/>
        </w:tabs>
        <w:spacing w:after="0"/>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Pr>
          <w:rFonts w:ascii="Arial" w:hAnsi="Arial" w:cs="Arial"/>
          <w:b/>
          <w:bCs/>
          <w:sz w:val="24"/>
        </w:rPr>
        <w:t>9</w:t>
      </w:r>
      <w:r w:rsidRPr="00DE39AC">
        <w:rPr>
          <w:rFonts w:ascii="Arial" w:hAnsi="Arial" w:cs="Arial"/>
          <w:b/>
          <w:bCs/>
          <w:sz w:val="24"/>
        </w:rPr>
        <w:t>.</w:t>
      </w:r>
      <w:r w:rsidR="00CB1582">
        <w:rPr>
          <w:rFonts w:ascii="Arial" w:hAnsi="Arial" w:cs="Arial"/>
          <w:b/>
          <w:bCs/>
          <w:sz w:val="24"/>
        </w:rPr>
        <w:t>3</w:t>
      </w:r>
      <w:r>
        <w:rPr>
          <w:rFonts w:ascii="Arial" w:hAnsi="Arial" w:cs="Arial"/>
          <w:b/>
          <w:bCs/>
          <w:sz w:val="24"/>
        </w:rPr>
        <w:t>9</w:t>
      </w:r>
      <w:r w:rsidRPr="00DE39AC">
        <w:rPr>
          <w:rFonts w:ascii="Arial" w:hAnsi="Arial" w:cs="Arial"/>
          <w:b/>
          <w:bCs/>
          <w:sz w:val="24"/>
        </w:rPr>
        <w:t>.</w:t>
      </w:r>
      <w:r>
        <w:rPr>
          <w:rFonts w:ascii="Arial" w:hAnsi="Arial" w:cs="Arial"/>
          <w:b/>
          <w:bCs/>
          <w:sz w:val="24"/>
        </w:rPr>
        <w:t>2</w:t>
      </w:r>
    </w:p>
    <w:p w14:paraId="5A0BE42E" w14:textId="77777777" w:rsidR="003E778B" w:rsidRDefault="00BF07FC">
      <w:pPr>
        <w:tabs>
          <w:tab w:val="left" w:pos="1985"/>
        </w:tabs>
        <w:spacing w:after="0"/>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t>SoftBank Corp.</w:t>
      </w:r>
    </w:p>
    <w:p w14:paraId="153DA296" w14:textId="3F4AF45F" w:rsidR="003E778B" w:rsidRDefault="00BF07FC">
      <w:pPr>
        <w:pStyle w:val="TAC"/>
        <w:ind w:left="1985" w:hanging="1985"/>
        <w:jc w:val="both"/>
        <w:rPr>
          <w:rFonts w:cs="Arial"/>
          <w:b/>
          <w:sz w:val="22"/>
        </w:rPr>
      </w:pPr>
      <w:r>
        <w:rPr>
          <w:rFonts w:cs="Arial"/>
          <w:b/>
          <w:sz w:val="22"/>
        </w:rPr>
        <w:t xml:space="preserve">Title: </w:t>
      </w:r>
      <w:r>
        <w:rPr>
          <w:rFonts w:cs="Arial"/>
          <w:b/>
          <w:sz w:val="22"/>
        </w:rPr>
        <w:tab/>
      </w:r>
      <w:r w:rsidR="006A5EC2">
        <w:rPr>
          <w:rFonts w:cs="Arial"/>
          <w:b/>
          <w:sz w:val="22"/>
        </w:rPr>
        <w:t>Discussion</w:t>
      </w:r>
      <w:r>
        <w:rPr>
          <w:rFonts w:cs="Arial"/>
          <w:b/>
          <w:sz w:val="22"/>
        </w:rPr>
        <w:t xml:space="preserve"> on </w:t>
      </w:r>
      <w:r w:rsidR="004357DE">
        <w:rPr>
          <w:rFonts w:cs="Arial"/>
          <w:b/>
          <w:sz w:val="22"/>
        </w:rPr>
        <w:t xml:space="preserve">the </w:t>
      </w:r>
      <w:r w:rsidR="00624F56" w:rsidRPr="00624F56">
        <w:rPr>
          <w:rFonts w:cs="Arial"/>
          <w:b/>
          <w:sz w:val="22"/>
        </w:rPr>
        <w:t>simultaneous Rx/Tx capability for FR1+FR1 FDD-TDD band combination</w:t>
      </w:r>
    </w:p>
    <w:p w14:paraId="78932137" w14:textId="2975D2FE" w:rsidR="003E778B" w:rsidRDefault="00BF07FC">
      <w:pPr>
        <w:ind w:left="1985" w:hanging="1985"/>
        <w:jc w:val="both"/>
        <w:rPr>
          <w:rFonts w:ascii="Arial" w:eastAsia="SimSun" w:hAnsi="Arial" w:cs="Arial"/>
          <w:sz w:val="22"/>
          <w:lang w:eastAsia="zh-CN"/>
        </w:rPr>
      </w:pPr>
      <w:r>
        <w:rPr>
          <w:rFonts w:ascii="Arial" w:hAnsi="Arial" w:cs="Arial"/>
          <w:b/>
          <w:sz w:val="22"/>
        </w:rPr>
        <w:t>Document for:</w:t>
      </w:r>
      <w:r>
        <w:rPr>
          <w:rFonts w:ascii="Arial" w:hAnsi="Arial" w:cs="Arial"/>
          <w:b/>
          <w:sz w:val="22"/>
        </w:rPr>
        <w:tab/>
      </w:r>
      <w:r w:rsidR="004357DE">
        <w:rPr>
          <w:rFonts w:ascii="Arial" w:eastAsia="SimSun" w:hAnsi="Arial" w:cs="Arial"/>
          <w:b/>
          <w:sz w:val="22"/>
          <w:lang w:eastAsia="zh-CN"/>
        </w:rPr>
        <w:t>Approval</w:t>
      </w:r>
    </w:p>
    <w:bookmarkEnd w:id="0"/>
    <w:bookmarkEnd w:id="1"/>
    <w:p w14:paraId="3F6E3B2F" w14:textId="77777777" w:rsidR="003E778B" w:rsidRDefault="00BF07FC">
      <w:pPr>
        <w:pStyle w:val="1"/>
        <w:jc w:val="both"/>
        <w:rPr>
          <w:rFonts w:eastAsia="SimSun"/>
          <w:lang w:eastAsia="zh-CN"/>
        </w:rPr>
      </w:pPr>
      <w:r>
        <w:rPr>
          <w:rFonts w:eastAsia="SimSun" w:hint="eastAsia"/>
          <w:lang w:eastAsia="zh-CN"/>
        </w:rPr>
        <w:t>Introduction</w:t>
      </w:r>
    </w:p>
    <w:p w14:paraId="02E14BD3" w14:textId="44160C43" w:rsidR="003E778B" w:rsidRDefault="00D6697B" w:rsidP="006A3B93">
      <w:pPr>
        <w:overflowPunct/>
        <w:autoSpaceDE/>
        <w:autoSpaceDN/>
        <w:adjustRightInd/>
        <w:spacing w:after="0"/>
        <w:ind w:firstLineChars="50" w:firstLine="100"/>
        <w:jc w:val="both"/>
        <w:textAlignment w:val="auto"/>
        <w:rPr>
          <w:rFonts w:eastAsia="SimSun"/>
          <w:lang w:eastAsia="zh-CN"/>
        </w:rPr>
      </w:pPr>
      <w:r>
        <w:rPr>
          <w:rFonts w:eastAsiaTheme="minorEastAsia"/>
          <w:lang w:eastAsia="ja-JP"/>
        </w:rPr>
        <w:t>In RAN4#</w:t>
      </w:r>
      <w:r w:rsidR="00D45EF2">
        <w:rPr>
          <w:rFonts w:eastAsiaTheme="minorEastAsia"/>
          <w:lang w:eastAsia="ja-JP"/>
        </w:rPr>
        <w:t>100</w:t>
      </w:r>
      <w:r>
        <w:rPr>
          <w:rFonts w:eastAsiaTheme="minorEastAsia"/>
          <w:lang w:eastAsia="ja-JP"/>
        </w:rPr>
        <w:t xml:space="preserve">-e meeting, the </w:t>
      </w:r>
      <w:r w:rsidR="00D45EF2">
        <w:rPr>
          <w:rFonts w:eastAsiaTheme="minorEastAsia"/>
          <w:lang w:eastAsia="ja-JP"/>
        </w:rPr>
        <w:t xml:space="preserve">WF </w:t>
      </w:r>
      <w:r w:rsidR="00A4497B">
        <w:rPr>
          <w:rFonts w:eastAsiaTheme="minorEastAsia"/>
          <w:lang w:eastAsia="ja-JP"/>
        </w:rPr>
        <w:t xml:space="preserve">of the rule for </w:t>
      </w:r>
      <w:bookmarkStart w:id="2" w:name="_Hlk85637459"/>
      <w:r w:rsidR="00A4497B">
        <w:rPr>
          <w:rFonts w:eastAsiaTheme="minorEastAsia"/>
          <w:lang w:eastAsia="ja-JP"/>
        </w:rPr>
        <w:t>s</w:t>
      </w:r>
      <w:r w:rsidR="00A4497B" w:rsidRPr="00A4497B">
        <w:rPr>
          <w:rFonts w:eastAsiaTheme="minorEastAsia"/>
          <w:lang w:eastAsia="ja-JP"/>
        </w:rPr>
        <w:t>imultaneous Rx/Tx capability for FR1+FR1 FDD-TDD band combination</w:t>
      </w:r>
      <w:bookmarkEnd w:id="2"/>
      <w:r w:rsidR="00A4497B" w:rsidRPr="00A4497B">
        <w:rPr>
          <w:rFonts w:eastAsiaTheme="minorEastAsia"/>
          <w:lang w:eastAsia="ja-JP"/>
        </w:rPr>
        <w:t xml:space="preserve"> </w:t>
      </w:r>
      <w:r w:rsidR="00A4497B">
        <w:rPr>
          <w:rFonts w:eastAsiaTheme="minorEastAsia"/>
          <w:lang w:eastAsia="ja-JP"/>
        </w:rPr>
        <w:t xml:space="preserve">was </w:t>
      </w:r>
      <w:r w:rsidR="00D45EF2">
        <w:rPr>
          <w:rFonts w:eastAsiaTheme="minorEastAsia"/>
          <w:lang w:eastAsia="ja-JP"/>
        </w:rPr>
        <w:t>approved [1]</w:t>
      </w:r>
      <w:r w:rsidR="00A63577">
        <w:rPr>
          <w:rFonts w:eastAsiaTheme="minorEastAsia"/>
          <w:lang w:eastAsia="ja-JP"/>
        </w:rPr>
        <w:t>.</w:t>
      </w:r>
      <w:r w:rsidR="006D1213">
        <w:rPr>
          <w:rFonts w:eastAsiaTheme="minorEastAsia"/>
          <w:lang w:eastAsia="ja-JP"/>
        </w:rPr>
        <w:t xml:space="preserve"> </w:t>
      </w:r>
      <w:r w:rsidR="00D45EF2">
        <w:rPr>
          <w:rFonts w:eastAsiaTheme="minorEastAsia"/>
          <w:lang w:eastAsia="ja-JP"/>
        </w:rPr>
        <w:t>In t</w:t>
      </w:r>
      <w:r w:rsidR="006A5EC2">
        <w:rPr>
          <w:rFonts w:eastAsiaTheme="minorEastAsia"/>
          <w:lang w:eastAsia="ja-JP"/>
        </w:rPr>
        <w:t>his paper</w:t>
      </w:r>
      <w:r w:rsidR="00D45EF2">
        <w:rPr>
          <w:rFonts w:eastAsiaTheme="minorEastAsia"/>
          <w:lang w:eastAsia="ja-JP"/>
        </w:rPr>
        <w:t xml:space="preserve">, we show our view for </w:t>
      </w:r>
      <w:r w:rsidR="00B561ED">
        <w:rPr>
          <w:rFonts w:eastAsiaTheme="minorEastAsia"/>
          <w:lang w:eastAsia="ja-JP"/>
        </w:rPr>
        <w:t xml:space="preserve">MSD threshold </w:t>
      </w:r>
      <w:r w:rsidR="00D45EF2">
        <w:rPr>
          <w:rFonts w:eastAsiaTheme="minorEastAsia"/>
          <w:lang w:eastAsia="ja-JP"/>
        </w:rPr>
        <w:t>in the WF</w:t>
      </w:r>
      <w:r w:rsidR="006A5EC2">
        <w:rPr>
          <w:rFonts w:eastAsiaTheme="minorEastAsia"/>
          <w:lang w:eastAsia="ja-JP"/>
        </w:rPr>
        <w:t xml:space="preserve">. </w:t>
      </w:r>
    </w:p>
    <w:p w14:paraId="182697A6" w14:textId="77777777" w:rsidR="003E778B" w:rsidRDefault="00BF07FC">
      <w:pPr>
        <w:pStyle w:val="1"/>
        <w:jc w:val="both"/>
        <w:rPr>
          <w:rFonts w:eastAsia="SimSun"/>
          <w:lang w:eastAsia="zh-CN"/>
        </w:rPr>
      </w:pPr>
      <w:r>
        <w:rPr>
          <w:rFonts w:eastAsia="SimSun" w:hint="eastAsia"/>
          <w:lang w:eastAsia="zh-CN"/>
        </w:rPr>
        <w:t>Discussion</w:t>
      </w:r>
    </w:p>
    <w:p w14:paraId="45CBE93D" w14:textId="77777777" w:rsidR="00D875AD" w:rsidRDefault="00D875AD" w:rsidP="006A3B93">
      <w:pPr>
        <w:spacing w:after="0"/>
        <w:ind w:firstLineChars="50" w:firstLine="100"/>
        <w:rPr>
          <w:rFonts w:eastAsiaTheme="minorEastAsia"/>
          <w:lang w:val="en-GB" w:eastAsia="ja-JP"/>
        </w:rPr>
      </w:pPr>
      <w:r>
        <w:rPr>
          <w:rFonts w:eastAsiaTheme="minorEastAsia"/>
          <w:lang w:val="en-GB" w:eastAsia="ja-JP"/>
        </w:rPr>
        <w:t>The following are the excerpt of the</w:t>
      </w:r>
      <w:r w:rsidR="002E44C9">
        <w:rPr>
          <w:rFonts w:eastAsiaTheme="minorEastAsia"/>
          <w:lang w:val="en-GB" w:eastAsia="ja-JP"/>
        </w:rPr>
        <w:t xml:space="preserve"> </w:t>
      </w:r>
      <w:r>
        <w:rPr>
          <w:rFonts w:eastAsiaTheme="minorEastAsia"/>
          <w:lang w:val="en-GB" w:eastAsia="ja-JP"/>
        </w:rPr>
        <w:t>WF</w:t>
      </w:r>
      <w:r w:rsidR="004922A3">
        <w:rPr>
          <w:rFonts w:eastAsiaTheme="minorEastAsia"/>
          <w:lang w:val="en-GB" w:eastAsia="ja-JP"/>
        </w:rPr>
        <w:t xml:space="preserve"> </w:t>
      </w:r>
      <w:r w:rsidR="002E44C9">
        <w:rPr>
          <w:rFonts w:eastAsiaTheme="minorEastAsia"/>
          <w:lang w:val="en-GB" w:eastAsia="ja-JP"/>
        </w:rPr>
        <w:t>[1]</w:t>
      </w:r>
      <w:r>
        <w:rPr>
          <w:rFonts w:eastAsiaTheme="minorEastAsia"/>
          <w:lang w:val="en-GB" w:eastAsia="ja-JP"/>
        </w:rPr>
        <w:t xml:space="preserve">. </w:t>
      </w:r>
    </w:p>
    <w:p w14:paraId="33104D13" w14:textId="0A73FE7C" w:rsidR="007C0347" w:rsidRDefault="007C0347" w:rsidP="00D875AD">
      <w:pPr>
        <w:spacing w:after="0"/>
        <w:rPr>
          <w:rFonts w:eastAsiaTheme="minorEastAsia"/>
          <w:lang w:val="en-GB" w:eastAsia="ja-JP"/>
        </w:rPr>
      </w:pPr>
    </w:p>
    <w:p w14:paraId="15847FFC" w14:textId="3AC3C8E7" w:rsidR="00BB6259" w:rsidRDefault="008E42BF">
      <w:pPr>
        <w:spacing w:after="0"/>
        <w:rPr>
          <w:rFonts w:eastAsiaTheme="minorEastAsia"/>
          <w:lang w:eastAsia="ja-JP"/>
        </w:rPr>
      </w:pPr>
      <w:r w:rsidRPr="008E42BF">
        <w:rPr>
          <w:rFonts w:eastAsiaTheme="minorEastAsia"/>
          <w:noProof/>
          <w:lang w:val="en-GB" w:eastAsia="ja-JP"/>
        </w:rPr>
        <mc:AlternateContent>
          <mc:Choice Requires="wps">
            <w:drawing>
              <wp:anchor distT="45720" distB="45720" distL="114300" distR="114300" simplePos="0" relativeHeight="251659264" behindDoc="0" locked="0" layoutInCell="1" allowOverlap="1" wp14:anchorId="1EBBF24F" wp14:editId="01353BE8">
                <wp:simplePos x="0" y="0"/>
                <wp:positionH relativeFrom="column">
                  <wp:align>center</wp:align>
                </wp:positionH>
                <wp:positionV relativeFrom="paragraph">
                  <wp:posOffset>182880</wp:posOffset>
                </wp:positionV>
                <wp:extent cx="5414838" cy="1404620"/>
                <wp:effectExtent l="0" t="0" r="14605" b="2222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838" cy="1404620"/>
                        </a:xfrm>
                        <a:prstGeom prst="rect">
                          <a:avLst/>
                        </a:prstGeom>
                        <a:solidFill>
                          <a:srgbClr val="FFFFFF"/>
                        </a:solidFill>
                        <a:ln w="9525">
                          <a:solidFill>
                            <a:srgbClr val="000000"/>
                          </a:solidFill>
                          <a:prstDash val="sysDash"/>
                          <a:miter lim="800000"/>
                          <a:headEnd/>
                          <a:tailEnd/>
                        </a:ln>
                      </wps:spPr>
                      <wps:txbx>
                        <w:txbxContent>
                          <w:p w14:paraId="0A1D5134" w14:textId="77777777" w:rsidR="00B561ED" w:rsidRPr="00CF44A2" w:rsidRDefault="00B561ED" w:rsidP="00B561ED">
                            <w:pPr>
                              <w:spacing w:after="0"/>
                              <w:rPr>
                                <w:rFonts w:eastAsiaTheme="minorEastAsia"/>
                                <w:i/>
                                <w:color w:val="0070C0"/>
                              </w:rPr>
                            </w:pPr>
                            <w:r w:rsidRPr="00CF44A2">
                              <w:rPr>
                                <w:rFonts w:eastAsiaTheme="minorEastAsia"/>
                                <w:i/>
                                <w:color w:val="0070C0"/>
                              </w:rPr>
                              <w:t xml:space="preserve">Proposed WF </w:t>
                            </w:r>
                            <w:r>
                              <w:rPr>
                                <w:rFonts w:eastAsiaTheme="minorEastAsia" w:hint="eastAsia"/>
                                <w:i/>
                                <w:color w:val="0070C0"/>
                              </w:rPr>
                              <w:t>(</w:t>
                            </w:r>
                            <w:r>
                              <w:rPr>
                                <w:rFonts w:eastAsiaTheme="minorEastAsia"/>
                                <w:i/>
                                <w:color w:val="0070C0"/>
                              </w:rPr>
                              <w:t>a merged version of option 4 and 5 and some comments from operators)</w:t>
                            </w:r>
                          </w:p>
                          <w:p w14:paraId="21C0F542" w14:textId="77777777" w:rsidR="00B561ED" w:rsidRPr="006C1C51" w:rsidRDefault="00B561ED" w:rsidP="00B561ED">
                            <w:pPr>
                              <w:numPr>
                                <w:ilvl w:val="0"/>
                                <w:numId w:val="20"/>
                              </w:numPr>
                              <w:overflowPunct/>
                              <w:autoSpaceDE/>
                              <w:autoSpaceDN/>
                              <w:adjustRightInd/>
                              <w:spacing w:after="120" w:line="259" w:lineRule="auto"/>
                              <w:jc w:val="both"/>
                              <w:textAlignment w:val="auto"/>
                              <w:rPr>
                                <w:b/>
                                <w:i/>
                              </w:rPr>
                            </w:pPr>
                            <w:r w:rsidRPr="006C1C51">
                              <w:rPr>
                                <w:b/>
                                <w:i/>
                              </w:rPr>
                              <w:t>Simultaneous Rx</w:t>
                            </w:r>
                            <w:r>
                              <w:rPr>
                                <w:b/>
                                <w:i/>
                              </w:rPr>
                              <w:t>/</w:t>
                            </w:r>
                            <w:r w:rsidRPr="006C1C51">
                              <w:rPr>
                                <w:b/>
                                <w:i/>
                              </w:rPr>
                              <w:t>Tx is the default capability in FDD-TDD FR1 band combinations</w:t>
                            </w:r>
                          </w:p>
                          <w:p w14:paraId="028DB5C1"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 xml:space="preserve">For TDD-FDD combinations, the capability </w:t>
                            </w:r>
                            <w:r>
                              <w:rPr>
                                <w:b/>
                                <w:i/>
                              </w:rPr>
                              <w:t xml:space="preserve">is </w:t>
                            </w:r>
                            <w:r w:rsidRPr="006C1C51">
                              <w:rPr>
                                <w:b/>
                                <w:i/>
                              </w:rPr>
                              <w:t>mandatory</w:t>
                            </w:r>
                            <w:r>
                              <w:rPr>
                                <w:b/>
                                <w:i/>
                              </w:rPr>
                              <w:t xml:space="preserve"> without checking</w:t>
                            </w:r>
                            <w:r w:rsidRPr="006C1C51">
                              <w:rPr>
                                <w:b/>
                                <w:i/>
                              </w:rPr>
                              <w:t xml:space="preserve"> if </w:t>
                            </w:r>
                            <w:r>
                              <w:rPr>
                                <w:b/>
                                <w:i/>
                              </w:rPr>
                              <w:t>there are no MSD issues and frequency range is not adjacent to each other for the band combinations</w:t>
                            </w:r>
                          </w:p>
                          <w:p w14:paraId="0AC1DEE5"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For TDD-FDD combinations</w:t>
                            </w:r>
                            <w:r>
                              <w:rPr>
                                <w:b/>
                                <w:i/>
                              </w:rPr>
                              <w:t xml:space="preserve"> with REFSENS degradation due to self-interference</w:t>
                            </w:r>
                            <w:r w:rsidRPr="006C1C51">
                              <w:rPr>
                                <w:b/>
                                <w:i/>
                              </w:rPr>
                              <w:t xml:space="preserve">, </w:t>
                            </w:r>
                            <w:r>
                              <w:rPr>
                                <w:b/>
                                <w:i/>
                              </w:rPr>
                              <w:t xml:space="preserve">MSD caused by harmonics/IMD, etc. should be defined. </w:t>
                            </w:r>
                            <w:r>
                              <w:rPr>
                                <w:rFonts w:eastAsia="游明朝"/>
                                <w:b/>
                                <w:i/>
                              </w:rPr>
                              <w:t>For some band combinations that are close in frequency, e.g. bands n7 and n38, other methods to mitigate interference can be considered as well. Simultaneous Rx/Tx capability for this kind of special cases could be handled separately from those having MSD issues.</w:t>
                            </w:r>
                          </w:p>
                          <w:p w14:paraId="27C86F40" w14:textId="42AD3B1F" w:rsidR="008E42BF" w:rsidRPr="00B561ED" w:rsidRDefault="00B561ED" w:rsidP="00B561ED">
                            <w:pPr>
                              <w:numPr>
                                <w:ilvl w:val="0"/>
                                <w:numId w:val="20"/>
                              </w:numPr>
                              <w:overflowPunct/>
                              <w:autoSpaceDE/>
                              <w:autoSpaceDN/>
                              <w:adjustRightInd/>
                              <w:spacing w:after="120" w:line="259" w:lineRule="auto"/>
                              <w:jc w:val="both"/>
                              <w:textAlignment w:val="auto"/>
                              <w:rPr>
                                <w:b/>
                                <w:i/>
                              </w:rPr>
                            </w:pPr>
                            <w:r w:rsidRPr="00B561ED">
                              <w:rPr>
                                <w:b/>
                                <w:i/>
                              </w:rPr>
                              <w:t>For band combinations whose MSD is larger than a threshold (value FFS), further discuss whether simultaneous Rx/Tx can be changed to optional, otherwise, the simultaneous Rx/Tx capability is mandatory support.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BBF24F" id="_x0000_t202" coordsize="21600,21600" o:spt="202" path="m,l,21600r21600,l21600,xe">
                <v:stroke joinstyle="miter"/>
                <v:path gradientshapeok="t" o:connecttype="rect"/>
              </v:shapetype>
              <v:shape id="テキスト ボックス 2" o:spid="_x0000_s1026" type="#_x0000_t202" style="position:absolute;margin-left:0;margin-top:14.4pt;width:426.35pt;height:110.6pt;z-index:25165926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zaUgIAAHMEAAAOAAAAZHJzL2Uyb0RvYy54bWysVM2O0zAQviPxDpbvbJqS7k/UdLV0KULa&#10;BaSFB5g6TmPh2Mb2NinHrYR4CF4BceZ58iKMnW63WuCCyMHyeGa+mflmJtPzrpFkza0TWhU0PRpR&#10;whXTpVCrgn54v3h2SonzoEqQWvGCbrij57OnT6atyflY11qW3BIEUS5vTUFr702eJI7VvAF3pA1X&#10;qKy0bcCjaFdJaaFF9EYm49HoOGm1LY3VjDuHr5eDks4iflVx5t9WleOeyIJibj6eNp7LcCazKeQr&#10;C6YWbJcG/EMWDQiFQfdQl+CB3FrxG1QjmNVOV/6I6SbRVSUYjzVgNenoUTU3NRgea0FynNnT5P4f&#10;LHuzfmeJKAs6Tk8oUdBgk/rtl/7ue3/3s99+Jf32W7/d9nc/UCbjQFhrXI5+NwY9ffdCd9j4WLwz&#10;V5p9dETpeQ1qxS+s1W3NocSE0+CZHLgOOC6ALNtrXWJcuPU6AnWVbQKbyA9BdGzcZt8s3nnC8HGS&#10;pdnpcxwvhro0G2XH49jOBPJ7d2Odf8V1Q8KloBanIcLD+sr5kA7k9yYhmtNSlAshZRTsajmXlqwB&#10;J2cRv1jBIzOpSFvQs8l4MjDwV4hR/P4EEVK4BFcPodzGBSEYQt4Ij9shRVPQ070/5IHSl6qMJh6E&#10;HO5YjVQ7jgOtA8G+W3ZoGIhf6nKDbFs9bAFuLV5qbT9T0uIGFNR9ugXLKZGvFXbsLM2ysDJRyCYn&#10;SC+xh5rloQYUQ6iCekqG69zHNYtcmgvs7EJEzh8y2eWKkx1bsdvCsDqHcrR6+FfMfgEAAP//AwBQ&#10;SwMEFAAGAAgAAAAhADk6FK7fAAAABwEAAA8AAABkcnMvZG93bnJldi54bWxMj1FLwzAUhd8F/0O4&#10;gm8usVAttenQiTBFGNYxX7MmtmXNTU3Sru7Xe33Sx3vO4ZzvFsvZ9mwyPnQOJVwvBDCDtdMdNhK2&#10;709XGbAQFWrVOzQSvk2AZXl+VqhcuyO+mamKDaMSDLmS0MY45JyHujVWhYUbDJL36bxVkU7fcO3V&#10;kcptzxMhbrhVHdJCqwazak19qEYrYVXx6WO3/jqNz6/rzcvh4ZT6+VHKy4v5/g5YNHP8C8MvPqFD&#10;SUx7N6IOrJdAj0QJSUb85GZpcgtsT0IqBPCy4P/5yx8AAAD//wMAUEsBAi0AFAAGAAgAAAAhALaD&#10;OJL+AAAA4QEAABMAAAAAAAAAAAAAAAAAAAAAAFtDb250ZW50X1R5cGVzXS54bWxQSwECLQAUAAYA&#10;CAAAACEAOP0h/9YAAACUAQAACwAAAAAAAAAAAAAAAAAvAQAAX3JlbHMvLnJlbHNQSwECLQAUAAYA&#10;CAAAACEAbfus2lICAABzBAAADgAAAAAAAAAAAAAAAAAuAgAAZHJzL2Uyb0RvYy54bWxQSwECLQAU&#10;AAYACAAAACEAOToUrt8AAAAHAQAADwAAAAAAAAAAAAAAAACsBAAAZHJzL2Rvd25yZXYueG1sUEsF&#10;BgAAAAAEAAQA8wAAALgFAAAAAA==&#10;">
                <v:stroke dashstyle="3 1"/>
                <v:textbox style="mso-fit-shape-to-text:t">
                  <w:txbxContent>
                    <w:p w14:paraId="0A1D5134" w14:textId="77777777" w:rsidR="00B561ED" w:rsidRPr="00CF44A2" w:rsidRDefault="00B561ED" w:rsidP="00B561ED">
                      <w:pPr>
                        <w:spacing w:after="0"/>
                        <w:rPr>
                          <w:rFonts w:eastAsiaTheme="minorEastAsia"/>
                          <w:i/>
                          <w:color w:val="0070C0"/>
                        </w:rPr>
                      </w:pPr>
                      <w:r w:rsidRPr="00CF44A2">
                        <w:rPr>
                          <w:rFonts w:eastAsiaTheme="minorEastAsia"/>
                          <w:i/>
                          <w:color w:val="0070C0"/>
                        </w:rPr>
                        <w:t xml:space="preserve">Proposed WF </w:t>
                      </w:r>
                      <w:r>
                        <w:rPr>
                          <w:rFonts w:eastAsiaTheme="minorEastAsia" w:hint="eastAsia"/>
                          <w:i/>
                          <w:color w:val="0070C0"/>
                        </w:rPr>
                        <w:t>(</w:t>
                      </w:r>
                      <w:r>
                        <w:rPr>
                          <w:rFonts w:eastAsiaTheme="minorEastAsia"/>
                          <w:i/>
                          <w:color w:val="0070C0"/>
                        </w:rPr>
                        <w:t>a merged version of option 4 and 5 and some comments from operators)</w:t>
                      </w:r>
                    </w:p>
                    <w:p w14:paraId="21C0F542" w14:textId="77777777" w:rsidR="00B561ED" w:rsidRPr="006C1C51" w:rsidRDefault="00B561ED" w:rsidP="00B561ED">
                      <w:pPr>
                        <w:numPr>
                          <w:ilvl w:val="0"/>
                          <w:numId w:val="20"/>
                        </w:numPr>
                        <w:overflowPunct/>
                        <w:autoSpaceDE/>
                        <w:autoSpaceDN/>
                        <w:adjustRightInd/>
                        <w:spacing w:after="120" w:line="259" w:lineRule="auto"/>
                        <w:jc w:val="both"/>
                        <w:textAlignment w:val="auto"/>
                        <w:rPr>
                          <w:b/>
                          <w:i/>
                        </w:rPr>
                      </w:pPr>
                      <w:r w:rsidRPr="006C1C51">
                        <w:rPr>
                          <w:b/>
                          <w:i/>
                        </w:rPr>
                        <w:t>Simultaneous Rx</w:t>
                      </w:r>
                      <w:r>
                        <w:rPr>
                          <w:b/>
                          <w:i/>
                        </w:rPr>
                        <w:t>/</w:t>
                      </w:r>
                      <w:r w:rsidRPr="006C1C51">
                        <w:rPr>
                          <w:b/>
                          <w:i/>
                        </w:rPr>
                        <w:t>Tx is the default capability in FDD-TDD FR1 band combinations</w:t>
                      </w:r>
                    </w:p>
                    <w:p w14:paraId="028DB5C1"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 xml:space="preserve">For TDD-FDD combinations, the capability </w:t>
                      </w:r>
                      <w:r>
                        <w:rPr>
                          <w:b/>
                          <w:i/>
                        </w:rPr>
                        <w:t xml:space="preserve">is </w:t>
                      </w:r>
                      <w:r w:rsidRPr="006C1C51">
                        <w:rPr>
                          <w:b/>
                          <w:i/>
                        </w:rPr>
                        <w:t>mandatory</w:t>
                      </w:r>
                      <w:r>
                        <w:rPr>
                          <w:b/>
                          <w:i/>
                        </w:rPr>
                        <w:t xml:space="preserve"> without checking</w:t>
                      </w:r>
                      <w:r w:rsidRPr="006C1C51">
                        <w:rPr>
                          <w:b/>
                          <w:i/>
                        </w:rPr>
                        <w:t xml:space="preserve"> if </w:t>
                      </w:r>
                      <w:r>
                        <w:rPr>
                          <w:b/>
                          <w:i/>
                        </w:rPr>
                        <w:t>there are no MSD issues and frequency range is not adjacent to each other for the band combinations</w:t>
                      </w:r>
                    </w:p>
                    <w:p w14:paraId="0AC1DEE5" w14:textId="77777777" w:rsidR="00B561ED" w:rsidRDefault="00B561ED" w:rsidP="00B561ED">
                      <w:pPr>
                        <w:numPr>
                          <w:ilvl w:val="0"/>
                          <w:numId w:val="20"/>
                        </w:numPr>
                        <w:overflowPunct/>
                        <w:autoSpaceDE/>
                        <w:autoSpaceDN/>
                        <w:adjustRightInd/>
                        <w:spacing w:after="120" w:line="259" w:lineRule="auto"/>
                        <w:jc w:val="both"/>
                        <w:textAlignment w:val="auto"/>
                        <w:rPr>
                          <w:b/>
                          <w:i/>
                        </w:rPr>
                      </w:pPr>
                      <w:r w:rsidRPr="006C1C51">
                        <w:rPr>
                          <w:b/>
                          <w:i/>
                        </w:rPr>
                        <w:t>For TDD-FDD combinations</w:t>
                      </w:r>
                      <w:r>
                        <w:rPr>
                          <w:b/>
                          <w:i/>
                        </w:rPr>
                        <w:t xml:space="preserve"> with REFSENS degradation due to self-interference</w:t>
                      </w:r>
                      <w:r w:rsidRPr="006C1C51">
                        <w:rPr>
                          <w:b/>
                          <w:i/>
                        </w:rPr>
                        <w:t xml:space="preserve">, </w:t>
                      </w:r>
                      <w:r>
                        <w:rPr>
                          <w:b/>
                          <w:i/>
                        </w:rPr>
                        <w:t xml:space="preserve">MSD caused by harmonics/IMD, etc. should be defined. </w:t>
                      </w:r>
                      <w:r>
                        <w:rPr>
                          <w:rFonts w:eastAsia="游明朝"/>
                          <w:b/>
                          <w:i/>
                        </w:rPr>
                        <w:t>For some band combinations that are close in frequency, e.g. bands n7 and n38, other methods to mitigate interference can be considered as well. Simultaneous Rx/Tx capability for this kind of special cases could be handled separately from those having MSD issues.</w:t>
                      </w:r>
                    </w:p>
                    <w:p w14:paraId="27C86F40" w14:textId="42AD3B1F" w:rsidR="008E42BF" w:rsidRPr="00B561ED" w:rsidRDefault="00B561ED" w:rsidP="00B561ED">
                      <w:pPr>
                        <w:numPr>
                          <w:ilvl w:val="0"/>
                          <w:numId w:val="20"/>
                        </w:numPr>
                        <w:overflowPunct/>
                        <w:autoSpaceDE/>
                        <w:autoSpaceDN/>
                        <w:adjustRightInd/>
                        <w:spacing w:after="120" w:line="259" w:lineRule="auto"/>
                        <w:jc w:val="both"/>
                        <w:textAlignment w:val="auto"/>
                        <w:rPr>
                          <w:b/>
                          <w:i/>
                        </w:rPr>
                      </w:pPr>
                      <w:r w:rsidRPr="00B561ED">
                        <w:rPr>
                          <w:b/>
                          <w:i/>
                        </w:rPr>
                        <w:t>For band combinations whose MSD is larger than a threshold (value FFS), further discuss whether simultaneous Rx/Tx can be changed to optional, otherwise, the simultaneous Rx/Tx capability is mandatory support.</w:t>
                      </w:r>
                    </w:p>
                  </w:txbxContent>
                </v:textbox>
                <w10:wrap type="topAndBottom"/>
              </v:shape>
            </w:pict>
          </mc:Fallback>
        </mc:AlternateContent>
      </w:r>
      <w:r w:rsidR="00A23F24">
        <w:rPr>
          <w:rFonts w:eastAsiaTheme="minorEastAsia"/>
          <w:lang w:val="en-GB" w:eastAsia="ja-JP"/>
        </w:rPr>
        <w:t>As described in the WF, the threshold value is still under the discussion and it will be related to the MSD value. When we check the simultaneous Rx/Tx capability in the spec, some band combinations have already specified as mandatory support. The largest MSD value in those band combinations is 29.8</w:t>
      </w:r>
      <w:r w:rsidR="005143B2">
        <w:rPr>
          <w:rFonts w:eastAsiaTheme="minorEastAsia"/>
          <w:lang w:val="en-GB" w:eastAsia="ja-JP"/>
        </w:rPr>
        <w:t xml:space="preserve">(2 antenna ports) </w:t>
      </w:r>
      <w:r w:rsidR="00A23F24">
        <w:rPr>
          <w:rFonts w:eastAsiaTheme="minorEastAsia"/>
          <w:lang w:val="en-GB" w:eastAsia="ja-JP"/>
        </w:rPr>
        <w:t>/</w:t>
      </w:r>
      <w:r w:rsidR="005143B2">
        <w:rPr>
          <w:rFonts w:eastAsiaTheme="minorEastAsia"/>
          <w:lang w:val="en-GB" w:eastAsia="ja-JP"/>
        </w:rPr>
        <w:t xml:space="preserve"> 32.5(4 antenna ports) dBm. It is the case of IMD2 for CA_n1-n77. </w:t>
      </w:r>
    </w:p>
    <w:p w14:paraId="66E0E77F" w14:textId="50A385D3" w:rsidR="00DF31C0" w:rsidRDefault="00DF31C0">
      <w:pPr>
        <w:spacing w:after="0"/>
        <w:rPr>
          <w:rFonts w:eastAsiaTheme="minorEastAsia"/>
          <w:lang w:eastAsia="ja-JP"/>
        </w:rPr>
      </w:pPr>
    </w:p>
    <w:p w14:paraId="2C51C539" w14:textId="0AE1488E" w:rsidR="00DF31C0" w:rsidRPr="00C60778" w:rsidRDefault="00DF31C0">
      <w:pPr>
        <w:spacing w:after="0"/>
        <w:rPr>
          <w:rFonts w:eastAsiaTheme="minorEastAsia"/>
          <w:b/>
          <w:bCs/>
          <w:lang w:eastAsia="ja-JP"/>
        </w:rPr>
      </w:pPr>
      <w:r w:rsidRPr="005F637D">
        <w:rPr>
          <w:rFonts w:eastAsiaTheme="minorEastAsia" w:hint="eastAsia"/>
          <w:b/>
          <w:bCs/>
          <w:lang w:eastAsia="ja-JP"/>
        </w:rPr>
        <w:t>O</w:t>
      </w:r>
      <w:r w:rsidRPr="005F637D">
        <w:rPr>
          <w:rFonts w:eastAsiaTheme="minorEastAsia"/>
          <w:b/>
          <w:bCs/>
          <w:lang w:eastAsia="ja-JP"/>
        </w:rPr>
        <w:t>bservation</w:t>
      </w:r>
      <w:r w:rsidR="00D02135">
        <w:rPr>
          <w:rFonts w:eastAsiaTheme="minorEastAsia"/>
          <w:b/>
          <w:bCs/>
          <w:lang w:eastAsia="ja-JP"/>
        </w:rPr>
        <w:t xml:space="preserve"> 1</w:t>
      </w:r>
      <w:r w:rsidRPr="005F637D">
        <w:rPr>
          <w:rFonts w:eastAsiaTheme="minorEastAsia"/>
          <w:b/>
          <w:bCs/>
          <w:lang w:eastAsia="ja-JP"/>
        </w:rPr>
        <w:t xml:space="preserve">: </w:t>
      </w:r>
      <w:r w:rsidR="00C60778">
        <w:rPr>
          <w:rFonts w:eastAsiaTheme="minorEastAsia"/>
          <w:b/>
          <w:bCs/>
          <w:lang w:eastAsia="ja-JP"/>
        </w:rPr>
        <w:t xml:space="preserve">Some band combinations have already specified as the simultaneous Rx/Tx capability is mandatory support. The maximum MSD value in those band combinations is </w:t>
      </w:r>
      <w:r w:rsidR="005143B2" w:rsidRPr="005143B2">
        <w:rPr>
          <w:rFonts w:eastAsiaTheme="minorEastAsia"/>
          <w:b/>
          <w:bCs/>
          <w:lang w:eastAsia="ja-JP"/>
        </w:rPr>
        <w:t>29.8(2 antenna ports) / 32.5(4 antenna ports) dBm</w:t>
      </w:r>
      <w:r w:rsidR="005143B2">
        <w:rPr>
          <w:rFonts w:eastAsiaTheme="minorEastAsia"/>
          <w:b/>
          <w:bCs/>
          <w:lang w:eastAsia="ja-JP"/>
        </w:rPr>
        <w:t xml:space="preserve">. </w:t>
      </w:r>
    </w:p>
    <w:p w14:paraId="5CAC14B7" w14:textId="7FA93916" w:rsidR="00DF31C0" w:rsidRDefault="00DF31C0">
      <w:pPr>
        <w:spacing w:after="0"/>
        <w:rPr>
          <w:rFonts w:eastAsiaTheme="minorEastAsia"/>
          <w:lang w:eastAsia="ja-JP"/>
        </w:rPr>
      </w:pPr>
    </w:p>
    <w:p w14:paraId="1A000877" w14:textId="1900331C" w:rsidR="00D02135" w:rsidRDefault="00AD4699">
      <w:pPr>
        <w:spacing w:after="0"/>
        <w:rPr>
          <w:rFonts w:eastAsiaTheme="minorEastAsia"/>
          <w:lang w:eastAsia="ja-JP"/>
        </w:rPr>
      </w:pPr>
      <w:r>
        <w:rPr>
          <w:rFonts w:eastAsiaTheme="minorEastAsia" w:hint="eastAsia"/>
          <w:lang w:eastAsia="ja-JP"/>
        </w:rPr>
        <w:t>W</w:t>
      </w:r>
      <w:r w:rsidR="00D02135">
        <w:rPr>
          <w:rFonts w:eastAsiaTheme="minorEastAsia"/>
          <w:lang w:eastAsia="ja-JP"/>
        </w:rPr>
        <w:t>e have already discussed on this threshold issue for several meeting</w:t>
      </w:r>
      <w:r w:rsidR="007906C3">
        <w:rPr>
          <w:rFonts w:eastAsiaTheme="minorEastAsia"/>
          <w:lang w:eastAsia="ja-JP"/>
        </w:rPr>
        <w:t>s</w:t>
      </w:r>
      <w:r w:rsidR="00D02135">
        <w:rPr>
          <w:rFonts w:eastAsiaTheme="minorEastAsia"/>
          <w:lang w:eastAsia="ja-JP"/>
        </w:rPr>
        <w:t xml:space="preserve">, but </w:t>
      </w:r>
      <w:r>
        <w:rPr>
          <w:rFonts w:eastAsiaTheme="minorEastAsia"/>
          <w:lang w:eastAsia="ja-JP"/>
        </w:rPr>
        <w:t xml:space="preserve">FDD-TDD band combination that cannot support </w:t>
      </w:r>
      <w:r>
        <w:rPr>
          <w:rFonts w:eastAsiaTheme="minorEastAsia"/>
          <w:lang w:eastAsia="ja-JP"/>
        </w:rPr>
        <w:t>the</w:t>
      </w:r>
      <w:r w:rsidRPr="00D02135">
        <w:rPr>
          <w:rFonts w:eastAsiaTheme="minorEastAsia"/>
          <w:lang w:eastAsia="ja-JP"/>
        </w:rPr>
        <w:t xml:space="preserve"> simultaneous Rx/Tx operation</w:t>
      </w:r>
      <w:r w:rsidR="0007067E">
        <w:rPr>
          <w:rFonts w:eastAsiaTheme="minorEastAsia"/>
          <w:lang w:eastAsia="ja-JP"/>
        </w:rPr>
        <w:t xml:space="preserve"> </w:t>
      </w:r>
      <w:r>
        <w:rPr>
          <w:rFonts w:eastAsiaTheme="minorEastAsia"/>
          <w:lang w:eastAsia="ja-JP"/>
        </w:rPr>
        <w:t>is</w:t>
      </w:r>
      <w:r w:rsidR="0007067E">
        <w:rPr>
          <w:rFonts w:eastAsiaTheme="minorEastAsia"/>
          <w:lang w:eastAsia="ja-JP"/>
        </w:rPr>
        <w:t xml:space="preserve"> not </w:t>
      </w:r>
      <w:r>
        <w:rPr>
          <w:rFonts w:eastAsiaTheme="minorEastAsia"/>
          <w:lang w:eastAsia="ja-JP"/>
        </w:rPr>
        <w:t>confirmed</w:t>
      </w:r>
      <w:r w:rsidR="0007067E">
        <w:rPr>
          <w:rFonts w:eastAsiaTheme="minorEastAsia"/>
          <w:lang w:eastAsia="ja-JP"/>
        </w:rPr>
        <w:t xml:space="preserve"> </w:t>
      </w:r>
      <w:r>
        <w:rPr>
          <w:rFonts w:eastAsiaTheme="minorEastAsia"/>
          <w:lang w:eastAsia="ja-JP"/>
        </w:rPr>
        <w:t>yet</w:t>
      </w:r>
      <w:r w:rsidR="00D02135">
        <w:rPr>
          <w:rFonts w:eastAsiaTheme="minorEastAsia"/>
          <w:lang w:eastAsia="ja-JP"/>
        </w:rPr>
        <w:t xml:space="preserve">. </w:t>
      </w:r>
    </w:p>
    <w:p w14:paraId="295E82BE" w14:textId="29CA799C" w:rsidR="00F605E2" w:rsidRDefault="00F605E2">
      <w:pPr>
        <w:spacing w:after="0"/>
        <w:rPr>
          <w:rFonts w:eastAsiaTheme="minorEastAsia"/>
          <w:lang w:eastAsia="ja-JP"/>
        </w:rPr>
      </w:pPr>
    </w:p>
    <w:p w14:paraId="57A80D31" w14:textId="06E6E789" w:rsidR="00F605E2" w:rsidRDefault="00F605E2">
      <w:pPr>
        <w:spacing w:after="0"/>
        <w:rPr>
          <w:rFonts w:eastAsiaTheme="minorEastAsia"/>
          <w:lang w:eastAsia="ja-JP"/>
        </w:rPr>
      </w:pPr>
      <w:r w:rsidRPr="005F637D">
        <w:rPr>
          <w:rFonts w:eastAsiaTheme="minorEastAsia" w:hint="eastAsia"/>
          <w:b/>
          <w:bCs/>
          <w:lang w:eastAsia="ja-JP"/>
        </w:rPr>
        <w:t>O</w:t>
      </w:r>
      <w:r w:rsidRPr="005F637D">
        <w:rPr>
          <w:rFonts w:eastAsiaTheme="minorEastAsia"/>
          <w:b/>
          <w:bCs/>
          <w:lang w:eastAsia="ja-JP"/>
        </w:rPr>
        <w:t>bservation</w:t>
      </w:r>
      <w:r>
        <w:rPr>
          <w:rFonts w:eastAsiaTheme="minorEastAsia"/>
          <w:b/>
          <w:bCs/>
          <w:lang w:eastAsia="ja-JP"/>
        </w:rPr>
        <w:t xml:space="preserve"> 2</w:t>
      </w:r>
      <w:r w:rsidRPr="005F637D">
        <w:rPr>
          <w:rFonts w:eastAsiaTheme="minorEastAsia"/>
          <w:b/>
          <w:bCs/>
          <w:lang w:eastAsia="ja-JP"/>
        </w:rPr>
        <w:t>:</w:t>
      </w:r>
      <w:r w:rsidR="00AD4699" w:rsidRPr="00AD4699">
        <w:t xml:space="preserve"> </w:t>
      </w:r>
      <w:r w:rsidR="00AD4699">
        <w:rPr>
          <w:rFonts w:eastAsiaTheme="minorEastAsia"/>
          <w:b/>
          <w:bCs/>
          <w:lang w:eastAsia="ja-JP"/>
        </w:rPr>
        <w:t>FDD-TDD</w:t>
      </w:r>
      <w:r w:rsidR="00AD4699" w:rsidRPr="00AD4699">
        <w:rPr>
          <w:rFonts w:eastAsiaTheme="minorEastAsia"/>
          <w:b/>
          <w:bCs/>
          <w:lang w:eastAsia="ja-JP"/>
        </w:rPr>
        <w:t xml:space="preserve"> band combination that cannot support the simultaneous Rx/Tx operation is not confirmed yet</w:t>
      </w:r>
      <w:r w:rsidR="000338DE" w:rsidRPr="000338DE">
        <w:rPr>
          <w:rFonts w:eastAsiaTheme="minorEastAsia"/>
          <w:b/>
          <w:bCs/>
          <w:lang w:eastAsia="ja-JP"/>
        </w:rPr>
        <w:t>.</w:t>
      </w:r>
    </w:p>
    <w:p w14:paraId="67B38686" w14:textId="1B3A6055" w:rsidR="00D02135" w:rsidRDefault="00D02135">
      <w:pPr>
        <w:spacing w:after="0"/>
        <w:rPr>
          <w:rFonts w:eastAsiaTheme="minorEastAsia"/>
          <w:lang w:eastAsia="ja-JP"/>
        </w:rPr>
      </w:pPr>
    </w:p>
    <w:p w14:paraId="298E560D" w14:textId="2E6BF9A5" w:rsidR="000338DE" w:rsidRDefault="000338DE">
      <w:pPr>
        <w:spacing w:after="0"/>
        <w:rPr>
          <w:rFonts w:eastAsiaTheme="minorEastAsia"/>
          <w:lang w:eastAsia="ja-JP"/>
        </w:rPr>
      </w:pPr>
      <w:r>
        <w:rPr>
          <w:rFonts w:eastAsiaTheme="minorEastAsia" w:hint="eastAsia"/>
          <w:lang w:eastAsia="ja-JP"/>
        </w:rPr>
        <w:t>C</w:t>
      </w:r>
      <w:r>
        <w:rPr>
          <w:rFonts w:eastAsiaTheme="minorEastAsia"/>
          <w:lang w:eastAsia="ja-JP"/>
        </w:rPr>
        <w:t xml:space="preserve">onsidering the above observations, our proposal is as follows. </w:t>
      </w:r>
    </w:p>
    <w:p w14:paraId="7FB14303" w14:textId="77777777" w:rsidR="000338DE" w:rsidRPr="000338DE" w:rsidRDefault="000338DE">
      <w:pPr>
        <w:spacing w:after="0"/>
        <w:rPr>
          <w:rFonts w:eastAsiaTheme="minorEastAsia"/>
          <w:lang w:eastAsia="ja-JP"/>
        </w:rPr>
      </w:pPr>
    </w:p>
    <w:p w14:paraId="6A71B234" w14:textId="45F53A23" w:rsidR="00DA124E" w:rsidRPr="00DA124E" w:rsidRDefault="00E62738">
      <w:pPr>
        <w:spacing w:after="0"/>
        <w:rPr>
          <w:rFonts w:eastAsiaTheme="minorEastAsia"/>
          <w:b/>
          <w:bCs/>
          <w:lang w:eastAsia="ja-JP"/>
        </w:rPr>
      </w:pPr>
      <w:r>
        <w:rPr>
          <w:rFonts w:eastAsiaTheme="minorEastAsia"/>
          <w:b/>
          <w:bCs/>
          <w:lang w:eastAsia="ja-JP"/>
        </w:rPr>
        <w:t>Proposal</w:t>
      </w:r>
      <w:r w:rsidR="00BE3E9B" w:rsidRPr="00100501">
        <w:rPr>
          <w:rFonts w:eastAsiaTheme="minorEastAsia"/>
          <w:b/>
          <w:bCs/>
          <w:lang w:eastAsia="ja-JP"/>
        </w:rPr>
        <w:t xml:space="preserve">: </w:t>
      </w:r>
      <w:r w:rsidR="00614C1F">
        <w:rPr>
          <w:rFonts w:eastAsiaTheme="minorEastAsia"/>
          <w:b/>
          <w:bCs/>
          <w:lang w:eastAsia="ja-JP"/>
        </w:rPr>
        <w:t>T</w:t>
      </w:r>
      <w:r w:rsidR="008E42BF">
        <w:rPr>
          <w:rFonts w:eastAsiaTheme="minorEastAsia"/>
          <w:b/>
          <w:bCs/>
          <w:lang w:eastAsia="ja-JP"/>
        </w:rPr>
        <w:t xml:space="preserve">he </w:t>
      </w:r>
      <w:r w:rsidR="00C60778">
        <w:rPr>
          <w:rFonts w:eastAsiaTheme="minorEastAsia"/>
          <w:b/>
          <w:bCs/>
          <w:lang w:eastAsia="ja-JP"/>
        </w:rPr>
        <w:t xml:space="preserve">threshold should be higher than </w:t>
      </w:r>
      <w:r w:rsidR="005143B2" w:rsidRPr="005143B2">
        <w:rPr>
          <w:rFonts w:eastAsiaTheme="minorEastAsia"/>
          <w:b/>
          <w:bCs/>
          <w:lang w:eastAsia="ja-JP"/>
        </w:rPr>
        <w:t>29.8(2 antenna ports) / 32.5(4 antenna ports)</w:t>
      </w:r>
      <w:r w:rsidR="00C60778">
        <w:rPr>
          <w:rFonts w:eastAsiaTheme="minorEastAsia"/>
          <w:b/>
          <w:bCs/>
          <w:lang w:eastAsia="ja-JP"/>
        </w:rPr>
        <w:t xml:space="preserve"> dBm</w:t>
      </w:r>
      <w:r w:rsidR="008E42BF">
        <w:rPr>
          <w:rFonts w:eastAsiaTheme="minorEastAsia"/>
          <w:b/>
          <w:bCs/>
          <w:lang w:eastAsia="ja-JP"/>
        </w:rPr>
        <w:t xml:space="preserve">. </w:t>
      </w:r>
    </w:p>
    <w:p w14:paraId="78B9D9AA" w14:textId="77777777" w:rsidR="003E778B" w:rsidRDefault="00BF07FC">
      <w:pPr>
        <w:pStyle w:val="1"/>
      </w:pPr>
      <w:r>
        <w:t>Conclusions</w:t>
      </w:r>
    </w:p>
    <w:p w14:paraId="0CE04D51" w14:textId="5B2FE7BA" w:rsidR="003E778B" w:rsidRDefault="00BF07FC">
      <w:pPr>
        <w:spacing w:after="0"/>
        <w:jc w:val="both"/>
      </w:pPr>
      <w:r>
        <w:t xml:space="preserve">In this contribution, we </w:t>
      </w:r>
      <w:r w:rsidR="00A62DB1">
        <w:t xml:space="preserve">shared our view for </w:t>
      </w:r>
      <w:r w:rsidR="00B561ED">
        <w:t xml:space="preserve">the </w:t>
      </w:r>
      <w:r w:rsidR="00B561ED">
        <w:rPr>
          <w:rFonts w:eastAsiaTheme="minorEastAsia"/>
          <w:lang w:eastAsia="ja-JP"/>
        </w:rPr>
        <w:t>MSD threshold</w:t>
      </w:r>
      <w:r w:rsidR="00B561ED" w:rsidRPr="00A62DB1">
        <w:t xml:space="preserve"> </w:t>
      </w:r>
      <w:r w:rsidR="00B561ED" w:rsidRPr="00A4497B">
        <w:rPr>
          <w:rFonts w:eastAsiaTheme="minorEastAsia"/>
          <w:lang w:eastAsia="ja-JP"/>
        </w:rPr>
        <w:t>for FR1+FR1 FDD-TDD band combination</w:t>
      </w:r>
      <w:r>
        <w:rPr>
          <w:rFonts w:eastAsia="SimSun"/>
          <w:lang w:eastAsia="zh-CN"/>
        </w:rPr>
        <w:t>.</w:t>
      </w:r>
    </w:p>
    <w:p w14:paraId="16B87BD6" w14:textId="77777777" w:rsidR="003E778B" w:rsidRDefault="003E778B">
      <w:pPr>
        <w:spacing w:after="0"/>
        <w:jc w:val="both"/>
        <w:rPr>
          <w:b/>
          <w:bCs/>
        </w:rPr>
      </w:pPr>
    </w:p>
    <w:p w14:paraId="1864B4D8" w14:textId="7A532871" w:rsidR="005143B2" w:rsidRPr="00C60778" w:rsidRDefault="005143B2" w:rsidP="005143B2">
      <w:pPr>
        <w:spacing w:after="0"/>
        <w:rPr>
          <w:rFonts w:eastAsiaTheme="minorEastAsia"/>
          <w:b/>
          <w:bCs/>
          <w:lang w:eastAsia="ja-JP"/>
        </w:rPr>
      </w:pPr>
      <w:r w:rsidRPr="005F637D">
        <w:rPr>
          <w:rFonts w:eastAsiaTheme="minorEastAsia" w:hint="eastAsia"/>
          <w:b/>
          <w:bCs/>
          <w:lang w:eastAsia="ja-JP"/>
        </w:rPr>
        <w:t>O</w:t>
      </w:r>
      <w:r w:rsidRPr="005F637D">
        <w:rPr>
          <w:rFonts w:eastAsiaTheme="minorEastAsia"/>
          <w:b/>
          <w:bCs/>
          <w:lang w:eastAsia="ja-JP"/>
        </w:rPr>
        <w:t>bservation</w:t>
      </w:r>
      <w:r w:rsidR="000338DE">
        <w:rPr>
          <w:rFonts w:eastAsiaTheme="minorEastAsia"/>
          <w:b/>
          <w:bCs/>
          <w:lang w:eastAsia="ja-JP"/>
        </w:rPr>
        <w:t xml:space="preserve"> 1</w:t>
      </w:r>
      <w:r w:rsidRPr="005F637D">
        <w:rPr>
          <w:rFonts w:eastAsiaTheme="minorEastAsia"/>
          <w:b/>
          <w:bCs/>
          <w:lang w:eastAsia="ja-JP"/>
        </w:rPr>
        <w:t xml:space="preserve">: </w:t>
      </w:r>
      <w:r>
        <w:rPr>
          <w:rFonts w:eastAsiaTheme="minorEastAsia"/>
          <w:b/>
          <w:bCs/>
          <w:lang w:eastAsia="ja-JP"/>
        </w:rPr>
        <w:t xml:space="preserve">Some band combinations have already specified as the simultaneous Rx/Tx capability is mandatory support. The maximum MSD value in those band combinations is </w:t>
      </w:r>
      <w:r w:rsidRPr="005143B2">
        <w:rPr>
          <w:rFonts w:eastAsiaTheme="minorEastAsia"/>
          <w:b/>
          <w:bCs/>
          <w:lang w:eastAsia="ja-JP"/>
        </w:rPr>
        <w:t>29.8(2 antenna ports) / 32.5(4 antenna ports) dBm</w:t>
      </w:r>
      <w:r>
        <w:rPr>
          <w:rFonts w:eastAsiaTheme="minorEastAsia"/>
          <w:b/>
          <w:bCs/>
          <w:lang w:eastAsia="ja-JP"/>
        </w:rPr>
        <w:t xml:space="preserve">. </w:t>
      </w:r>
    </w:p>
    <w:p w14:paraId="69B41861" w14:textId="272F9805" w:rsidR="00A62DB1" w:rsidRDefault="000338DE" w:rsidP="00A62DB1">
      <w:pPr>
        <w:spacing w:after="0"/>
        <w:rPr>
          <w:rFonts w:eastAsiaTheme="minorEastAsia"/>
          <w:b/>
          <w:bCs/>
          <w:lang w:eastAsia="ja-JP"/>
        </w:rPr>
      </w:pPr>
      <w:r w:rsidRPr="005F637D">
        <w:rPr>
          <w:rFonts w:eastAsiaTheme="minorEastAsia" w:hint="eastAsia"/>
          <w:b/>
          <w:bCs/>
          <w:lang w:eastAsia="ja-JP"/>
        </w:rPr>
        <w:t>O</w:t>
      </w:r>
      <w:r w:rsidRPr="005F637D">
        <w:rPr>
          <w:rFonts w:eastAsiaTheme="minorEastAsia"/>
          <w:b/>
          <w:bCs/>
          <w:lang w:eastAsia="ja-JP"/>
        </w:rPr>
        <w:t>bservation</w:t>
      </w:r>
      <w:r>
        <w:rPr>
          <w:rFonts w:eastAsiaTheme="minorEastAsia"/>
          <w:b/>
          <w:bCs/>
          <w:lang w:eastAsia="ja-JP"/>
        </w:rPr>
        <w:t xml:space="preserve"> 2</w:t>
      </w:r>
      <w:r w:rsidRPr="005F637D">
        <w:rPr>
          <w:rFonts w:eastAsiaTheme="minorEastAsia"/>
          <w:b/>
          <w:bCs/>
          <w:lang w:eastAsia="ja-JP"/>
        </w:rPr>
        <w:t>:</w:t>
      </w:r>
      <w:r w:rsidRPr="000338DE">
        <w:rPr>
          <w:rFonts w:eastAsiaTheme="minorEastAsia"/>
          <w:b/>
          <w:bCs/>
          <w:lang w:eastAsia="ja-JP"/>
        </w:rPr>
        <w:t xml:space="preserve"> </w:t>
      </w:r>
      <w:r w:rsidR="005220EC">
        <w:rPr>
          <w:rFonts w:eastAsiaTheme="minorEastAsia"/>
          <w:b/>
          <w:bCs/>
          <w:lang w:eastAsia="ja-JP"/>
        </w:rPr>
        <w:t>FDD-TDD</w:t>
      </w:r>
      <w:r w:rsidR="005220EC" w:rsidRPr="00AD4699">
        <w:rPr>
          <w:rFonts w:eastAsiaTheme="minorEastAsia"/>
          <w:b/>
          <w:bCs/>
          <w:lang w:eastAsia="ja-JP"/>
        </w:rPr>
        <w:t xml:space="preserve"> band combination that cannot support the simultaneous Rx/Tx operation is not confirmed yet</w:t>
      </w:r>
      <w:r w:rsidR="005220EC" w:rsidRPr="000338DE">
        <w:rPr>
          <w:rFonts w:eastAsiaTheme="minorEastAsia"/>
          <w:b/>
          <w:bCs/>
          <w:lang w:eastAsia="ja-JP"/>
        </w:rPr>
        <w:t>.</w:t>
      </w:r>
    </w:p>
    <w:p w14:paraId="67E7B4F5" w14:textId="77777777" w:rsidR="003B08F7" w:rsidRPr="006D4ED3" w:rsidRDefault="003B08F7" w:rsidP="00A62DB1">
      <w:pPr>
        <w:spacing w:after="0"/>
        <w:rPr>
          <w:rFonts w:eastAsiaTheme="minorEastAsia"/>
          <w:lang w:eastAsia="ja-JP"/>
        </w:rPr>
      </w:pPr>
    </w:p>
    <w:p w14:paraId="6A58B055" w14:textId="4DFB866C" w:rsidR="004F09A6" w:rsidRPr="00DA124E" w:rsidRDefault="0035185C" w:rsidP="004F09A6">
      <w:pPr>
        <w:spacing w:after="0"/>
        <w:rPr>
          <w:rFonts w:eastAsiaTheme="minorEastAsia"/>
          <w:b/>
          <w:bCs/>
          <w:lang w:eastAsia="ja-JP"/>
        </w:rPr>
      </w:pPr>
      <w:r>
        <w:rPr>
          <w:rFonts w:eastAsiaTheme="minorEastAsia"/>
          <w:b/>
          <w:bCs/>
          <w:lang w:eastAsia="ja-JP"/>
        </w:rPr>
        <w:t>Proposal</w:t>
      </w:r>
      <w:r w:rsidRPr="00100501">
        <w:rPr>
          <w:rFonts w:eastAsiaTheme="minorEastAsia"/>
          <w:b/>
          <w:bCs/>
          <w:lang w:eastAsia="ja-JP"/>
        </w:rPr>
        <w:t xml:space="preserve">: </w:t>
      </w:r>
      <w:r>
        <w:rPr>
          <w:rFonts w:eastAsiaTheme="minorEastAsia"/>
          <w:b/>
          <w:bCs/>
          <w:lang w:eastAsia="ja-JP"/>
        </w:rPr>
        <w:t xml:space="preserve">The threshold should be higher than </w:t>
      </w:r>
      <w:r w:rsidRPr="005143B2">
        <w:rPr>
          <w:rFonts w:eastAsiaTheme="minorEastAsia"/>
          <w:b/>
          <w:bCs/>
          <w:lang w:eastAsia="ja-JP"/>
        </w:rPr>
        <w:t>29.8(2 antenna ports) / 32.5(4 antenna ports)</w:t>
      </w:r>
      <w:r>
        <w:rPr>
          <w:rFonts w:eastAsiaTheme="minorEastAsia"/>
          <w:b/>
          <w:bCs/>
          <w:lang w:eastAsia="ja-JP"/>
        </w:rPr>
        <w:t xml:space="preserve"> dBm. </w:t>
      </w:r>
    </w:p>
    <w:p w14:paraId="0970756F" w14:textId="77777777" w:rsidR="003E778B" w:rsidRDefault="00BF07FC">
      <w:pPr>
        <w:pStyle w:val="1"/>
        <w:numPr>
          <w:ilvl w:val="0"/>
          <w:numId w:val="0"/>
        </w:numPr>
        <w:jc w:val="both"/>
      </w:pPr>
      <w:r>
        <w:t>References</w:t>
      </w:r>
    </w:p>
    <w:p w14:paraId="7B1DDEB0" w14:textId="5CDB5959" w:rsidR="007B5589" w:rsidRDefault="00BF07FC">
      <w:r>
        <w:t>[1]</w:t>
      </w:r>
      <w:r>
        <w:tab/>
      </w:r>
      <w:r w:rsidR="007B5589">
        <w:t>R4-2</w:t>
      </w:r>
      <w:r w:rsidR="00D45EF2">
        <w:t>1</w:t>
      </w:r>
      <w:r w:rsidR="007B5589">
        <w:t>1</w:t>
      </w:r>
      <w:r w:rsidR="00D45EF2">
        <w:t>49</w:t>
      </w:r>
      <w:r w:rsidR="00A4497B">
        <w:t>46</w:t>
      </w:r>
      <w:r w:rsidR="007B5589">
        <w:t>,</w:t>
      </w:r>
      <w:r w:rsidR="00D45EF2">
        <w:t xml:space="preserve"> </w:t>
      </w:r>
      <w:r w:rsidR="007B5589">
        <w:t xml:space="preserve"> </w:t>
      </w:r>
      <w:r w:rsidR="00A4497B" w:rsidRPr="00A4497B">
        <w:t>WF on Simultaneous Rx/Tx</w:t>
      </w:r>
      <w:r w:rsidR="007B5589">
        <w:t xml:space="preserve">, </w:t>
      </w:r>
      <w:r w:rsidR="00D45EF2">
        <w:t xml:space="preserve"> </w:t>
      </w:r>
      <w:r w:rsidR="00D45EF2" w:rsidRPr="00D45EF2">
        <w:t xml:space="preserve">Huawei, </w:t>
      </w:r>
      <w:proofErr w:type="spellStart"/>
      <w:r w:rsidR="00D45EF2" w:rsidRPr="00D45EF2">
        <w:t>HiSilicon</w:t>
      </w:r>
      <w:proofErr w:type="spellEnd"/>
      <w:r w:rsidR="00D45EF2" w:rsidRPr="00D45EF2">
        <w:t xml:space="preserve">, </w:t>
      </w:r>
      <w:r w:rsidR="007B5589">
        <w:t>RAN4#</w:t>
      </w:r>
      <w:r w:rsidR="00D45EF2">
        <w:t>100</w:t>
      </w:r>
      <w:r w:rsidR="007B5589">
        <w:t>-e</w:t>
      </w:r>
    </w:p>
    <w:sectPr w:rsidR="007B5589">
      <w:footerReference w:type="default" r:id="rId8"/>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4B01F" w14:textId="77777777" w:rsidR="0022540A" w:rsidRDefault="0022540A">
      <w:r>
        <w:separator/>
      </w:r>
    </w:p>
  </w:endnote>
  <w:endnote w:type="continuationSeparator" w:id="0">
    <w:p w14:paraId="374E7C0A" w14:textId="77777777" w:rsidR="0022540A" w:rsidRDefault="0022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CC49" w14:textId="77777777" w:rsidR="003E778B" w:rsidRDefault="00BF07F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382A3" w14:textId="77777777" w:rsidR="0022540A" w:rsidRDefault="0022540A">
      <w:r>
        <w:separator/>
      </w:r>
    </w:p>
  </w:footnote>
  <w:footnote w:type="continuationSeparator" w:id="0">
    <w:p w14:paraId="112C89A1" w14:textId="77777777" w:rsidR="0022540A" w:rsidRDefault="00225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85F2F"/>
    <w:multiLevelType w:val="hybridMultilevel"/>
    <w:tmpl w:val="D474251E"/>
    <w:lvl w:ilvl="0" w:tplc="66E275D8">
      <w:start w:val="1"/>
      <w:numFmt w:val="bullet"/>
      <w:lvlText w:val="•"/>
      <w:lvlJc w:val="left"/>
      <w:pPr>
        <w:tabs>
          <w:tab w:val="num" w:pos="720"/>
        </w:tabs>
        <w:ind w:left="720" w:hanging="360"/>
      </w:pPr>
      <w:rPr>
        <w:rFonts w:ascii="Arial" w:hAnsi="Arial" w:hint="default"/>
      </w:rPr>
    </w:lvl>
    <w:lvl w:ilvl="1" w:tplc="56069646">
      <w:start w:val="1"/>
      <w:numFmt w:val="bullet"/>
      <w:lvlText w:val="•"/>
      <w:lvlJc w:val="left"/>
      <w:pPr>
        <w:tabs>
          <w:tab w:val="num" w:pos="1440"/>
        </w:tabs>
        <w:ind w:left="1440" w:hanging="360"/>
      </w:pPr>
      <w:rPr>
        <w:rFonts w:ascii="Arial" w:hAnsi="Arial" w:hint="default"/>
      </w:rPr>
    </w:lvl>
    <w:lvl w:ilvl="2" w:tplc="823A5B0E">
      <w:numFmt w:val="none"/>
      <w:lvlText w:val=""/>
      <w:lvlJc w:val="left"/>
      <w:pPr>
        <w:tabs>
          <w:tab w:val="num" w:pos="360"/>
        </w:tabs>
      </w:pPr>
    </w:lvl>
    <w:lvl w:ilvl="3" w:tplc="84EE451A" w:tentative="1">
      <w:start w:val="1"/>
      <w:numFmt w:val="bullet"/>
      <w:lvlText w:val="•"/>
      <w:lvlJc w:val="left"/>
      <w:pPr>
        <w:tabs>
          <w:tab w:val="num" w:pos="2880"/>
        </w:tabs>
        <w:ind w:left="2880" w:hanging="360"/>
      </w:pPr>
      <w:rPr>
        <w:rFonts w:ascii="Arial" w:hAnsi="Arial" w:hint="default"/>
      </w:rPr>
    </w:lvl>
    <w:lvl w:ilvl="4" w:tplc="5C24506A" w:tentative="1">
      <w:start w:val="1"/>
      <w:numFmt w:val="bullet"/>
      <w:lvlText w:val="•"/>
      <w:lvlJc w:val="left"/>
      <w:pPr>
        <w:tabs>
          <w:tab w:val="num" w:pos="3600"/>
        </w:tabs>
        <w:ind w:left="3600" w:hanging="360"/>
      </w:pPr>
      <w:rPr>
        <w:rFonts w:ascii="Arial" w:hAnsi="Arial" w:hint="default"/>
      </w:rPr>
    </w:lvl>
    <w:lvl w:ilvl="5" w:tplc="5E740E86" w:tentative="1">
      <w:start w:val="1"/>
      <w:numFmt w:val="bullet"/>
      <w:lvlText w:val="•"/>
      <w:lvlJc w:val="left"/>
      <w:pPr>
        <w:tabs>
          <w:tab w:val="num" w:pos="4320"/>
        </w:tabs>
        <w:ind w:left="4320" w:hanging="360"/>
      </w:pPr>
      <w:rPr>
        <w:rFonts w:ascii="Arial" w:hAnsi="Arial" w:hint="default"/>
      </w:rPr>
    </w:lvl>
    <w:lvl w:ilvl="6" w:tplc="86EA5900" w:tentative="1">
      <w:start w:val="1"/>
      <w:numFmt w:val="bullet"/>
      <w:lvlText w:val="•"/>
      <w:lvlJc w:val="left"/>
      <w:pPr>
        <w:tabs>
          <w:tab w:val="num" w:pos="5040"/>
        </w:tabs>
        <w:ind w:left="5040" w:hanging="360"/>
      </w:pPr>
      <w:rPr>
        <w:rFonts w:ascii="Arial" w:hAnsi="Arial" w:hint="default"/>
      </w:rPr>
    </w:lvl>
    <w:lvl w:ilvl="7" w:tplc="C722FE0A" w:tentative="1">
      <w:start w:val="1"/>
      <w:numFmt w:val="bullet"/>
      <w:lvlText w:val="•"/>
      <w:lvlJc w:val="left"/>
      <w:pPr>
        <w:tabs>
          <w:tab w:val="num" w:pos="5760"/>
        </w:tabs>
        <w:ind w:left="5760" w:hanging="360"/>
      </w:pPr>
      <w:rPr>
        <w:rFonts w:ascii="Arial" w:hAnsi="Arial" w:hint="default"/>
      </w:rPr>
    </w:lvl>
    <w:lvl w:ilvl="8" w:tplc="72CC88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216676"/>
    <w:multiLevelType w:val="hybridMultilevel"/>
    <w:tmpl w:val="0BE80996"/>
    <w:lvl w:ilvl="0" w:tplc="009C98BE">
      <w:start w:val="1"/>
      <w:numFmt w:val="bullet"/>
      <w:lvlText w:val="•"/>
      <w:lvlJc w:val="left"/>
      <w:pPr>
        <w:tabs>
          <w:tab w:val="num" w:pos="720"/>
        </w:tabs>
        <w:ind w:left="720" w:hanging="360"/>
      </w:pPr>
      <w:rPr>
        <w:rFonts w:ascii="Arial" w:hAnsi="Arial" w:hint="default"/>
      </w:rPr>
    </w:lvl>
    <w:lvl w:ilvl="1" w:tplc="53B0D77E">
      <w:numFmt w:val="none"/>
      <w:lvlText w:val=""/>
      <w:lvlJc w:val="left"/>
      <w:pPr>
        <w:tabs>
          <w:tab w:val="num" w:pos="360"/>
        </w:tabs>
      </w:pPr>
    </w:lvl>
    <w:lvl w:ilvl="2" w:tplc="77625870">
      <w:numFmt w:val="none"/>
      <w:lvlText w:val=""/>
      <w:lvlJc w:val="left"/>
      <w:pPr>
        <w:tabs>
          <w:tab w:val="num" w:pos="360"/>
        </w:tabs>
      </w:pPr>
    </w:lvl>
    <w:lvl w:ilvl="3" w:tplc="4BAA37F6" w:tentative="1">
      <w:start w:val="1"/>
      <w:numFmt w:val="bullet"/>
      <w:lvlText w:val="•"/>
      <w:lvlJc w:val="left"/>
      <w:pPr>
        <w:tabs>
          <w:tab w:val="num" w:pos="2880"/>
        </w:tabs>
        <w:ind w:left="2880" w:hanging="360"/>
      </w:pPr>
      <w:rPr>
        <w:rFonts w:ascii="Arial" w:hAnsi="Arial" w:hint="default"/>
      </w:rPr>
    </w:lvl>
    <w:lvl w:ilvl="4" w:tplc="51FE0FDE" w:tentative="1">
      <w:start w:val="1"/>
      <w:numFmt w:val="bullet"/>
      <w:lvlText w:val="•"/>
      <w:lvlJc w:val="left"/>
      <w:pPr>
        <w:tabs>
          <w:tab w:val="num" w:pos="3600"/>
        </w:tabs>
        <w:ind w:left="3600" w:hanging="360"/>
      </w:pPr>
      <w:rPr>
        <w:rFonts w:ascii="Arial" w:hAnsi="Arial" w:hint="default"/>
      </w:rPr>
    </w:lvl>
    <w:lvl w:ilvl="5" w:tplc="1E0E5910" w:tentative="1">
      <w:start w:val="1"/>
      <w:numFmt w:val="bullet"/>
      <w:lvlText w:val="•"/>
      <w:lvlJc w:val="left"/>
      <w:pPr>
        <w:tabs>
          <w:tab w:val="num" w:pos="4320"/>
        </w:tabs>
        <w:ind w:left="4320" w:hanging="360"/>
      </w:pPr>
      <w:rPr>
        <w:rFonts w:ascii="Arial" w:hAnsi="Arial" w:hint="default"/>
      </w:rPr>
    </w:lvl>
    <w:lvl w:ilvl="6" w:tplc="1F14A2DA" w:tentative="1">
      <w:start w:val="1"/>
      <w:numFmt w:val="bullet"/>
      <w:lvlText w:val="•"/>
      <w:lvlJc w:val="left"/>
      <w:pPr>
        <w:tabs>
          <w:tab w:val="num" w:pos="5040"/>
        </w:tabs>
        <w:ind w:left="5040" w:hanging="360"/>
      </w:pPr>
      <w:rPr>
        <w:rFonts w:ascii="Arial" w:hAnsi="Arial" w:hint="default"/>
      </w:rPr>
    </w:lvl>
    <w:lvl w:ilvl="7" w:tplc="11AAECC4" w:tentative="1">
      <w:start w:val="1"/>
      <w:numFmt w:val="bullet"/>
      <w:lvlText w:val="•"/>
      <w:lvlJc w:val="left"/>
      <w:pPr>
        <w:tabs>
          <w:tab w:val="num" w:pos="5760"/>
        </w:tabs>
        <w:ind w:left="5760" w:hanging="360"/>
      </w:pPr>
      <w:rPr>
        <w:rFonts w:ascii="Arial" w:hAnsi="Arial" w:hint="default"/>
      </w:rPr>
    </w:lvl>
    <w:lvl w:ilvl="8" w:tplc="C4823D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15:restartNumberingAfterBreak="0">
    <w:nsid w:val="35181F11"/>
    <w:multiLevelType w:val="hybridMultilevel"/>
    <w:tmpl w:val="13B69BCC"/>
    <w:lvl w:ilvl="0" w:tplc="76F28A66">
      <w:numFmt w:val="bullet"/>
      <w:lvlText w:val="-"/>
      <w:lvlJc w:val="left"/>
      <w:pPr>
        <w:ind w:left="520" w:hanging="420"/>
      </w:pPr>
      <w:rPr>
        <w:rFonts w:ascii="Times" w:eastAsia="Batang"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F3A0D1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EF24F8F"/>
    <w:multiLevelType w:val="hybridMultilevel"/>
    <w:tmpl w:val="DF541970"/>
    <w:lvl w:ilvl="0" w:tplc="522AAD90">
      <w:start w:val="1"/>
      <w:numFmt w:val="bullet"/>
      <w:lvlText w:val="•"/>
      <w:lvlJc w:val="left"/>
      <w:pPr>
        <w:tabs>
          <w:tab w:val="num" w:pos="720"/>
        </w:tabs>
        <w:ind w:left="720" w:hanging="360"/>
      </w:pPr>
      <w:rPr>
        <w:rFonts w:ascii="Arial" w:hAnsi="Arial" w:hint="default"/>
      </w:rPr>
    </w:lvl>
    <w:lvl w:ilvl="1" w:tplc="1ADE02F6">
      <w:numFmt w:val="none"/>
      <w:lvlText w:val=""/>
      <w:lvlJc w:val="left"/>
      <w:pPr>
        <w:tabs>
          <w:tab w:val="num" w:pos="360"/>
        </w:tabs>
      </w:pPr>
    </w:lvl>
    <w:lvl w:ilvl="2" w:tplc="121C3A50">
      <w:numFmt w:val="none"/>
      <w:lvlText w:val=""/>
      <w:lvlJc w:val="left"/>
      <w:pPr>
        <w:tabs>
          <w:tab w:val="num" w:pos="360"/>
        </w:tabs>
      </w:pPr>
    </w:lvl>
    <w:lvl w:ilvl="3" w:tplc="63A66904">
      <w:start w:val="1"/>
      <w:numFmt w:val="bullet"/>
      <w:lvlText w:val="•"/>
      <w:lvlJc w:val="left"/>
      <w:pPr>
        <w:tabs>
          <w:tab w:val="num" w:pos="2880"/>
        </w:tabs>
        <w:ind w:left="2880" w:hanging="360"/>
      </w:pPr>
      <w:rPr>
        <w:rFonts w:ascii="Arial" w:hAnsi="Arial" w:hint="default"/>
      </w:rPr>
    </w:lvl>
    <w:lvl w:ilvl="4" w:tplc="30743C8C">
      <w:start w:val="1"/>
      <w:numFmt w:val="bullet"/>
      <w:lvlText w:val="•"/>
      <w:lvlJc w:val="left"/>
      <w:pPr>
        <w:tabs>
          <w:tab w:val="num" w:pos="3600"/>
        </w:tabs>
        <w:ind w:left="3600" w:hanging="360"/>
      </w:pPr>
      <w:rPr>
        <w:rFonts w:ascii="Arial" w:hAnsi="Arial" w:hint="default"/>
      </w:rPr>
    </w:lvl>
    <w:lvl w:ilvl="5" w:tplc="2696BDE6" w:tentative="1">
      <w:start w:val="1"/>
      <w:numFmt w:val="bullet"/>
      <w:lvlText w:val="•"/>
      <w:lvlJc w:val="left"/>
      <w:pPr>
        <w:tabs>
          <w:tab w:val="num" w:pos="4320"/>
        </w:tabs>
        <w:ind w:left="4320" w:hanging="360"/>
      </w:pPr>
      <w:rPr>
        <w:rFonts w:ascii="Arial" w:hAnsi="Arial" w:hint="default"/>
      </w:rPr>
    </w:lvl>
    <w:lvl w:ilvl="6" w:tplc="D51879EC" w:tentative="1">
      <w:start w:val="1"/>
      <w:numFmt w:val="bullet"/>
      <w:lvlText w:val="•"/>
      <w:lvlJc w:val="left"/>
      <w:pPr>
        <w:tabs>
          <w:tab w:val="num" w:pos="5040"/>
        </w:tabs>
        <w:ind w:left="5040" w:hanging="360"/>
      </w:pPr>
      <w:rPr>
        <w:rFonts w:ascii="Arial" w:hAnsi="Arial" w:hint="default"/>
      </w:rPr>
    </w:lvl>
    <w:lvl w:ilvl="7" w:tplc="E8C091AE" w:tentative="1">
      <w:start w:val="1"/>
      <w:numFmt w:val="bullet"/>
      <w:lvlText w:val="•"/>
      <w:lvlJc w:val="left"/>
      <w:pPr>
        <w:tabs>
          <w:tab w:val="num" w:pos="5760"/>
        </w:tabs>
        <w:ind w:left="5760" w:hanging="360"/>
      </w:pPr>
      <w:rPr>
        <w:rFonts w:ascii="Arial" w:hAnsi="Arial" w:hint="default"/>
      </w:rPr>
    </w:lvl>
    <w:lvl w:ilvl="8" w:tplc="6E9006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3B4BB7"/>
    <w:multiLevelType w:val="hybridMultilevel"/>
    <w:tmpl w:val="EC508230"/>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06976F9"/>
    <w:multiLevelType w:val="hybridMultilevel"/>
    <w:tmpl w:val="24D8C5DC"/>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16424B"/>
    <w:multiLevelType w:val="hybridMultilevel"/>
    <w:tmpl w:val="E5A235B2"/>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03F3B"/>
    <w:multiLevelType w:val="hybridMultilevel"/>
    <w:tmpl w:val="9F006458"/>
    <w:lvl w:ilvl="0" w:tplc="522AAD90">
      <w:start w:val="1"/>
      <w:numFmt w:val="bullet"/>
      <w:lvlText w:val="•"/>
      <w:lvlJc w:val="left"/>
      <w:pPr>
        <w:ind w:left="704" w:hanging="420"/>
      </w:pPr>
      <w:rPr>
        <w:rFonts w:ascii="Arial" w:hAnsi="Arial" w:hint="default"/>
      </w:rPr>
    </w:lvl>
    <w:lvl w:ilvl="1" w:tplc="522AAD90">
      <w:start w:val="1"/>
      <w:numFmt w:val="bullet"/>
      <w:lvlText w:val="•"/>
      <w:lvlJc w:val="left"/>
      <w:pPr>
        <w:ind w:left="1124" w:hanging="420"/>
      </w:pPr>
      <w:rPr>
        <w:rFonts w:ascii="Arial" w:hAnsi="Arial"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8"/>
  </w:num>
  <w:num w:numId="5">
    <w:abstractNumId w:val="5"/>
  </w:num>
  <w:num w:numId="6">
    <w:abstractNumId w:val="1"/>
  </w:num>
  <w:num w:numId="7">
    <w:abstractNumId w:val="10"/>
  </w:num>
  <w:num w:numId="8">
    <w:abstractNumId w:val="16"/>
  </w:num>
  <w:num w:numId="9">
    <w:abstractNumId w:val="4"/>
  </w:num>
  <w:num w:numId="10">
    <w:abstractNumId w:val="3"/>
  </w:num>
  <w:num w:numId="11">
    <w:abstractNumId w:val="11"/>
  </w:num>
  <w:num w:numId="12">
    <w:abstractNumId w:val="0"/>
  </w:num>
  <w:num w:numId="13">
    <w:abstractNumId w:val="17"/>
  </w:num>
  <w:num w:numId="14">
    <w:abstractNumId w:val="13"/>
  </w:num>
  <w:num w:numId="15">
    <w:abstractNumId w:val="13"/>
  </w:num>
  <w:num w:numId="16">
    <w:abstractNumId w:val="12"/>
  </w:num>
  <w:num w:numId="17">
    <w:abstractNumId w:val="6"/>
  </w:num>
  <w:num w:numId="18">
    <w:abstractNumId w:val="15"/>
  </w:num>
  <w:num w:numId="19">
    <w:abstractNumId w:val="14"/>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8B"/>
    <w:rsid w:val="00015933"/>
    <w:rsid w:val="000338DE"/>
    <w:rsid w:val="00060553"/>
    <w:rsid w:val="0007067E"/>
    <w:rsid w:val="00070A8E"/>
    <w:rsid w:val="000842CE"/>
    <w:rsid w:val="000B3282"/>
    <w:rsid w:val="000B62C5"/>
    <w:rsid w:val="000D7943"/>
    <w:rsid w:val="00100501"/>
    <w:rsid w:val="00130FAC"/>
    <w:rsid w:val="00134D3F"/>
    <w:rsid w:val="001B228C"/>
    <w:rsid w:val="001D0802"/>
    <w:rsid w:val="001D6ED9"/>
    <w:rsid w:val="00205FF3"/>
    <w:rsid w:val="0022540A"/>
    <w:rsid w:val="00230EE9"/>
    <w:rsid w:val="002836FD"/>
    <w:rsid w:val="00283C8A"/>
    <w:rsid w:val="002B5734"/>
    <w:rsid w:val="002E44C9"/>
    <w:rsid w:val="00313510"/>
    <w:rsid w:val="0035185C"/>
    <w:rsid w:val="0039735B"/>
    <w:rsid w:val="003A0BF5"/>
    <w:rsid w:val="003B07DF"/>
    <w:rsid w:val="003B08F7"/>
    <w:rsid w:val="003C4B67"/>
    <w:rsid w:val="003E778B"/>
    <w:rsid w:val="00410DBA"/>
    <w:rsid w:val="004357DE"/>
    <w:rsid w:val="00474A89"/>
    <w:rsid w:val="004922A3"/>
    <w:rsid w:val="004C2D0B"/>
    <w:rsid w:val="004E1705"/>
    <w:rsid w:val="004F09A6"/>
    <w:rsid w:val="004F6C62"/>
    <w:rsid w:val="005143B2"/>
    <w:rsid w:val="005220EC"/>
    <w:rsid w:val="005429EA"/>
    <w:rsid w:val="00580C41"/>
    <w:rsid w:val="00592A08"/>
    <w:rsid w:val="005C1813"/>
    <w:rsid w:val="005C58B8"/>
    <w:rsid w:val="005F637D"/>
    <w:rsid w:val="00601E83"/>
    <w:rsid w:val="00613F8F"/>
    <w:rsid w:val="00614C1F"/>
    <w:rsid w:val="00624F56"/>
    <w:rsid w:val="006A3B93"/>
    <w:rsid w:val="006A5EC2"/>
    <w:rsid w:val="006A5F2B"/>
    <w:rsid w:val="006D0A65"/>
    <w:rsid w:val="006D1213"/>
    <w:rsid w:val="006D4ED3"/>
    <w:rsid w:val="006D51B8"/>
    <w:rsid w:val="006F6985"/>
    <w:rsid w:val="007603EB"/>
    <w:rsid w:val="007624E8"/>
    <w:rsid w:val="00770BEA"/>
    <w:rsid w:val="007906C3"/>
    <w:rsid w:val="00797C80"/>
    <w:rsid w:val="007A4E2C"/>
    <w:rsid w:val="007A56DF"/>
    <w:rsid w:val="007B5589"/>
    <w:rsid w:val="007C0347"/>
    <w:rsid w:val="007C035D"/>
    <w:rsid w:val="007E2A3F"/>
    <w:rsid w:val="007E4C87"/>
    <w:rsid w:val="007E60F9"/>
    <w:rsid w:val="00844EB9"/>
    <w:rsid w:val="00845A2D"/>
    <w:rsid w:val="00854332"/>
    <w:rsid w:val="008A6777"/>
    <w:rsid w:val="008E42BF"/>
    <w:rsid w:val="008E6710"/>
    <w:rsid w:val="00902CA8"/>
    <w:rsid w:val="009A3023"/>
    <w:rsid w:val="009C7649"/>
    <w:rsid w:val="009E7C7A"/>
    <w:rsid w:val="00A1652B"/>
    <w:rsid w:val="00A23F24"/>
    <w:rsid w:val="00A2714F"/>
    <w:rsid w:val="00A319D8"/>
    <w:rsid w:val="00A4497B"/>
    <w:rsid w:val="00A4544D"/>
    <w:rsid w:val="00A62DB1"/>
    <w:rsid w:val="00A63577"/>
    <w:rsid w:val="00A7725B"/>
    <w:rsid w:val="00A96938"/>
    <w:rsid w:val="00AB54E0"/>
    <w:rsid w:val="00AC7A66"/>
    <w:rsid w:val="00AD4699"/>
    <w:rsid w:val="00AF5842"/>
    <w:rsid w:val="00B02AF3"/>
    <w:rsid w:val="00B130DC"/>
    <w:rsid w:val="00B412D6"/>
    <w:rsid w:val="00B547CB"/>
    <w:rsid w:val="00B54EE8"/>
    <w:rsid w:val="00B561ED"/>
    <w:rsid w:val="00B865C3"/>
    <w:rsid w:val="00B90DE6"/>
    <w:rsid w:val="00BA7ACD"/>
    <w:rsid w:val="00BB6259"/>
    <w:rsid w:val="00BC4018"/>
    <w:rsid w:val="00BD23D5"/>
    <w:rsid w:val="00BE2226"/>
    <w:rsid w:val="00BE2728"/>
    <w:rsid w:val="00BE3E9B"/>
    <w:rsid w:val="00BE7FB5"/>
    <w:rsid w:val="00BF07FC"/>
    <w:rsid w:val="00C171E5"/>
    <w:rsid w:val="00C572F3"/>
    <w:rsid w:val="00C60778"/>
    <w:rsid w:val="00C70BF3"/>
    <w:rsid w:val="00C9704C"/>
    <w:rsid w:val="00CB0470"/>
    <w:rsid w:val="00CB1582"/>
    <w:rsid w:val="00CB448C"/>
    <w:rsid w:val="00CD6393"/>
    <w:rsid w:val="00D02135"/>
    <w:rsid w:val="00D07BD3"/>
    <w:rsid w:val="00D31C7F"/>
    <w:rsid w:val="00D45EF2"/>
    <w:rsid w:val="00D566C1"/>
    <w:rsid w:val="00D65D79"/>
    <w:rsid w:val="00D6697B"/>
    <w:rsid w:val="00D71FE1"/>
    <w:rsid w:val="00D875AD"/>
    <w:rsid w:val="00DA124E"/>
    <w:rsid w:val="00DA44D1"/>
    <w:rsid w:val="00DA7845"/>
    <w:rsid w:val="00DE7B06"/>
    <w:rsid w:val="00DF31C0"/>
    <w:rsid w:val="00E16E16"/>
    <w:rsid w:val="00E44610"/>
    <w:rsid w:val="00E50CC2"/>
    <w:rsid w:val="00E57941"/>
    <w:rsid w:val="00E62738"/>
    <w:rsid w:val="00E629E1"/>
    <w:rsid w:val="00E634D0"/>
    <w:rsid w:val="00EA13D3"/>
    <w:rsid w:val="00EB49D3"/>
    <w:rsid w:val="00EC7E30"/>
    <w:rsid w:val="00ED059E"/>
    <w:rsid w:val="00F01777"/>
    <w:rsid w:val="00F12B5D"/>
    <w:rsid w:val="00F25AE2"/>
    <w:rsid w:val="00F415BA"/>
    <w:rsid w:val="00F563B3"/>
    <w:rsid w:val="00F605E2"/>
    <w:rsid w:val="00F63075"/>
    <w:rsid w:val="00F9323F"/>
    <w:rsid w:val="00FC7EF1"/>
    <w:rsid w:val="00FF2C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46296"/>
  <w15:docId w15:val="{EB581894-F12B-4623-A57C-1AB66209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38DE"/>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pPr>
      <w:numPr>
        <w:ilvl w:val="5"/>
      </w:numPr>
      <w:outlineLvl w:val="4"/>
    </w:pPr>
    <w:rPr>
      <w:sz w:val="22"/>
    </w:rPr>
  </w:style>
  <w:style w:type="paragraph" w:styleId="6">
    <w:name w:val="heading 6"/>
    <w:aliases w:val="T1,Header 6"/>
    <w:basedOn w:val="H6"/>
    <w:next w:val="a1"/>
    <w:link w:val="60"/>
    <w:qFormat/>
    <w:pPr>
      <w:numPr>
        <w:ilvl w:val="4"/>
        <w:numId w:val="1"/>
      </w:numPr>
      <w:ind w:left="1985" w:hanging="1985"/>
      <w:outlineLvl w:val="5"/>
    </w:pPr>
  </w:style>
  <w:style w:type="paragraph" w:styleId="7">
    <w:name w:val="heading 7"/>
    <w:basedOn w:val="H6"/>
    <w:next w:val="a1"/>
    <w:uiPriority w:val="99"/>
    <w:qFormat/>
    <w:pPr>
      <w:numPr>
        <w:ilvl w:val="6"/>
        <w:numId w:val="7"/>
      </w:numPr>
      <w:outlineLvl w:val="6"/>
    </w:pPr>
  </w:style>
  <w:style w:type="paragraph" w:styleId="8">
    <w:name w:val="heading 8"/>
    <w:basedOn w:val="1"/>
    <w:next w:val="a1"/>
    <w:uiPriority w:val="99"/>
    <w:qFormat/>
    <w:pPr>
      <w:numPr>
        <w:ilvl w:val="7"/>
      </w:numPr>
      <w:outlineLvl w:val="7"/>
    </w:pPr>
  </w:style>
  <w:style w:type="paragraph" w:styleId="9">
    <w:name w:val="heading 9"/>
    <w:basedOn w:val="8"/>
    <w:next w:val="a1"/>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uiPriority w:val="99"/>
    <w:rPr>
      <w:rFonts w:ascii="Arial" w:eastAsia="Arial" w:hAnsi="Arial"/>
      <w:sz w:val="36"/>
      <w:lang w:val="en-GB"/>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Pr>
      <w:rFonts w:ascii="Arial" w:eastAsia="Arial" w:hAnsi="Arial"/>
      <w:sz w:val="32"/>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uiPriority w:val="99"/>
    <w:rPr>
      <w:rFonts w:ascii="Arial" w:eastAsia="Arial" w:hAnsi="Arial"/>
      <w:sz w:val="28"/>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eastAsia="Arial" w:hAnsi="Arial"/>
      <w:sz w:val="24"/>
      <w:lang w:val="en-GB"/>
    </w:rPr>
  </w:style>
  <w:style w:type="paragraph" w:customStyle="1" w:styleId="H6">
    <w:name w:val="H6"/>
    <w:basedOn w:val="5"/>
    <w:next w:val="a1"/>
    <w:link w:val="H6Char"/>
    <w:pPr>
      <w:numPr>
        <w:numId w:val="0"/>
      </w:num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spacing w:before="0"/>
      <w:ind w:left="851" w:hanging="851"/>
    </w:pPr>
    <w:rPr>
      <w:sz w:val="20"/>
    </w:rPr>
  </w:style>
  <w:style w:type="paragraph" w:styleId="12">
    <w:name w:val="index 1"/>
    <w:basedOn w:val="a1"/>
    <w:semiHidden/>
    <w:pPr>
      <w:keepLines/>
    </w:pPr>
  </w:style>
  <w:style w:type="paragraph" w:styleId="22">
    <w:name w:val="index 2"/>
    <w:basedOn w:val="12"/>
    <w:semiHidden/>
    <w:pPr>
      <w:ind w:left="284"/>
    </w:pPr>
  </w:style>
  <w:style w:type="paragraph" w:customStyle="1" w:styleId="TT">
    <w:name w:val="TT"/>
    <w:basedOn w:val="1"/>
    <w:next w:val="a1"/>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styleId="23">
    <w:name w:val="List Number 2"/>
    <w:basedOn w:val="aa"/>
    <w:pPr>
      <w:ind w:left="851"/>
    </w:pPr>
  </w:style>
  <w:style w:type="paragraph" w:styleId="aa">
    <w:name w:val="List Number"/>
    <w:basedOn w:val="ab"/>
  </w:style>
  <w:style w:type="paragraph" w:styleId="ab">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pPr>
      <w:spacing w:after="0"/>
    </w:pPr>
  </w:style>
  <w:style w:type="paragraph" w:styleId="61">
    <w:name w:val="toc 6"/>
    <w:basedOn w:val="51"/>
    <w:next w:val="a1"/>
    <w:semiHidden/>
    <w:pPr>
      <w:ind w:left="1985" w:hanging="1985"/>
    </w:pPr>
  </w:style>
  <w:style w:type="paragraph" w:styleId="70">
    <w:name w:val="toc 7"/>
    <w:basedOn w:val="61"/>
    <w:next w:val="a1"/>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Pr>
      <w:sz w:val="16"/>
      <w:szCs w:val="16"/>
    </w:rPr>
  </w:style>
  <w:style w:type="paragraph" w:styleId="aff1">
    <w:name w:val="annotation subject"/>
    <w:basedOn w:val="afa"/>
    <w:next w:val="afa"/>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pPr>
      <w:overflowPunct/>
      <w:autoSpaceDE/>
      <w:autoSpaceDN/>
      <w:adjustRightInd/>
      <w:textAlignment w:val="auto"/>
    </w:pP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rPr>
  </w:style>
  <w:style w:type="paragraph" w:customStyle="1" w:styleId="aff2">
    <w:name w:val="样式 页眉"/>
    <w:basedOn w:val="a5"/>
    <w:link w:val="Char0"/>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Pr>
      <w:rFonts w:ascii="Arial" w:eastAsia="Times New Roman" w:hAnsi="Arial"/>
      <w:b/>
      <w:noProof/>
      <w:sz w:val="18"/>
      <w:lang w:val="en-GB" w:eastAsia="en-US" w:bidi="ar-SA"/>
    </w:rPr>
  </w:style>
  <w:style w:type="character" w:customStyle="1" w:styleId="Char0">
    <w:name w:val="样式 页眉 Char"/>
    <w:link w:val="aff2"/>
    <w:rPr>
      <w:rFonts w:ascii="Arial" w:eastAsia="Arial" w:hAnsi="Arial"/>
      <w:b/>
      <w:bCs/>
      <w:noProof/>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eastAsia="zh-CN"/>
    </w:rPr>
  </w:style>
  <w:style w:type="paragraph" w:customStyle="1" w:styleId="a0">
    <w:name w:val="插图题注"/>
    <w:next w:val="a1"/>
    <w:pPr>
      <w:numPr>
        <w:numId w:val="3"/>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rPr>
      <w:rFonts w:eastAsia="SimSun"/>
    </w:rPr>
  </w:style>
  <w:style w:type="character" w:customStyle="1" w:styleId="B1Char">
    <w:name w:val="B1 Char"/>
    <w:link w:val="B1"/>
    <w:rPr>
      <w:rFonts w:eastAsia="SimSun"/>
      <w:lang w:val="en-GB" w:eastAsia="en-US" w:bidi="ar-SA"/>
    </w:rPr>
  </w:style>
  <w:style w:type="paragraph" w:customStyle="1" w:styleId="EX">
    <w:name w:val="EX"/>
    <w:basedOn w:val="a1"/>
    <w:link w:val="EXChar"/>
    <w:pPr>
      <w:keepLines/>
      <w:ind w:left="1702" w:hanging="1418"/>
    </w:pPr>
    <w:rPr>
      <w:rFonts w:eastAsia="SimSun"/>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5"/>
    <w:pPr>
      <w:overflowPunct/>
      <w:autoSpaceDE/>
      <w:autoSpaceDN/>
      <w:adjustRightInd/>
      <w:textAlignment w:val="auto"/>
    </w:pPr>
    <w:rPr>
      <w:rFonts w:eastAsia="ＭＳ 明朝"/>
    </w:rPr>
  </w:style>
  <w:style w:type="paragraph" w:customStyle="1" w:styleId="CouvRecTitle">
    <w:name w:val="Couv Rec Title"/>
    <w:basedOn w:val="a1"/>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pPr>
      <w:spacing w:after="120"/>
    </w:pPr>
    <w:rPr>
      <w:rFonts w:ascii="Arial" w:eastAsia="SimSun" w:hAnsi="Arial"/>
      <w:lang w:val="en-GB"/>
    </w:rPr>
  </w:style>
  <w:style w:type="character" w:customStyle="1" w:styleId="CRCoverPageChar">
    <w:name w:val="CR Cover Page Char"/>
    <w:link w:val="CRCoverPage"/>
    <w:rPr>
      <w:rFonts w:ascii="Arial" w:eastAsia="SimSun" w:hAnsi="Arial"/>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uiPriority w:val="99"/>
    <w:rPr>
      <w:rFonts w:ascii="Arial" w:eastAsia="Arial" w:hAnsi="Arial"/>
      <w:sz w:val="22"/>
      <w:lang w:val="en-GB"/>
    </w:rPr>
  </w:style>
  <w:style w:type="character" w:customStyle="1" w:styleId="H6Char">
    <w:name w:val="H6 Char"/>
    <w:link w:val="H6"/>
    <w:rPr>
      <w:rFonts w:ascii="Arial" w:eastAsia="Arial" w:hAnsi="Arial"/>
      <w:lang w:val="en-GB"/>
    </w:rPr>
  </w:style>
  <w:style w:type="character" w:customStyle="1" w:styleId="60">
    <w:name w:val="見出し 6 (文字)"/>
    <w:aliases w:val="T1 (文字),Header 6 (文字)"/>
    <w:basedOn w:val="H6Char"/>
    <w:link w:val="6"/>
    <w:rPr>
      <w:rFonts w:ascii="Arial" w:eastAsia="Arial" w:hAnsi="Arial"/>
      <w:lang w:val="en-GB"/>
    </w:rPr>
  </w:style>
  <w:style w:type="paragraph" w:customStyle="1" w:styleId="NF">
    <w:name w:val="NF"/>
    <w:basedOn w:val="NO"/>
    <w:pPr>
      <w:keepNext/>
      <w:spacing w:after="0"/>
    </w:pPr>
    <w:rPr>
      <w:rFonts w:ascii="Arial" w:eastAsia="SimSun" w:hAnsi="Arial"/>
      <w:sz w:val="18"/>
    </w:rPr>
  </w:style>
  <w:style w:type="character" w:customStyle="1" w:styleId="TALCar">
    <w:name w:val="TAL Car"/>
    <w:rPr>
      <w:rFonts w:ascii="Arial" w:hAnsi="Arial"/>
      <w:sz w:val="18"/>
      <w:lang w:val="en-GB"/>
    </w:rPr>
  </w:style>
  <w:style w:type="character" w:customStyle="1" w:styleId="EXChar">
    <w:name w:val="EX Char"/>
    <w:link w:val="EX"/>
    <w:rPr>
      <w:rFonts w:eastAsia="SimSun"/>
      <w:lang w:val="en-GB" w:eastAsia="ja-JP"/>
    </w:rPr>
  </w:style>
  <w:style w:type="paragraph" w:customStyle="1" w:styleId="FP">
    <w:name w:val="FP"/>
    <w:basedOn w:val="a1"/>
    <w:pPr>
      <w:spacing w:after="0"/>
    </w:pPr>
    <w:rPr>
      <w:rFonts w:eastAsia="SimSun"/>
    </w:rPr>
  </w:style>
  <w:style w:type="paragraph" w:customStyle="1" w:styleId="EW">
    <w:name w:val="EW"/>
    <w:basedOn w:val="EX"/>
    <w:pPr>
      <w:spacing w:after="0"/>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pPr>
      <w:keepNext w:val="0"/>
      <w:spacing w:before="0" w:after="240"/>
    </w:pPr>
    <w:rPr>
      <w:rFonts w:eastAsia="SimSun"/>
    </w:rPr>
  </w:style>
  <w:style w:type="character" w:customStyle="1" w:styleId="TFChar">
    <w:name w:val="TF Char"/>
    <w:link w:val="TF"/>
    <w:rPr>
      <w:rFonts w:ascii="Arial" w:eastAsia="SimSun" w:hAnsi="Arial"/>
      <w:b/>
      <w:lang w:val="en-GB" w:eastAsia="en-US" w:bidi="ar-SA"/>
    </w:rPr>
  </w:style>
  <w:style w:type="paragraph" w:customStyle="1" w:styleId="B3">
    <w:name w:val="B3"/>
    <w:basedOn w:val="34"/>
    <w:link w:val="B3Char"/>
    <w:rPr>
      <w:rFonts w:eastAsia="SimSun"/>
    </w:rPr>
  </w:style>
  <w:style w:type="paragraph" w:customStyle="1" w:styleId="B4">
    <w:name w:val="B4"/>
    <w:basedOn w:val="43"/>
    <w:rPr>
      <w:rFonts w:eastAsia="SimSun"/>
    </w:rPr>
  </w:style>
  <w:style w:type="paragraph" w:customStyle="1" w:styleId="B5">
    <w:name w:val="B5"/>
    <w:basedOn w:val="52"/>
    <w:rPr>
      <w:rFonts w:eastAsia="SimSun"/>
    </w:rPr>
  </w:style>
  <w:style w:type="character" w:customStyle="1" w:styleId="af3">
    <w:name w:val="見出しマップ (文字)"/>
    <w:link w:val="af2"/>
    <w:rPr>
      <w:rFonts w:ascii="Tahoma" w:eastAsia="Times New Roman" w:hAnsi="Tahoma"/>
      <w:shd w:val="clear" w:color="auto" w:fill="000080"/>
      <w:lang w:val="en-GB" w:eastAsia="en-US"/>
    </w:rPr>
  </w:style>
  <w:style w:type="character" w:customStyle="1" w:styleId="af5">
    <w:name w:val="書式なし (文字)"/>
    <w:link w:val="af4"/>
    <w:rPr>
      <w:rFonts w:ascii="Courier New" w:eastAsia="Times New Roman" w:hAnsi="Courier New"/>
      <w:lang w:val="nb-NO" w:eastAsia="en-US"/>
    </w:rPr>
  </w:style>
  <w:style w:type="character" w:customStyle="1" w:styleId="afb">
    <w:name w:val="コメント文字列 (文字)"/>
    <w:link w:val="afa"/>
    <w:uiPriority w:val="99"/>
    <w:rPr>
      <w:rFonts w:ascii="–¾’©" w:eastAsia="–¾’©"/>
      <w:sz w:val="24"/>
      <w:lang w:val="en-GB" w:eastAsia="en-US"/>
    </w:rPr>
  </w:style>
  <w:style w:type="paragraph" w:customStyle="1" w:styleId="TableText">
    <w:name w:val="TableText"/>
    <w:basedOn w:val="af8"/>
  </w:style>
  <w:style w:type="character" w:customStyle="1" w:styleId="afe">
    <w:name w:val="吹き出し (文字)"/>
    <w:link w:val="afd"/>
    <w:semiHidden/>
    <w:rPr>
      <w:rFonts w:ascii="Tahoma" w:eastAsia="Times New Roman" w:hAnsi="Tahoma" w:cs="Tahoma"/>
      <w:sz w:val="16"/>
      <w:szCs w:val="16"/>
      <w:lang w:val="en-GB" w:eastAsia="en-US"/>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3">
    <w:name w:val="List Paragraph"/>
    <w:basedOn w:val="a1"/>
    <w:link w:val="aff4"/>
    <w:uiPriority w:val="34"/>
    <w:qFormat/>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Pr>
      <w:rFonts w:ascii="Arial" w:eastAsia="Arial" w:hAnsi="Arial"/>
      <w:lang w:val="en-GB"/>
    </w:rPr>
  </w:style>
  <w:style w:type="character" w:customStyle="1" w:styleId="T1Char1">
    <w:name w:val="T1 Char1"/>
    <w:aliases w:val="Header 6 Char Char1"/>
    <w:basedOn w:val="H6Char"/>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7">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Pr>
      <w:rFonts w:ascii="Arial" w:eastAsia="Arial" w:hAnsi="Arial"/>
      <w:lang w:val="en-GB"/>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Pr>
      <w:rFonts w:eastAsia="Batang"/>
      <w:lang w:val="en-GB"/>
    </w:rPr>
  </w:style>
  <w:style w:type="paragraph" w:styleId="28">
    <w:name w:val="Body Text Indent 2"/>
    <w:basedOn w:val="a1"/>
    <w:link w:val="29"/>
    <w:pPr>
      <w:ind w:leftChars="100" w:left="400" w:hangingChars="100" w:hanging="200"/>
    </w:pPr>
    <w:rPr>
      <w:rFonts w:eastAsia="ＭＳ 明朝"/>
      <w:lang w:eastAsia="en-GB"/>
    </w:rPr>
  </w:style>
  <w:style w:type="character" w:customStyle="1" w:styleId="29">
    <w:name w:val="本文インデント 2 (文字)"/>
    <w:link w:val="28"/>
    <w:rPr>
      <w:lang w:val="en-GB" w:eastAsia="en-GB"/>
    </w:rPr>
  </w:style>
  <w:style w:type="paragraph" w:styleId="aff7">
    <w:name w:val="Normal Indent"/>
    <w:basedOn w:val="a1"/>
    <w:pPr>
      <w:overflowPunct/>
      <w:autoSpaceDE/>
      <w:autoSpaceDN/>
      <w:adjustRightInd/>
      <w:spacing w:after="0"/>
      <w:ind w:left="851"/>
      <w:textAlignment w:val="auto"/>
    </w:pPr>
    <w:rPr>
      <w:rFonts w:eastAsia="ＭＳ 明朝"/>
      <w:lang w:val="it-IT" w:eastAsia="en-GB"/>
    </w:rPr>
  </w:style>
  <w:style w:type="paragraph" w:styleId="54">
    <w:name w:val="List Number 5"/>
    <w:basedOn w:val="a1"/>
    <w:pPr>
      <w:tabs>
        <w:tab w:val="num" w:pos="851"/>
        <w:tab w:val="num" w:pos="1800"/>
      </w:tabs>
      <w:ind w:left="1800" w:hanging="851"/>
    </w:pPr>
    <w:rPr>
      <w:rFonts w:eastAsia="ＭＳ 明朝"/>
      <w:lang w:eastAsia="en-GB"/>
    </w:rPr>
  </w:style>
  <w:style w:type="paragraph" w:styleId="3">
    <w:name w:val="List Number 3"/>
    <w:basedOn w:val="a1"/>
    <w:pPr>
      <w:numPr>
        <w:numId w:val="6"/>
      </w:numPr>
      <w:tabs>
        <w:tab w:val="num" w:pos="926"/>
      </w:tabs>
      <w:ind w:left="926"/>
    </w:pPr>
    <w:rPr>
      <w:rFonts w:eastAsia="ＭＳ 明朝"/>
      <w:lang w:eastAsia="en-GB"/>
    </w:rPr>
  </w:style>
  <w:style w:type="paragraph" w:styleId="4">
    <w:name w:val="List Number 4"/>
    <w:basedOn w:val="a1"/>
    <w:pPr>
      <w:numPr>
        <w:numId w:val="5"/>
      </w:numPr>
      <w:tabs>
        <w:tab w:val="num" w:pos="1209"/>
      </w:tabs>
      <w:ind w:left="1209"/>
    </w:pPr>
    <w:rPr>
      <w:rFonts w:eastAsia="ＭＳ 明朝"/>
      <w:lang w:eastAsia="en-GB"/>
    </w:rPr>
  </w:style>
  <w:style w:type="character" w:styleId="aff8">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basedOn w:val="CharChar10"/>
    <w:semiHidden/>
    <w:rPr>
      <w:rFonts w:ascii="Times New Roman" w:hAnsi="Times New Roman"/>
      <w:lang w:val="en-GB" w:eastAsia="en-US"/>
    </w:rPr>
  </w:style>
  <w:style w:type="paragraph" w:customStyle="1" w:styleId="14">
    <w:name w:val="修订1"/>
    <w:hidden/>
    <w:semiHidden/>
    <w:rPr>
      <w:rFonts w:eastAsia="Batang"/>
      <w:lang w:val="en-GB"/>
    </w:rPr>
  </w:style>
  <w:style w:type="paragraph" w:styleId="aff9">
    <w:name w:val="endnote text"/>
    <w:basedOn w:val="a1"/>
    <w:link w:val="affa"/>
    <w:pPr>
      <w:overflowPunct/>
      <w:autoSpaceDE/>
      <w:autoSpaceDN/>
      <w:adjustRightInd/>
      <w:snapToGrid w:val="0"/>
      <w:textAlignment w:val="auto"/>
    </w:pPr>
    <w:rPr>
      <w:rFonts w:eastAsia="SimSun"/>
    </w:rPr>
  </w:style>
  <w:style w:type="character" w:customStyle="1" w:styleId="affa">
    <w:name w:val="文末脚注文字列 (文字)"/>
    <w:link w:val="aff9"/>
    <w:rPr>
      <w:rFonts w:eastAsia="SimSun"/>
      <w:lang w:val="en-GB" w:eastAsia="en-US"/>
    </w:rPr>
  </w:style>
  <w:style w:type="character" w:styleId="affb">
    <w:name w:val="endnote reference"/>
    <w:rPr>
      <w:vertAlign w:val="superscript"/>
    </w:rPr>
  </w:style>
  <w:style w:type="character" w:customStyle="1" w:styleId="btChar3">
    <w:name w:val="bt Char3"/>
    <w:rPr>
      <w:lang w:val="en-GB" w:eastAsia="ja-JP" w:bidi="ar-SA"/>
    </w:rPr>
  </w:style>
  <w:style w:type="paragraph" w:styleId="affc">
    <w:name w:val="Title"/>
    <w:basedOn w:val="a1"/>
    <w:next w:val="a1"/>
    <w:link w:val="affd"/>
    <w:qFormat/>
    <w:pPr>
      <w:spacing w:before="240" w:after="60"/>
      <w:outlineLvl w:val="0"/>
    </w:pPr>
    <w:rPr>
      <w:rFonts w:ascii="Courier New" w:eastAsia="SimSun" w:hAnsi="Courier New"/>
      <w:lang w:val="nb-NO"/>
    </w:rPr>
  </w:style>
  <w:style w:type="character" w:customStyle="1" w:styleId="affd">
    <w:name w:val="表題 (文字)"/>
    <w:link w:val="affc"/>
    <w:rPr>
      <w:rFonts w:ascii="Courier New" w:eastAsia="SimSun" w:hAnsi="Courier New"/>
      <w:lang w:val="nb-NO" w:eastAsia="en-US"/>
    </w:rPr>
  </w:style>
  <w:style w:type="paragraph" w:customStyle="1" w:styleId="FL">
    <w:name w:val="FL"/>
    <w:basedOn w:val="a1"/>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e">
    <w:name w:val="Date"/>
    <w:basedOn w:val="a1"/>
    <w:next w:val="a1"/>
    <w:link w:val="afff"/>
    <w:rPr>
      <w:rFonts w:eastAsia="SimSun"/>
    </w:rPr>
  </w:style>
  <w:style w:type="character" w:customStyle="1" w:styleId="afff">
    <w:name w:val="日付 (文字)"/>
    <w:link w:val="affe"/>
    <w:rPr>
      <w:rFonts w:eastAsia="SimSun"/>
      <w:lang w:val="en-GB" w:eastAsia="en-US"/>
    </w:rPr>
  </w:style>
  <w:style w:type="character" w:customStyle="1" w:styleId="af">
    <w:name w:val="図表番号 (文字)"/>
    <w:aliases w:val="cap (文字),cap Char (文字),Caption Char (文字),Caption Char1 Char (文字),cap Char Char1 (文字),Caption Char Char1 Char (文字),cap Char2 Char (文字),Ca (文字)"/>
    <w:link w:val="ae"/>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SimSun"/>
      <w:sz w:val="24"/>
      <w:szCs w:val="24"/>
      <w:lang w:val="en-GB" w:eastAsia="ko-KR"/>
    </w:rPr>
  </w:style>
  <w:style w:type="paragraph" w:customStyle="1" w:styleId="-PAGE-">
    <w:name w:val="- PAGE -"/>
    <w:rPr>
      <w:rFonts w:eastAsia="SimSun"/>
      <w:sz w:val="24"/>
      <w:szCs w:val="24"/>
      <w:lang w:val="en-GB" w:eastAsia="ko-KR"/>
    </w:rPr>
  </w:style>
  <w:style w:type="paragraph" w:customStyle="1" w:styleId="PageXofY">
    <w:name w:val="Page X of Y"/>
    <w:rPr>
      <w:rFonts w:eastAsia="SimSun"/>
      <w:sz w:val="24"/>
      <w:szCs w:val="24"/>
      <w:lang w:val="en-GB" w:eastAsia="ko-KR"/>
    </w:rPr>
  </w:style>
  <w:style w:type="paragraph" w:customStyle="1" w:styleId="Createdby">
    <w:name w:val="Created by"/>
    <w:rPr>
      <w:rFonts w:eastAsia="SimSun"/>
      <w:sz w:val="24"/>
      <w:szCs w:val="24"/>
      <w:lang w:val="en-GB" w:eastAsia="ko-KR"/>
    </w:rPr>
  </w:style>
  <w:style w:type="paragraph" w:customStyle="1" w:styleId="Createdon">
    <w:name w:val="Created on"/>
    <w:rPr>
      <w:rFonts w:eastAsia="SimSun"/>
      <w:sz w:val="24"/>
      <w:szCs w:val="24"/>
      <w:lang w:val="en-GB" w:eastAsia="ko-KR"/>
    </w:rPr>
  </w:style>
  <w:style w:type="paragraph" w:customStyle="1" w:styleId="Lastprinted">
    <w:name w:val="Last printed"/>
    <w:rPr>
      <w:rFonts w:eastAsia="SimSun"/>
      <w:sz w:val="24"/>
      <w:szCs w:val="24"/>
      <w:lang w:val="en-GB" w:eastAsia="ko-KR"/>
    </w:rPr>
  </w:style>
  <w:style w:type="paragraph" w:customStyle="1" w:styleId="Lastsavedby">
    <w:name w:val="Last saved by"/>
    <w:rPr>
      <w:rFonts w:eastAsia="SimSun"/>
      <w:sz w:val="24"/>
      <w:szCs w:val="24"/>
      <w:lang w:val="en-GB" w:eastAsia="ko-KR"/>
    </w:rPr>
  </w:style>
  <w:style w:type="paragraph" w:customStyle="1" w:styleId="Filename">
    <w:name w:val="Filename"/>
    <w:rPr>
      <w:rFonts w:eastAsia="SimSun"/>
      <w:sz w:val="24"/>
      <w:szCs w:val="24"/>
      <w:lang w:val="en-GB" w:eastAsia="ko-KR"/>
    </w:rPr>
  </w:style>
  <w:style w:type="paragraph" w:customStyle="1" w:styleId="Filenameandpath">
    <w:name w:val="Filename and path"/>
    <w:rPr>
      <w:rFonts w:eastAsia="SimSun"/>
      <w:sz w:val="24"/>
      <w:szCs w:val="24"/>
      <w:lang w:val="en-GB" w:eastAsia="ko-KR"/>
    </w:rPr>
  </w:style>
  <w:style w:type="paragraph" w:customStyle="1" w:styleId="AuthorPageDate">
    <w:name w:val="Author  Page #  Date"/>
    <w:rPr>
      <w:rFonts w:eastAsia="SimSun"/>
      <w:sz w:val="24"/>
      <w:szCs w:val="24"/>
      <w:lang w:val="en-GB" w:eastAsia="ko-KR"/>
    </w:rPr>
  </w:style>
  <w:style w:type="paragraph" w:customStyle="1" w:styleId="ConfidentialPageDate">
    <w:name w:val="Confidential  Page #  Date"/>
    <w:rPr>
      <w:rFonts w:eastAsia="SimSun"/>
      <w:sz w:val="24"/>
      <w:szCs w:val="24"/>
      <w:lang w:val="en-GB" w:eastAsia="ko-KR"/>
    </w:rPr>
  </w:style>
  <w:style w:type="paragraph" w:customStyle="1" w:styleId="tdoc-header">
    <w:name w:val="tdoc-header"/>
    <w:rPr>
      <w:rFonts w:ascii="Arial" w:eastAsia="SimSun" w:hAnsi="Arial"/>
      <w:noProof/>
      <w:sz w:val="24"/>
      <w:lang w:val="en-GB"/>
    </w:rPr>
  </w:style>
  <w:style w:type="paragraph" w:customStyle="1" w:styleId="INDENT1">
    <w:name w:val="INDENT1"/>
    <w:basedOn w:val="a1"/>
    <w:pPr>
      <w:ind w:left="851"/>
    </w:pPr>
    <w:rPr>
      <w:rFonts w:eastAsia="SimSun"/>
      <w:lang w:eastAsia="ja-JP"/>
    </w:rPr>
  </w:style>
  <w:style w:type="paragraph" w:customStyle="1" w:styleId="INDENT2">
    <w:name w:val="INDENT2"/>
    <w:basedOn w:val="a1"/>
    <w:pPr>
      <w:ind w:left="1135" w:hanging="284"/>
    </w:pPr>
    <w:rPr>
      <w:rFonts w:eastAsia="SimSun"/>
      <w:lang w:eastAsia="ja-JP"/>
    </w:rPr>
  </w:style>
  <w:style w:type="paragraph" w:customStyle="1" w:styleId="INDENT3">
    <w:name w:val="INDENT3"/>
    <w:basedOn w:val="a1"/>
    <w:pPr>
      <w:ind w:left="1701" w:hanging="567"/>
    </w:pPr>
    <w:rPr>
      <w:rFonts w:eastAsia="SimSun"/>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pPr>
      <w:keepNext/>
      <w:keepLines/>
    </w:pPr>
    <w:rPr>
      <w:rFonts w:eastAsia="SimSun"/>
      <w:b/>
      <w:lang w:eastAsia="ja-JP"/>
    </w:rPr>
  </w:style>
  <w:style w:type="paragraph" w:customStyle="1" w:styleId="enumlev2">
    <w:name w:val="enumlev2"/>
    <w:basedOn w:val="a1"/>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Pr>
      <w:rFonts w:eastAsia="SimSun"/>
      <w:lang w:eastAsia="ja-JP"/>
    </w:rPr>
  </w:style>
  <w:style w:type="character" w:customStyle="1" w:styleId="BodyTextChar">
    <w:name w:val="Body Text Char"/>
    <w:rPr>
      <w:lang w:val="en-GB" w:eastAsia="ja-JP" w:bidi="ar-SA"/>
    </w:rPr>
  </w:style>
  <w:style w:type="paragraph" w:customStyle="1" w:styleId="Figure">
    <w:name w:val="Figure"/>
    <w:basedOn w:val="a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a3"/>
    <w:next w:val="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spacing w:after="120"/>
    </w:pPr>
    <w:rPr>
      <w:rFonts w:ascii="Arial" w:eastAsia="ＭＳ 明朝" w:hAnsi="Arial"/>
      <w:sz w:val="24"/>
      <w:lang w:val="fr-FR"/>
    </w:rPr>
  </w:style>
  <w:style w:type="paragraph" w:customStyle="1" w:styleId="p20">
    <w:name w:val="p20"/>
    <w:basedOn w:val="a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a1"/>
    <w:rPr>
      <w:rFonts w:eastAsia="SimSun"/>
      <w:lang w:eastAsia="ja-JP"/>
    </w:rPr>
  </w:style>
  <w:style w:type="paragraph" w:customStyle="1" w:styleId="TaOC">
    <w:name w:val="TaOC"/>
    <w:basedOn w:val="TAC"/>
    <w:rPr>
      <w:rFonts w:eastAsia="SimSu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eastAsia="Arial" w:hAnsi="Arial"/>
      <w:lang w:val="en-GB" w:eastAsia="en-US" w:bidi="ar-SA"/>
    </w:rPr>
  </w:style>
  <w:style w:type="table" w:customStyle="1" w:styleId="Tabellengitternetz1">
    <w:name w:val="Tabellengitternetz1"/>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numPr>
        <w:ilvl w:val="0"/>
        <w:numId w:val="0"/>
      </w:numPr>
      <w:spacing w:before="240" w:beforeAutospacing="0" w:afterLines="0" w:after="180"/>
      <w:ind w:left="1980" w:hanging="1980"/>
    </w:pPr>
    <w:rPr>
      <w:rFonts w:eastAsia="ＭＳ 明朝"/>
      <w:bCs/>
    </w:rPr>
  </w:style>
  <w:style w:type="paragraph" w:customStyle="1" w:styleId="StyleHeading6After9pt">
    <w:name w:val="Style Heading 6 + After:  9 pt"/>
    <w:basedOn w:val="6"/>
    <w:pPr>
      <w:numPr>
        <w:ilvl w:val="0"/>
        <w:numId w:val="0"/>
      </w:numPr>
      <w:spacing w:before="240" w:beforeAutospacing="0" w:afterLines="0" w:after="180"/>
    </w:pPr>
    <w:rPr>
      <w:rFonts w:eastAsia="ＭＳ 明朝"/>
      <w:bCs/>
    </w:rPr>
  </w:style>
  <w:style w:type="table" w:customStyle="1" w:styleId="TableGrid3">
    <w:name w:val="Table Grid3"/>
    <w:basedOn w:val="a3"/>
    <w:next w:val="af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a1"/>
    <w:pPr>
      <w:overflowPunct/>
      <w:autoSpaceDE/>
      <w:autoSpaceDN/>
      <w:adjustRightInd/>
      <w:spacing w:before="100" w:beforeAutospacing="1" w:after="100" w:afterAutospacing="1"/>
      <w:textAlignment w:val="auto"/>
    </w:pPr>
    <w:rPr>
      <w:rFonts w:eastAsia="SimSun"/>
      <w:sz w:val="24"/>
      <w:szCs w:val="24"/>
    </w:rPr>
  </w:style>
  <w:style w:type="paragraph" w:customStyle="1" w:styleId="16">
    <w:name w:val="吹き出し1"/>
    <w:basedOn w:val="a1"/>
    <w:semiHidden/>
    <w:pPr>
      <w:overflowPunct/>
      <w:autoSpaceDE/>
      <w:autoSpaceDN/>
      <w:adjustRightInd/>
      <w:textAlignment w:val="auto"/>
    </w:pPr>
    <w:rPr>
      <w:rFonts w:ascii="Tahoma" w:eastAsia="ＭＳ 明朝"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a">
    <w:name w:val="吹き出し2"/>
    <w:basedOn w:val="a1"/>
    <w:semiHidden/>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Pr>
      <w:rFonts w:eastAsia="ＭＳ 明朝"/>
      <w:lang w:eastAsia="en-GB"/>
    </w:rPr>
  </w:style>
  <w:style w:type="paragraph" w:customStyle="1" w:styleId="tabletext0">
    <w:name w:val="table text"/>
    <w:basedOn w:val="a1"/>
    <w:next w:val="a1"/>
    <w:rPr>
      <w:rFonts w:eastAsia="ＭＳ 明朝"/>
      <w:i/>
      <w:lang w:eastAsia="en-GB"/>
    </w:rPr>
  </w:style>
  <w:style w:type="paragraph" w:customStyle="1" w:styleId="TOC91">
    <w:name w:val="TOC 91"/>
    <w:basedOn w:val="80"/>
    <w:pPr>
      <w:keepNext/>
      <w:ind w:left="1418" w:hanging="1418"/>
    </w:pPr>
    <w:rPr>
      <w:rFonts w:eastAsia="ＭＳ 明朝"/>
      <w:lang w:val="en-US" w:eastAsia="en-GB"/>
    </w:rPr>
  </w:style>
  <w:style w:type="paragraph" w:customStyle="1" w:styleId="Caption1">
    <w:name w:val="Caption1"/>
    <w:basedOn w:val="a1"/>
    <w:next w:val="a1"/>
    <w:pPr>
      <w:spacing w:before="120" w:after="120"/>
    </w:pPr>
    <w:rPr>
      <w:rFonts w:eastAsia="ＭＳ 明朝"/>
      <w:b/>
      <w:lang w:eastAsia="en-GB"/>
    </w:rPr>
  </w:style>
  <w:style w:type="paragraph" w:customStyle="1" w:styleId="HE">
    <w:name w:val="HE"/>
    <w:basedOn w:val="a1"/>
    <w:pPr>
      <w:spacing w:after="0"/>
    </w:pPr>
    <w:rPr>
      <w:rFonts w:eastAsia="ＭＳ 明朝"/>
      <w:b/>
      <w:lang w:eastAsia="en-GB"/>
    </w:rPr>
  </w:style>
  <w:style w:type="paragraph" w:customStyle="1" w:styleId="HO">
    <w:name w:val="HO"/>
    <w:basedOn w:val="a1"/>
    <w:pPr>
      <w:spacing w:after="0"/>
      <w:jc w:val="right"/>
    </w:pPr>
    <w:rPr>
      <w:rFonts w:eastAsia="ＭＳ 明朝"/>
      <w:b/>
      <w:lang w:eastAsia="en-GB"/>
    </w:rPr>
  </w:style>
  <w:style w:type="paragraph" w:customStyle="1" w:styleId="WP">
    <w:name w:val="WP"/>
    <w:basedOn w:val="a1"/>
    <w:pPr>
      <w:spacing w:after="0"/>
      <w:jc w:val="both"/>
    </w:pPr>
    <w:rPr>
      <w:rFonts w:eastAsia="ＭＳ 明朝"/>
      <w:lang w:eastAsia="en-GB"/>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FooterCentred">
    <w:name w:val="FooterCentred"/>
    <w:basedOn w:val="a7"/>
    <w:pPr>
      <w:tabs>
        <w:tab w:val="center" w:pos="4678"/>
        <w:tab w:val="right" w:pos="9356"/>
      </w:tabs>
      <w:jc w:val="both"/>
    </w:pPr>
    <w:rPr>
      <w:rFonts w:ascii="Times New Roman" w:eastAsia="ＭＳ 明朝" w:hAnsi="Times New Roman"/>
      <w:b w:val="0"/>
      <w:i w:val="0"/>
      <w:noProof w:val="0"/>
      <w:sz w:val="20"/>
      <w:lang w:val="en-US" w:eastAsia="en-GB"/>
    </w:rPr>
  </w:style>
  <w:style w:type="paragraph" w:customStyle="1" w:styleId="CRfront">
    <w:name w:val="CR_front"/>
    <w:basedOn w:val="a1"/>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ＭＳ 明朝"/>
      <w:lang w:eastAsia="en-GB"/>
    </w:rPr>
  </w:style>
  <w:style w:type="paragraph" w:customStyle="1" w:styleId="Teststep">
    <w:name w:val="Test step"/>
    <w:basedOn w:val="a1"/>
    <w:pPr>
      <w:tabs>
        <w:tab w:val="left" w:pos="720"/>
      </w:tabs>
      <w:spacing w:after="0"/>
      <w:ind w:left="720" w:hanging="720"/>
    </w:pPr>
    <w:rPr>
      <w:rFonts w:eastAsia="ＭＳ 明朝"/>
      <w:lang w:eastAsia="en-GB"/>
    </w:rPr>
  </w:style>
  <w:style w:type="paragraph" w:customStyle="1" w:styleId="TableTitle">
    <w:name w:val="TableTitle"/>
    <w:basedOn w:val="26"/>
    <w:next w:val="26"/>
    <w:pPr>
      <w:keepNext/>
      <w:keepLines/>
      <w:spacing w:after="60"/>
      <w:ind w:left="210"/>
      <w:jc w:val="center"/>
    </w:pPr>
    <w:rPr>
      <w:rFonts w:eastAsia="ＭＳ 明朝"/>
      <w:b/>
      <w:i w:val="0"/>
      <w:lang w:eastAsia="en-GB"/>
    </w:rPr>
  </w:style>
  <w:style w:type="paragraph" w:customStyle="1" w:styleId="TableofFigures1">
    <w:name w:val="Table of Figures1"/>
    <w:basedOn w:val="a1"/>
    <w:next w:val="a1"/>
    <w:pPr>
      <w:ind w:left="400" w:hanging="400"/>
      <w:jc w:val="center"/>
    </w:pPr>
    <w:rPr>
      <w:rFonts w:eastAsia="ＭＳ 明朝"/>
      <w:b/>
      <w:lang w:eastAsia="en-GB"/>
    </w:rPr>
  </w:style>
  <w:style w:type="paragraph" w:customStyle="1" w:styleId="table">
    <w:name w:val="table"/>
    <w:basedOn w:val="a1"/>
    <w:next w:val="a1"/>
    <w:pPr>
      <w:spacing w:after="0"/>
      <w:jc w:val="center"/>
    </w:pPr>
    <w:rPr>
      <w:rFonts w:eastAsia="ＭＳ 明朝"/>
      <w:lang w:eastAsia="en-GB"/>
    </w:rPr>
  </w:style>
  <w:style w:type="paragraph" w:customStyle="1" w:styleId="t2">
    <w:name w:val="t2"/>
    <w:basedOn w:val="a1"/>
    <w:pPr>
      <w:spacing w:after="0"/>
    </w:pPr>
    <w:rPr>
      <w:rFonts w:eastAsia="ＭＳ 明朝"/>
      <w:lang w:eastAsia="en-GB"/>
    </w:rPr>
  </w:style>
  <w:style w:type="paragraph" w:customStyle="1" w:styleId="CommentNokia">
    <w:name w:val="Comment Nokia"/>
    <w:basedOn w:val="a1"/>
    <w:pPr>
      <w:tabs>
        <w:tab w:val="left" w:pos="360"/>
      </w:tabs>
      <w:ind w:left="360" w:hanging="360"/>
    </w:pPr>
    <w:rPr>
      <w:rFonts w:eastAsia="ＭＳ 明朝"/>
      <w:sz w:val="22"/>
      <w:lang w:eastAsia="en-GB"/>
    </w:rPr>
  </w:style>
  <w:style w:type="paragraph" w:customStyle="1" w:styleId="Copyright">
    <w:name w:val="Copyright"/>
    <w:basedOn w:val="a1"/>
    <w:pPr>
      <w:spacing w:after="0"/>
      <w:jc w:val="center"/>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
    <w:next w:val="a1"/>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pPr>
      <w:spacing w:after="220"/>
    </w:pPr>
    <w:rPr>
      <w:rFonts w:eastAsia="ＭＳ 明朝"/>
      <w:b/>
      <w:lang w:eastAsia="en-GB"/>
    </w:rPr>
  </w:style>
  <w:style w:type="paragraph" w:customStyle="1" w:styleId="berschrift2Head2A2">
    <w:name w:val="Überschrift 2.Head2A.2"/>
    <w:basedOn w:val="1"/>
    <w:next w:val="a1"/>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pPr>
      <w:widowControl w:val="0"/>
      <w:spacing w:after="120"/>
      <w:ind w:left="283" w:hanging="283"/>
    </w:pPr>
    <w:rPr>
      <w:rFonts w:eastAsia="ＭＳ 明朝"/>
      <w:lang w:eastAsia="de-DE"/>
    </w:rPr>
  </w:style>
  <w:style w:type="paragraph" w:customStyle="1" w:styleId="11BodyText">
    <w:name w:val="11 BodyText"/>
    <w:basedOn w:val="a1"/>
    <w:pPr>
      <w:overflowPunct/>
      <w:autoSpaceDE/>
      <w:autoSpaceDN/>
      <w:adjustRightInd/>
      <w:spacing w:after="220"/>
      <w:ind w:left="1298"/>
      <w:textAlignment w:val="auto"/>
    </w:pPr>
    <w:rPr>
      <w:rFonts w:ascii="Arial" w:eastAsia="SimSun" w:hAnsi="Arial"/>
      <w:lang w:eastAsia="en-GB"/>
    </w:rPr>
  </w:style>
  <w:style w:type="numbering" w:customStyle="1" w:styleId="17">
    <w:name w:val="无列表1"/>
    <w:next w:val="a4"/>
    <w:semiHidden/>
  </w:style>
  <w:style w:type="paragraph" w:customStyle="1" w:styleId="1030302">
    <w:name w:val="样式 样式 标题 1 + 两端对齐 段前: 0.3 行 段后: 0.3 行 行距: 单倍行距 + 段前: 0.2 行 段后: ..."/>
    <w:basedOn w:val="a1"/>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8">
    <w:name w:val="网格型3"/>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ind w:left="720" w:hanging="360"/>
    </w:pPr>
    <w:rPr>
      <w:rFonts w:eastAsia="SimSun"/>
    </w:rPr>
  </w:style>
  <w:style w:type="paragraph" w:customStyle="1" w:styleId="NormalArial">
    <w:name w:val="Normal + Arial"/>
    <w:aliases w:val="9 pt,Right,Right:  0,24 cm,After:  0 pt"/>
    <w:basedOn w:val="a1"/>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rPr>
  </w:style>
  <w:style w:type="character" w:customStyle="1" w:styleId="StyleTACChar">
    <w:name w:val="Style TAC + Char"/>
    <w:link w:val="StyleTAC"/>
    <w:rPr>
      <w:rFonts w:ascii="Arial" w:eastAsia="SimSun" w:hAnsi="Arial"/>
      <w:kern w:val="2"/>
      <w:sz w:val="18"/>
      <w:lang w:val="en-GB" w:eastAsia="en-US"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word">
    <w:name w:val="word"/>
    <w:basedOn w:val="a2"/>
  </w:style>
  <w:style w:type="character" w:customStyle="1" w:styleId="apple-converted-space">
    <w:name w:val="apple-converted-space"/>
  </w:style>
  <w:style w:type="character" w:customStyle="1" w:styleId="B3Char">
    <w:name w:val="B3 Char"/>
    <w:link w:val="B3"/>
    <w:rPr>
      <w:rFonts w:eastAsia="SimSun"/>
      <w:lang w:val="en-GB"/>
    </w:rPr>
  </w:style>
  <w:style w:type="paragraph" w:customStyle="1" w:styleId="TB1">
    <w:name w:val="TB1"/>
    <w:basedOn w:val="a1"/>
    <w:qFormat/>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Pr>
      <w:rFonts w:eastAsia="Times New Roman"/>
      <w:noProof/>
    </w:rPr>
  </w:style>
  <w:style w:type="paragraph" w:customStyle="1" w:styleId="oa1">
    <w:name w:val="oa1"/>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aff4">
    <w:name w:val="リスト段落 (文字)"/>
    <w:link w:val="aff3"/>
    <w:uiPriority w:val="34"/>
    <w:qFormat/>
    <w:locked/>
    <w:rsid w:val="008E42B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3654360">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41231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52590979">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198274322">
      <w:bodyDiv w:val="1"/>
      <w:marLeft w:val="0"/>
      <w:marRight w:val="0"/>
      <w:marTop w:val="0"/>
      <w:marBottom w:val="0"/>
      <w:divBdr>
        <w:top w:val="none" w:sz="0" w:space="0" w:color="auto"/>
        <w:left w:val="none" w:sz="0" w:space="0" w:color="auto"/>
        <w:bottom w:val="none" w:sz="0" w:space="0" w:color="auto"/>
        <w:right w:val="none" w:sz="0" w:space="0" w:color="auto"/>
      </w:divBdr>
      <w:divsChild>
        <w:div w:id="775907395">
          <w:marLeft w:val="360"/>
          <w:marRight w:val="0"/>
          <w:marTop w:val="200"/>
          <w:marBottom w:val="0"/>
          <w:divBdr>
            <w:top w:val="none" w:sz="0" w:space="0" w:color="auto"/>
            <w:left w:val="none" w:sz="0" w:space="0" w:color="auto"/>
            <w:bottom w:val="none" w:sz="0" w:space="0" w:color="auto"/>
            <w:right w:val="none" w:sz="0" w:space="0" w:color="auto"/>
          </w:divBdr>
        </w:div>
        <w:div w:id="15278658">
          <w:marLeft w:val="1080"/>
          <w:marRight w:val="0"/>
          <w:marTop w:val="100"/>
          <w:marBottom w:val="0"/>
          <w:divBdr>
            <w:top w:val="none" w:sz="0" w:space="0" w:color="auto"/>
            <w:left w:val="none" w:sz="0" w:space="0" w:color="auto"/>
            <w:bottom w:val="none" w:sz="0" w:space="0" w:color="auto"/>
            <w:right w:val="none" w:sz="0" w:space="0" w:color="auto"/>
          </w:divBdr>
        </w:div>
        <w:div w:id="1431967604">
          <w:marLeft w:val="360"/>
          <w:marRight w:val="0"/>
          <w:marTop w:val="200"/>
          <w:marBottom w:val="0"/>
          <w:divBdr>
            <w:top w:val="none" w:sz="0" w:space="0" w:color="auto"/>
            <w:left w:val="none" w:sz="0" w:space="0" w:color="auto"/>
            <w:bottom w:val="none" w:sz="0" w:space="0" w:color="auto"/>
            <w:right w:val="none" w:sz="0" w:space="0" w:color="auto"/>
          </w:divBdr>
        </w:div>
      </w:divsChild>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812119">
      <w:bodyDiv w:val="1"/>
      <w:marLeft w:val="0"/>
      <w:marRight w:val="0"/>
      <w:marTop w:val="0"/>
      <w:marBottom w:val="0"/>
      <w:divBdr>
        <w:top w:val="none" w:sz="0" w:space="0" w:color="auto"/>
        <w:left w:val="none" w:sz="0" w:space="0" w:color="auto"/>
        <w:bottom w:val="none" w:sz="0" w:space="0" w:color="auto"/>
        <w:right w:val="none" w:sz="0" w:space="0" w:color="auto"/>
      </w:divBdr>
      <w:divsChild>
        <w:div w:id="251011949">
          <w:marLeft w:val="1080"/>
          <w:marRight w:val="0"/>
          <w:marTop w:val="100"/>
          <w:marBottom w:val="0"/>
          <w:divBdr>
            <w:top w:val="none" w:sz="0" w:space="0" w:color="auto"/>
            <w:left w:val="none" w:sz="0" w:space="0" w:color="auto"/>
            <w:bottom w:val="none" w:sz="0" w:space="0" w:color="auto"/>
            <w:right w:val="none" w:sz="0" w:space="0" w:color="auto"/>
          </w:divBdr>
        </w:div>
        <w:div w:id="424035522">
          <w:marLeft w:val="1800"/>
          <w:marRight w:val="0"/>
          <w:marTop w:val="100"/>
          <w:marBottom w:val="0"/>
          <w:divBdr>
            <w:top w:val="none" w:sz="0" w:space="0" w:color="auto"/>
            <w:left w:val="none" w:sz="0" w:space="0" w:color="auto"/>
            <w:bottom w:val="none" w:sz="0" w:space="0" w:color="auto"/>
            <w:right w:val="none" w:sz="0" w:space="0" w:color="auto"/>
          </w:divBdr>
        </w:div>
        <w:div w:id="1380939979">
          <w:marLeft w:val="1800"/>
          <w:marRight w:val="0"/>
          <w:marTop w:val="100"/>
          <w:marBottom w:val="0"/>
          <w:divBdr>
            <w:top w:val="none" w:sz="0" w:space="0" w:color="auto"/>
            <w:left w:val="none" w:sz="0" w:space="0" w:color="auto"/>
            <w:bottom w:val="none" w:sz="0" w:space="0" w:color="auto"/>
            <w:right w:val="none" w:sz="0" w:space="0" w:color="auto"/>
          </w:divBdr>
        </w:div>
        <w:div w:id="818616898">
          <w:marLeft w:val="1080"/>
          <w:marRight w:val="0"/>
          <w:marTop w:val="100"/>
          <w:marBottom w:val="0"/>
          <w:divBdr>
            <w:top w:val="none" w:sz="0" w:space="0" w:color="auto"/>
            <w:left w:val="none" w:sz="0" w:space="0" w:color="auto"/>
            <w:bottom w:val="none" w:sz="0" w:space="0" w:color="auto"/>
            <w:right w:val="none" w:sz="0" w:space="0" w:color="auto"/>
          </w:divBdr>
        </w:div>
        <w:div w:id="1402024094">
          <w:marLeft w:val="1800"/>
          <w:marRight w:val="0"/>
          <w:marTop w:val="100"/>
          <w:marBottom w:val="0"/>
          <w:divBdr>
            <w:top w:val="none" w:sz="0" w:space="0" w:color="auto"/>
            <w:left w:val="none" w:sz="0" w:space="0" w:color="auto"/>
            <w:bottom w:val="none" w:sz="0" w:space="0" w:color="auto"/>
            <w:right w:val="none" w:sz="0" w:space="0" w:color="auto"/>
          </w:divBdr>
        </w:div>
        <w:div w:id="1178689138">
          <w:marLeft w:val="1800"/>
          <w:marRight w:val="0"/>
          <w:marTop w:val="100"/>
          <w:marBottom w:val="0"/>
          <w:divBdr>
            <w:top w:val="none" w:sz="0" w:space="0" w:color="auto"/>
            <w:left w:val="none" w:sz="0" w:space="0" w:color="auto"/>
            <w:bottom w:val="none" w:sz="0" w:space="0" w:color="auto"/>
            <w:right w:val="none" w:sz="0" w:space="0" w:color="auto"/>
          </w:divBdr>
        </w:div>
      </w:divsChild>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3309449">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0589375">
      <w:bodyDiv w:val="1"/>
      <w:marLeft w:val="0"/>
      <w:marRight w:val="0"/>
      <w:marTop w:val="0"/>
      <w:marBottom w:val="0"/>
      <w:divBdr>
        <w:top w:val="none" w:sz="0" w:space="0" w:color="auto"/>
        <w:left w:val="none" w:sz="0" w:space="0" w:color="auto"/>
        <w:bottom w:val="none" w:sz="0" w:space="0" w:color="auto"/>
        <w:right w:val="none" w:sz="0" w:space="0" w:color="auto"/>
      </w:divBdr>
      <w:divsChild>
        <w:div w:id="2071534380">
          <w:marLeft w:val="360"/>
          <w:marRight w:val="0"/>
          <w:marTop w:val="200"/>
          <w:marBottom w:val="0"/>
          <w:divBdr>
            <w:top w:val="none" w:sz="0" w:space="0" w:color="auto"/>
            <w:left w:val="none" w:sz="0" w:space="0" w:color="auto"/>
            <w:bottom w:val="none" w:sz="0" w:space="0" w:color="auto"/>
            <w:right w:val="none" w:sz="0" w:space="0" w:color="auto"/>
          </w:divBdr>
        </w:div>
        <w:div w:id="1858082701">
          <w:marLeft w:val="1080"/>
          <w:marRight w:val="0"/>
          <w:marTop w:val="100"/>
          <w:marBottom w:val="0"/>
          <w:divBdr>
            <w:top w:val="none" w:sz="0" w:space="0" w:color="auto"/>
            <w:left w:val="none" w:sz="0" w:space="0" w:color="auto"/>
            <w:bottom w:val="none" w:sz="0" w:space="0" w:color="auto"/>
            <w:right w:val="none" w:sz="0" w:space="0" w:color="auto"/>
          </w:divBdr>
        </w:div>
        <w:div w:id="350953437">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245BB-B0B8-4F23-B62C-C803407F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3075</TotalTime>
  <Pages>1</Pages>
  <Words>330</Words>
  <Characters>1881</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Skyworks solution</Company>
  <LinksUpToDate>false</LinksUpToDate>
  <CharactersWithSpaces>2207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Masashi FUSHIKI</cp:lastModifiedBy>
  <cp:revision>70</cp:revision>
  <cp:lastPrinted>2010-01-07T15:23:00Z</cp:lastPrinted>
  <dcterms:created xsi:type="dcterms:W3CDTF">2021-05-10T08:26:00Z</dcterms:created>
  <dcterms:modified xsi:type="dcterms:W3CDTF">2022-02-14T06:08:00Z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