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R4-2204160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February 21 – March 3, 2022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Discussion on timing requirements for NTN UE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10.13.5.4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2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jc w:val="both"/>
        <w:rPr>
          <w:rFonts w:hint="default" w:eastAsia="宋体"/>
          <w:sz w:val="22"/>
          <w:lang w:val="en-US" w:eastAsia="zh-CN"/>
        </w:rPr>
      </w:pPr>
      <w:r>
        <w:rPr>
          <w:rFonts w:hint="eastAsia" w:eastAsia="宋体"/>
          <w:sz w:val="22"/>
          <w:lang w:val="en-US" w:eastAsia="zh-CN"/>
        </w:rPr>
        <w:t xml:space="preserve">In the last 101-bis-e meeting, timing requirements for NTN timing requirements were discussed and a WF document was approved[1]. In this contribution ,we further provide our views on some open issues. </w:t>
      </w:r>
    </w:p>
    <w:p>
      <w:pPr>
        <w:pStyle w:val="29"/>
        <w:numPr>
          <w:ilvl w:val="0"/>
          <w:numId w:val="6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hAnsi="Times New Roman" w:cs="Times New Roman"/>
          <w:b/>
          <w:bCs/>
          <w:i w:val="0"/>
          <w:iCs w:val="0"/>
          <w:sz w:val="22"/>
          <w:szCs w:val="22"/>
          <w:u w:val="single"/>
          <w:lang w:val="en-GB"/>
        </w:rPr>
      </w:pPr>
      <w:r>
        <w:rPr>
          <w:rFonts w:ascii="Times New Roman" w:hAnsi="Times New Roman" w:cs="Times New Roman"/>
          <w:b/>
          <w:bCs/>
          <w:i w:val="0"/>
          <w:iCs w:val="0"/>
          <w:sz w:val="22"/>
          <w:szCs w:val="22"/>
          <w:u w:val="single"/>
          <w:lang w:val="en-GB"/>
        </w:rPr>
        <w:t>UE initial transmit timing error requirements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hAnsi="Times New Roman" w:cs="Times New Roman"/>
          <w:b/>
          <w:bCs/>
          <w:i w:val="0"/>
          <w:iCs w:val="0"/>
          <w:sz w:val="20"/>
          <w:szCs w:val="20"/>
          <w:u w:val="single"/>
          <w:lang w:val="en-GB"/>
        </w:rPr>
      </w:pPr>
    </w:p>
    <w:p>
      <w:pPr>
        <w:jc w:val="both"/>
        <w:rPr>
          <w:rFonts w:hint="default" w:eastAsia="宋体"/>
          <w:sz w:val="22"/>
          <w:lang w:val="en-US" w:eastAsia="zh-CN"/>
        </w:rPr>
      </w:pPr>
      <w:r>
        <w:rPr>
          <w:rFonts w:hint="eastAsia" w:eastAsia="宋体"/>
          <w:sz w:val="22"/>
          <w:lang w:val="en-US" w:eastAsia="zh-CN"/>
        </w:rPr>
        <w:t>Agreement in RAN4 #101-bis-e:</w:t>
      </w:r>
    </w:p>
    <w:tbl>
      <w:tblPr>
        <w:tblStyle w:val="19"/>
        <w:tblpPr w:leftFromText="180" w:rightFromText="180" w:vertAnchor="text" w:horzAnchor="page" w:tblpX="1134" w:tblpY="35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pStyle w:val="27"/>
              <w:numPr>
                <w:ilvl w:val="0"/>
                <w:numId w:val="7"/>
              </w:numPr>
              <w:spacing w:after="240"/>
              <w:ind w:firstLineChars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Issue 2-2-2: The reference timing for UE transmit timing.</w:t>
            </w:r>
          </w:p>
          <w:p>
            <w:pPr>
              <w:pStyle w:val="27"/>
              <w:numPr>
                <w:ilvl w:val="1"/>
                <w:numId w:val="7"/>
              </w:numPr>
              <w:spacing w:after="240"/>
              <w:ind w:firstLineChars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Agreement:</w:t>
            </w:r>
          </w:p>
          <w:p>
            <w:pPr>
              <w:pStyle w:val="27"/>
              <w:numPr>
                <w:ilvl w:val="2"/>
                <w:numId w:val="7"/>
              </w:numPr>
              <w:spacing w:after="240"/>
              <w:ind w:firstLineChars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The reference timing for the UE transmit timing shall be the downlink timing of the reference cell minus (N</w:t>
            </w:r>
            <w:r>
              <w:rPr>
                <w:rFonts w:ascii="Times New Roman" w:hAnsi="Times New Roman" w:cs="Times New Roman"/>
                <w:vertAlign w:val="subscript"/>
                <w:lang w:val="en-GB"/>
              </w:rPr>
              <w:t>TA</w:t>
            </w:r>
            <w:r>
              <w:rPr>
                <w:rFonts w:ascii="Times New Roman" w:hAnsi="Times New Roman" w:cs="Times New Roman"/>
                <w:lang w:val="en-GB"/>
              </w:rPr>
              <w:t>+N</w:t>
            </w:r>
            <w:r>
              <w:rPr>
                <w:rFonts w:ascii="Times New Roman" w:hAnsi="Times New Roman" w:cs="Times New Roman"/>
                <w:vertAlign w:val="subscript"/>
                <w:lang w:val="en-GB"/>
              </w:rPr>
              <w:t>TA,UE-specific</w:t>
            </w:r>
            <w:r>
              <w:rPr>
                <w:rFonts w:ascii="Times New Roman" w:hAnsi="Times New Roman" w:cs="Times New Roman"/>
                <w:lang w:val="en-GB"/>
              </w:rPr>
              <w:t>+N</w:t>
            </w:r>
            <w:r>
              <w:rPr>
                <w:rFonts w:ascii="Times New Roman" w:hAnsi="Times New Roman" w:cs="Times New Roman"/>
                <w:vertAlign w:val="subscript"/>
                <w:lang w:val="en-GB"/>
              </w:rPr>
              <w:t>TA,common</w:t>
            </w:r>
            <w:r>
              <w:rPr>
                <w:rFonts w:ascii="Times New Roman" w:hAnsi="Times New Roman" w:cs="Times New Roman"/>
                <w:lang w:val="en-GB"/>
              </w:rPr>
              <w:t>+N</w:t>
            </w:r>
            <w:r>
              <w:rPr>
                <w:rFonts w:ascii="Times New Roman" w:hAnsi="Times New Roman" w:cs="Times New Roman"/>
                <w:vertAlign w:val="subscript"/>
                <w:lang w:val="en-GB"/>
              </w:rPr>
              <w:t>TA,offset</w:t>
            </w:r>
            <w:r>
              <w:rPr>
                <w:rFonts w:ascii="Times New Roman" w:hAnsi="Times New Roman" w:cs="Times New Roman"/>
                <w:lang w:val="en-GB"/>
              </w:rPr>
              <w:t>) ×T</w:t>
            </w:r>
            <w:r>
              <w:rPr>
                <w:rFonts w:ascii="Times New Roman" w:hAnsi="Times New Roman" w:cs="Times New Roman"/>
                <w:vertAlign w:val="subscript"/>
                <w:lang w:val="en-GB"/>
              </w:rPr>
              <w:t>c</w:t>
            </w:r>
            <w:r>
              <w:rPr>
                <w:rFonts w:ascii="Times New Roman" w:hAnsi="Times New Roman" w:cs="Times New Roman"/>
                <w:lang w:val="en-GB"/>
              </w:rPr>
              <w:t>.</w:t>
            </w:r>
          </w:p>
          <w:p>
            <w:pPr>
              <w:pStyle w:val="27"/>
              <w:numPr>
                <w:ilvl w:val="2"/>
                <w:numId w:val="7"/>
              </w:numPr>
              <w:spacing w:after="240"/>
              <w:ind w:firstLineChars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FFS the additional clarification on N</w:t>
            </w:r>
            <w:r>
              <w:rPr>
                <w:rFonts w:ascii="Times New Roman" w:hAnsi="Times New Roman" w:cs="Times New Roman"/>
                <w:vertAlign w:val="subscript"/>
                <w:lang w:val="en-GB"/>
              </w:rPr>
              <w:t>TA,UE-specific</w:t>
            </w:r>
            <w:r>
              <w:rPr>
                <w:rFonts w:ascii="Times New Roman" w:hAnsi="Times New Roman" w:cs="Times New Roman"/>
                <w:lang w:val="en-GB"/>
              </w:rPr>
              <w:t xml:space="preserve"> and N</w:t>
            </w:r>
            <w:r>
              <w:rPr>
                <w:rFonts w:ascii="Times New Roman" w:hAnsi="Times New Roman" w:cs="Times New Roman"/>
                <w:vertAlign w:val="subscript"/>
                <w:lang w:val="en-GB"/>
              </w:rPr>
              <w:t>TA,common</w:t>
            </w:r>
            <w:r>
              <w:rPr>
                <w:rFonts w:ascii="Times New Roman" w:hAnsi="Times New Roman" w:cs="Times New Roman"/>
                <w:lang w:val="en-GB"/>
              </w:rPr>
              <w:t>.</w:t>
            </w:r>
          </w:p>
          <w:p>
            <w:pPr>
              <w:pStyle w:val="27"/>
              <w:numPr>
                <w:ilvl w:val="2"/>
                <w:numId w:val="7"/>
              </w:numPr>
              <w:spacing w:after="240"/>
              <w:ind w:firstLineChars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FFS the clarification on the reference propagator model UE used at UE side.</w:t>
            </w:r>
          </w:p>
          <w:p>
            <w:pPr>
              <w:pStyle w:val="27"/>
              <w:numPr>
                <w:ilvl w:val="2"/>
                <w:numId w:val="7"/>
              </w:numPr>
              <w:spacing w:after="240"/>
              <w:ind w:firstLineChars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FFS the clarification on the downlink timing of the reference cell.</w:t>
            </w:r>
          </w:p>
          <w:p>
            <w:pPr>
              <w:pStyle w:val="27"/>
              <w:numPr>
                <w:ilvl w:val="0"/>
                <w:numId w:val="0"/>
              </w:numPr>
              <w:spacing w:after="240"/>
              <w:rPr>
                <w:lang w:val="en-GB"/>
              </w:rPr>
            </w:pPr>
          </w:p>
        </w:tc>
      </w:tr>
    </w:tbl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rFonts w:hint="eastAsia" w:eastAsia="宋体" w:cs="Times New Roman"/>
          <w:b/>
          <w:bCs/>
          <w:lang w:val="en-US" w:eastAsia="zh-CN"/>
        </w:rPr>
      </w:pPr>
    </w:p>
    <w:p>
      <w:pPr>
        <w:pStyle w:val="27"/>
        <w:numPr>
          <w:ilvl w:val="0"/>
          <w:numId w:val="0"/>
        </w:numPr>
        <w:spacing w:after="240"/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The reference timing for the UE transmit timing </w:t>
      </w:r>
      <w:r>
        <w:rPr>
          <w:rFonts w:hint="eastAsia" w:eastAsia="宋体" w:cs="Times New Roman"/>
          <w:sz w:val="22"/>
          <w:szCs w:val="22"/>
          <w:lang w:val="en-US" w:eastAsia="zh-CN"/>
        </w:rPr>
        <w:t>is defined as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 the downlink timing of the reference cell minus (N</w:t>
      </w:r>
      <w:r>
        <w:rPr>
          <w:rFonts w:ascii="Times New Roman" w:hAnsi="Times New Roman" w:cs="Times New Roman"/>
          <w:sz w:val="22"/>
          <w:szCs w:val="22"/>
          <w:vertAlign w:val="subscript"/>
          <w:lang w:val="en-GB"/>
        </w:rPr>
        <w:t>TA</w:t>
      </w:r>
      <w:r>
        <w:rPr>
          <w:rFonts w:ascii="Times New Roman" w:hAnsi="Times New Roman" w:cs="Times New Roman"/>
          <w:sz w:val="22"/>
          <w:szCs w:val="22"/>
          <w:lang w:val="en-GB"/>
        </w:rPr>
        <w:t>+N</w:t>
      </w:r>
      <w:r>
        <w:rPr>
          <w:rFonts w:ascii="Times New Roman" w:hAnsi="Times New Roman" w:cs="Times New Roman"/>
          <w:sz w:val="22"/>
          <w:szCs w:val="22"/>
          <w:vertAlign w:val="subscript"/>
          <w:lang w:val="en-GB"/>
        </w:rPr>
        <w:t>TA,UE-specific</w:t>
      </w:r>
      <w:r>
        <w:rPr>
          <w:rFonts w:ascii="Times New Roman" w:hAnsi="Times New Roman" w:cs="Times New Roman"/>
          <w:sz w:val="22"/>
          <w:szCs w:val="22"/>
          <w:lang w:val="en-GB"/>
        </w:rPr>
        <w:t>+N</w:t>
      </w:r>
      <w:r>
        <w:rPr>
          <w:rFonts w:ascii="Times New Roman" w:hAnsi="Times New Roman" w:cs="Times New Roman"/>
          <w:sz w:val="22"/>
          <w:szCs w:val="22"/>
          <w:vertAlign w:val="subscript"/>
          <w:lang w:val="en-GB"/>
        </w:rPr>
        <w:t>TA,common</w:t>
      </w:r>
      <w:r>
        <w:rPr>
          <w:rFonts w:ascii="Times New Roman" w:hAnsi="Times New Roman" w:cs="Times New Roman"/>
          <w:sz w:val="22"/>
          <w:szCs w:val="22"/>
          <w:lang w:val="en-GB"/>
        </w:rPr>
        <w:t>+N</w:t>
      </w:r>
      <w:r>
        <w:rPr>
          <w:rFonts w:ascii="Times New Roman" w:hAnsi="Times New Roman" w:cs="Times New Roman"/>
          <w:sz w:val="22"/>
          <w:szCs w:val="22"/>
          <w:vertAlign w:val="subscript"/>
          <w:lang w:val="en-GB"/>
        </w:rPr>
        <w:t>TA,offset</w:t>
      </w:r>
      <w:r>
        <w:rPr>
          <w:rFonts w:ascii="Times New Roman" w:hAnsi="Times New Roman" w:cs="Times New Roman"/>
          <w:sz w:val="22"/>
          <w:szCs w:val="22"/>
          <w:lang w:val="en-GB"/>
        </w:rPr>
        <w:t>) ×T</w:t>
      </w:r>
      <w:r>
        <w:rPr>
          <w:rFonts w:ascii="Times New Roman" w:hAnsi="Times New Roman" w:cs="Times New Roman"/>
          <w:sz w:val="22"/>
          <w:szCs w:val="22"/>
          <w:vertAlign w:val="subscript"/>
          <w:lang w:val="en-GB"/>
        </w:rPr>
        <w:t>c</w:t>
      </w:r>
      <w:r>
        <w:rPr>
          <w:rFonts w:ascii="Times New Roman" w:hAnsi="Times New Roman" w:cs="Times New Roman"/>
          <w:sz w:val="22"/>
          <w:szCs w:val="22"/>
          <w:lang w:val="en-GB"/>
        </w:rPr>
        <w:t>.</w:t>
      </w:r>
      <w:r>
        <w:rPr>
          <w:rFonts w:hint="eastAsia" w:eastAsia="宋体" w:cs="Times New Roman"/>
          <w:sz w:val="22"/>
          <w:szCs w:val="22"/>
          <w:lang w:val="en-US" w:eastAsia="zh-CN"/>
        </w:rPr>
        <w:t xml:space="preserve">  The </w:t>
      </w:r>
      <w:r>
        <w:rPr>
          <w:rFonts w:hint="eastAsia" w:eastAsia="宋体"/>
          <w:sz w:val="22"/>
          <w:szCs w:val="22"/>
          <w:lang w:val="en-GB" w:eastAsia="zh-CN"/>
        </w:rPr>
        <w:t>downlink timing of the reference cell</w:t>
      </w:r>
      <w:r>
        <w:rPr>
          <w:rFonts w:hint="eastAsia" w:eastAsia="宋体"/>
          <w:sz w:val="22"/>
          <w:szCs w:val="22"/>
          <w:lang w:val="en-US" w:eastAsia="zh-CN"/>
        </w:rPr>
        <w:t xml:space="preserve">  and </w:t>
      </w:r>
      <w:r>
        <w:rPr>
          <w:rFonts w:hint="eastAsia" w:eastAsia="宋体"/>
          <w:sz w:val="22"/>
          <w:szCs w:val="22"/>
          <w:lang w:val="en-GB" w:eastAsia="zh-CN"/>
        </w:rPr>
        <w:t>N</w:t>
      </w:r>
      <w:r>
        <w:rPr>
          <w:rFonts w:hint="eastAsia" w:eastAsia="宋体"/>
          <w:sz w:val="22"/>
          <w:szCs w:val="22"/>
          <w:vertAlign w:val="subscript"/>
          <w:lang w:val="en-GB" w:eastAsia="zh-CN"/>
        </w:rPr>
        <w:t>TA</w:t>
      </w:r>
      <w:r>
        <w:rPr>
          <w:rFonts w:hint="eastAsia" w:eastAsia="宋体"/>
          <w:sz w:val="22"/>
          <w:szCs w:val="22"/>
          <w:lang w:val="en-GB" w:eastAsia="zh-CN"/>
        </w:rPr>
        <w:t>,common</w:t>
      </w:r>
      <w:r>
        <w:rPr>
          <w:rFonts w:hint="eastAsia" w:eastAsia="宋体"/>
          <w:sz w:val="22"/>
          <w:szCs w:val="22"/>
          <w:lang w:val="en-US" w:eastAsia="zh-CN"/>
        </w:rPr>
        <w:t xml:space="preserve"> needs further explanation.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rFonts w:hint="eastAsia" w:eastAsia="宋体" w:cs="Times New Roman"/>
          <w:b w:val="0"/>
          <w:bCs w:val="0"/>
          <w:sz w:val="22"/>
          <w:szCs w:val="22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2"/>
          <w:szCs w:val="22"/>
          <w:lang w:val="en-US" w:eastAsia="zh-CN"/>
        </w:rPr>
        <w:t>In RAN4#101-e meeting , the following agreement was approved:</w:t>
      </w:r>
    </w:p>
    <w:p>
      <w:pPr>
        <w:pStyle w:val="27"/>
        <w:widowControl/>
        <w:numPr>
          <w:ilvl w:val="0"/>
          <w:numId w:val="0"/>
        </w:numPr>
        <w:tabs>
          <w:tab w:val="left" w:pos="1440"/>
        </w:tabs>
        <w:spacing w:after="120" w:line="259" w:lineRule="auto"/>
        <w:ind w:left="420" w:leftChars="0"/>
        <w:jc w:val="left"/>
        <w:rPr>
          <w:rFonts w:ascii="Times New Roman" w:hAnsi="Times New Roman" w:cs="Times New Roman"/>
          <w:i/>
          <w:iCs/>
          <w:sz w:val="22"/>
          <w:szCs w:val="22"/>
          <w:lang w:val="en-GB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en-GB"/>
        </w:rPr>
        <w:t>Agreement:</w:t>
      </w:r>
    </w:p>
    <w:p>
      <w:pPr>
        <w:pStyle w:val="27"/>
        <w:widowControl/>
        <w:numPr>
          <w:ilvl w:val="0"/>
          <w:numId w:val="0"/>
        </w:numPr>
        <w:tabs>
          <w:tab w:val="left" w:pos="2160"/>
        </w:tabs>
        <w:spacing w:after="120" w:line="259" w:lineRule="auto"/>
        <w:ind w:left="840" w:leftChars="0"/>
        <w:jc w:val="left"/>
        <w:rPr>
          <w:rFonts w:ascii="Times New Roman" w:hAnsi="Times New Roman" w:cs="Times New Roman"/>
          <w:i/>
          <w:iCs/>
          <w:sz w:val="22"/>
          <w:szCs w:val="22"/>
          <w:lang w:val="en-GB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en-GB"/>
        </w:rPr>
        <w:t xml:space="preserve">Reuse the RAN1 definition of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  <w:lang w:val="en-GB"/>
              </w:rPr>
              <m:t>N</m:t>
            </m: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en-GB"/>
              </w:rPr>
            </m:ctrlPr>
          </m:e>
          <m:sub>
            <m:r>
              <w:rPr>
                <w:rFonts w:ascii="Cambria Math" w:hAnsi="Cambria Math" w:cs="Times New Roman"/>
                <w:sz w:val="22"/>
                <w:szCs w:val="22"/>
                <w:lang w:val="en-GB"/>
              </w:rPr>
              <m:t>TA,UE-specific</m:t>
            </m: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en-GB"/>
              </w:rPr>
            </m:ctrlPr>
          </m:sub>
        </m:sSub>
      </m:oMath>
      <w:r>
        <w:rPr>
          <w:rFonts w:ascii="Times New Roman" w:hAnsi="Times New Roman" w:cs="Times New Roman"/>
          <w:i/>
          <w:iCs/>
          <w:sz w:val="22"/>
          <w:szCs w:val="22"/>
          <w:lang w:val="en-GB"/>
        </w:rPr>
        <w:t xml:space="preserve"> for RAN4 requirement, i.e.,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  <w:lang w:val="en-GB"/>
              </w:rPr>
              <m:t>N</m:t>
            </m: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en-GB"/>
              </w:rPr>
            </m:ctrlPr>
          </m:e>
          <m:sub>
            <m:r>
              <w:rPr>
                <w:rFonts w:ascii="Cambria Math" w:hAnsi="Cambria Math" w:cs="Times New Roman"/>
                <w:sz w:val="22"/>
                <w:szCs w:val="22"/>
                <w:lang w:val="en-GB"/>
              </w:rPr>
              <m:t>TA,UE-specific</m:t>
            </m: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en-GB"/>
              </w:rPr>
            </m:ctrlPr>
          </m:sub>
        </m:sSub>
      </m:oMath>
      <w:r>
        <w:rPr>
          <w:rFonts w:ascii="Times New Roman" w:hAnsi="Times New Roman" w:cs="Times New Roman"/>
          <w:i/>
          <w:iCs/>
          <w:sz w:val="22"/>
          <w:szCs w:val="22"/>
          <w:lang w:val="en-GB"/>
        </w:rPr>
        <w:t> is UE self-estimated TA to pre-compensate for the service link delay.</w:t>
      </w:r>
    </w:p>
    <w:p>
      <w:pPr>
        <w:pStyle w:val="27"/>
        <w:widowControl/>
        <w:numPr>
          <w:ilvl w:val="0"/>
          <w:numId w:val="0"/>
        </w:numPr>
        <w:tabs>
          <w:tab w:val="left" w:pos="2160"/>
        </w:tabs>
        <w:spacing w:after="120" w:line="259" w:lineRule="auto"/>
        <w:jc w:val="left"/>
        <w:rPr>
          <w:rFonts w:hint="eastAsia" w:ascii="Times New Roman" w:hAnsi="Times New Roman" w:eastAsia="宋体" w:cs="Times New Roman"/>
          <w:i w:val="0"/>
          <w:iCs w:val="0"/>
          <w:sz w:val="22"/>
          <w:szCs w:val="22"/>
          <w:lang w:val="en-US" w:eastAsia="zh-CN"/>
        </w:rPr>
      </w:pPr>
    </w:p>
    <w:p>
      <w:pPr>
        <w:jc w:val="both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For </w:t>
      </w:r>
      <w:r>
        <w:rPr>
          <w:rFonts w:hint="eastAsia" w:eastAsia="宋体"/>
          <w:sz w:val="22"/>
          <w:szCs w:val="22"/>
          <w:lang w:val="en-GB" w:eastAsia="zh-CN"/>
        </w:rPr>
        <w:t>N</w:t>
      </w:r>
      <w:r>
        <w:rPr>
          <w:rFonts w:hint="eastAsia" w:eastAsia="宋体"/>
          <w:sz w:val="22"/>
          <w:szCs w:val="22"/>
          <w:vertAlign w:val="subscript"/>
          <w:lang w:val="en-GB" w:eastAsia="zh-CN"/>
        </w:rPr>
        <w:t>TA</w:t>
      </w:r>
      <w:r>
        <w:rPr>
          <w:rFonts w:hint="eastAsia" w:eastAsia="宋体"/>
          <w:sz w:val="22"/>
          <w:szCs w:val="22"/>
          <w:lang w:val="en-GB" w:eastAsia="zh-CN"/>
        </w:rPr>
        <w:t>,common</w:t>
      </w:r>
      <w:r>
        <w:rPr>
          <w:rFonts w:hint="eastAsia" w:eastAsia="宋体"/>
          <w:sz w:val="22"/>
          <w:szCs w:val="22"/>
          <w:lang w:val="en-US" w:eastAsia="zh-CN"/>
        </w:rPr>
        <w:t>, it is suggested also reusing RAN1 definition of  N</w:t>
      </w:r>
      <w:r>
        <w:rPr>
          <w:rFonts w:hint="eastAsia" w:eastAsia="宋体"/>
          <w:sz w:val="22"/>
          <w:szCs w:val="22"/>
          <w:vertAlign w:val="subscript"/>
          <w:lang w:val="en-US" w:eastAsia="zh-CN"/>
        </w:rPr>
        <w:t>TA</w:t>
      </w:r>
      <w:r>
        <w:rPr>
          <w:rFonts w:hint="eastAsia" w:eastAsia="宋体"/>
          <w:sz w:val="22"/>
          <w:szCs w:val="22"/>
          <w:lang w:val="en-US" w:eastAsia="zh-CN"/>
        </w:rPr>
        <w:t>,common for RRM requirements.</w:t>
      </w:r>
    </w:p>
    <w:p>
      <w:pPr>
        <w:jc w:val="both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The </w:t>
      </w:r>
      <w:r>
        <w:rPr>
          <w:rFonts w:hint="eastAsia" w:eastAsia="宋体"/>
          <w:sz w:val="22"/>
          <w:szCs w:val="22"/>
          <w:lang w:val="en-GB" w:eastAsia="zh-CN"/>
        </w:rPr>
        <w:t>downlink timing of the reference cell</w:t>
      </w:r>
      <w:r>
        <w:rPr>
          <w:rFonts w:hint="eastAsia" w:eastAsia="宋体"/>
          <w:sz w:val="22"/>
          <w:szCs w:val="22"/>
          <w:lang w:val="en-US" w:eastAsia="zh-CN"/>
        </w:rPr>
        <w:t xml:space="preserve"> should be specified. It is the DL slot corresponding to the UL slot that UE initiates UL transmitting.</w:t>
      </w:r>
    </w:p>
    <w:p>
      <w:pPr>
        <w:jc w:val="both"/>
        <w:rPr>
          <w:rFonts w:hint="eastAsia" w:eastAsia="宋体"/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/>
        </w:rPr>
        <w:t>Proposal 1: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Reuse RAN1 definition of  N</w:t>
      </w:r>
      <w:r>
        <w:rPr>
          <w:rFonts w:hint="eastAsia" w:eastAsia="宋体"/>
          <w:b/>
          <w:bCs/>
          <w:sz w:val="22"/>
          <w:szCs w:val="22"/>
          <w:vertAlign w:val="subscript"/>
          <w:lang w:val="en-US" w:eastAsia="zh-CN"/>
        </w:rPr>
        <w:t>TA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,common for RRM requirements.</w:t>
      </w:r>
    </w:p>
    <w:p>
      <w:pPr>
        <w:jc w:val="both"/>
        <w:rPr>
          <w:rFonts w:hint="default" w:eastAsia="宋体"/>
          <w:sz w:val="22"/>
          <w:szCs w:val="22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hAnsi="Times New Roman" w:cs="Times New Roman"/>
          <w:b/>
          <w:bCs/>
          <w:i w:val="0"/>
          <w:iCs w:val="0"/>
          <w:sz w:val="22"/>
          <w:szCs w:val="22"/>
          <w:u w:val="single"/>
          <w:lang w:val="en-GB"/>
        </w:rPr>
      </w:pPr>
      <w:r>
        <w:rPr>
          <w:rFonts w:ascii="Times New Roman" w:hAnsi="Times New Roman" w:cs="Times New Roman"/>
          <w:b/>
          <w:bCs/>
          <w:i w:val="0"/>
          <w:iCs w:val="0"/>
          <w:sz w:val="22"/>
          <w:szCs w:val="22"/>
          <w:u w:val="single"/>
          <w:lang w:val="en-GB"/>
        </w:rPr>
        <w:t>Double correction issue related to combination of open and closed loop TA control</w:t>
      </w:r>
    </w:p>
    <w:tbl>
      <w:tblPr>
        <w:tblStyle w:val="19"/>
        <w:tblpPr w:leftFromText="180" w:rightFromText="180" w:vertAnchor="text" w:horzAnchor="page" w:tblpX="1134" w:tblpY="35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pStyle w:val="27"/>
              <w:numPr>
                <w:ilvl w:val="0"/>
                <w:numId w:val="7"/>
              </w:numPr>
              <w:spacing w:after="240"/>
              <w:ind w:firstLineChars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Issue 2-3-1: Double correction issue related to combination of open and closed loop TA control.</w:t>
            </w:r>
          </w:p>
          <w:p>
            <w:pPr>
              <w:pStyle w:val="27"/>
              <w:numPr>
                <w:ilvl w:val="1"/>
                <w:numId w:val="7"/>
              </w:numPr>
              <w:spacing w:after="240"/>
              <w:ind w:firstLineChars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Option 1: </w:t>
            </w:r>
          </w:p>
          <w:p>
            <w:pPr>
              <w:pStyle w:val="27"/>
              <w:numPr>
                <w:ilvl w:val="2"/>
                <w:numId w:val="7"/>
              </w:numPr>
              <w:spacing w:after="240"/>
              <w:ind w:firstLineChars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Double correction issue can be addressed by defining NTN UE initial timing accuracy requirement for all UL transmissions.</w:t>
            </w:r>
          </w:p>
          <w:p>
            <w:pPr>
              <w:pStyle w:val="27"/>
              <w:numPr>
                <w:ilvl w:val="1"/>
                <w:numId w:val="7"/>
              </w:numPr>
              <w:spacing w:after="240"/>
              <w:ind w:firstLineChars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Option 2: </w:t>
            </w:r>
          </w:p>
          <w:p>
            <w:pPr>
              <w:pStyle w:val="27"/>
              <w:numPr>
                <w:ilvl w:val="2"/>
                <w:numId w:val="7"/>
              </w:numPr>
              <w:spacing w:after="240"/>
              <w:ind w:firstLineChars="0"/>
              <w:rPr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Double correction issue can be addressed under the framework of gradual timing adjustment accuracy requirement.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hAnsi="Times New Roman" w:cs="Times New Roman"/>
          <w:b/>
          <w:bCs/>
          <w:i w:val="0"/>
          <w:iCs w:val="0"/>
          <w:sz w:val="22"/>
          <w:szCs w:val="22"/>
          <w:u w:val="single"/>
          <w:lang w:val="en-GB"/>
        </w:rPr>
      </w:pPr>
    </w:p>
    <w:p>
      <w:pPr>
        <w:jc w:val="both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We prefer to solve double correction issue under the framework of </w:t>
      </w:r>
      <w:r>
        <w:rPr>
          <w:rFonts w:hint="eastAsia" w:eastAsia="宋体"/>
          <w:sz w:val="22"/>
          <w:szCs w:val="22"/>
          <w:lang w:val="en-GB" w:eastAsia="zh-CN"/>
        </w:rPr>
        <w:t>gradual timing adjustment accuracy requirement</w:t>
      </w:r>
      <w:r>
        <w:rPr>
          <w:rFonts w:hint="eastAsia" w:eastAsia="宋体"/>
          <w:sz w:val="22"/>
          <w:szCs w:val="22"/>
          <w:lang w:val="en-US" w:eastAsia="zh-CN"/>
        </w:rPr>
        <w:t>.  The UE uses g</w:t>
      </w:r>
      <w:r>
        <w:rPr>
          <w:rFonts w:hint="eastAsia" w:eastAsia="宋体"/>
          <w:sz w:val="22"/>
          <w:szCs w:val="22"/>
          <w:lang w:val="en-GB" w:eastAsia="zh-CN"/>
        </w:rPr>
        <w:t>radual timing adjustment</w:t>
      </w:r>
      <w:r>
        <w:rPr>
          <w:rFonts w:hint="eastAsia" w:eastAsia="宋体"/>
          <w:sz w:val="22"/>
          <w:szCs w:val="22"/>
          <w:lang w:val="en-US" w:eastAsia="zh-CN"/>
        </w:rPr>
        <w:t xml:space="preserve"> to adjust its timing within </w:t>
      </w:r>
      <w:r>
        <w:rPr>
          <w:rFonts w:hint="eastAsia" w:eastAsia="宋体"/>
          <w:sz w:val="22"/>
          <w:szCs w:val="22"/>
          <w:lang w:val="en-US" w:eastAsia="zh-CN"/>
        </w:rPr>
        <w:sym w:font="Symbol" w:char="F0B1"/>
      </w:r>
      <w:r>
        <w:rPr>
          <w:rFonts w:hint="eastAsia" w:eastAsia="宋体"/>
          <w:sz w:val="22"/>
          <w:szCs w:val="22"/>
          <w:lang w:val="en-US" w:eastAsia="zh-CN"/>
        </w:rPr>
        <w:t>Te during UL transmission. Option 1 may request the UE to perform timing estimation frequently,which is not expected.</w:t>
      </w:r>
    </w:p>
    <w:p>
      <w:pPr>
        <w:pStyle w:val="27"/>
        <w:numPr>
          <w:ilvl w:val="0"/>
          <w:numId w:val="0"/>
        </w:numPr>
        <w:spacing w:after="240"/>
        <w:rPr>
          <w:rFonts w:ascii="Times New Roman" w:hAnsi="Times New Roman" w:cs="Times New Roman"/>
          <w:b/>
          <w:bCs/>
          <w:lang w:val="en-GB"/>
        </w:rPr>
      </w:pPr>
      <w:r>
        <w:rPr>
          <w:b/>
          <w:bCs/>
          <w:sz w:val="22"/>
          <w:szCs w:val="22"/>
          <w:lang w:val="en-US"/>
        </w:rPr>
        <w:t xml:space="preserve">Proposal 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2</w:t>
      </w:r>
      <w:r>
        <w:rPr>
          <w:b/>
          <w:bCs/>
          <w:sz w:val="22"/>
          <w:szCs w:val="22"/>
          <w:lang w:val="en-US"/>
        </w:rPr>
        <w:t>: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 Option 2 in </w:t>
      </w:r>
      <w:r>
        <w:rPr>
          <w:rFonts w:hint="eastAsia" w:eastAsia="宋体" w:cs="Times New Roman"/>
          <w:b/>
          <w:bCs/>
          <w:lang w:val="en-US" w:eastAsia="zh-CN"/>
        </w:rPr>
        <w:t xml:space="preserve">WF[1] 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is supported :</w:t>
      </w:r>
      <w:r>
        <w:rPr>
          <w:rFonts w:ascii="Times New Roman" w:hAnsi="Times New Roman" w:cs="Times New Roman"/>
          <w:b/>
          <w:bCs/>
          <w:sz w:val="22"/>
          <w:szCs w:val="28"/>
          <w:lang w:val="en-GB"/>
        </w:rPr>
        <w:t>Double correction issue can be addressed under the framework of gradual timing adjustment accuracy requirement.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 w:eastAsia="宋体" w:cs="Times New Roman"/>
          <w:b/>
          <w:bCs/>
          <w:i w:val="0"/>
          <w:iCs w:val="0"/>
          <w:sz w:val="22"/>
          <w:szCs w:val="22"/>
          <w:u w:val="single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 w:ascii="Times New Roman" w:hAnsi="Times New Roman" w:cs="Times New Roman"/>
          <w:b/>
          <w:bCs/>
          <w:i w:val="0"/>
          <w:iCs w:val="0"/>
          <w:sz w:val="22"/>
          <w:szCs w:val="22"/>
          <w:u w:val="single"/>
          <w:lang w:val="en-US" w:eastAsia="zh-CN"/>
        </w:rPr>
      </w:pPr>
      <w:r>
        <w:rPr>
          <w:rFonts w:hint="eastAsia" w:eastAsia="宋体" w:cs="Times New Roman"/>
          <w:b/>
          <w:bCs/>
          <w:i w:val="0"/>
          <w:iCs w:val="0"/>
          <w:sz w:val="22"/>
          <w:szCs w:val="22"/>
          <w:u w:val="single"/>
          <w:lang w:val="en-US" w:eastAsia="zh-CN"/>
        </w:rPr>
        <w:t>G</w:t>
      </w:r>
      <w:r>
        <w:rPr>
          <w:rFonts w:ascii="Times New Roman" w:hAnsi="Times New Roman" w:cs="Times New Roman"/>
          <w:b/>
          <w:bCs/>
          <w:i w:val="0"/>
          <w:iCs w:val="0"/>
          <w:sz w:val="22"/>
          <w:szCs w:val="22"/>
          <w:u w:val="single"/>
          <w:lang w:val="en-GB"/>
        </w:rPr>
        <w:t>radual timing adjustment requirements</w:t>
      </w:r>
    </w:p>
    <w:tbl>
      <w:tblPr>
        <w:tblStyle w:val="19"/>
        <w:tblpPr w:leftFromText="180" w:rightFromText="180" w:vertAnchor="text" w:horzAnchor="page" w:tblpX="1134" w:tblpY="35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pStyle w:val="27"/>
              <w:numPr>
                <w:ilvl w:val="0"/>
                <w:numId w:val="7"/>
              </w:numPr>
              <w:spacing w:after="240"/>
              <w:ind w:firstLineChars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Issue 2-4-1: The principles for defining gradual timing adjustment requirement</w:t>
            </w:r>
          </w:p>
          <w:p>
            <w:pPr>
              <w:pStyle w:val="27"/>
              <w:numPr>
                <w:ilvl w:val="1"/>
                <w:numId w:val="7"/>
              </w:numPr>
              <w:tabs>
                <w:tab w:val="left" w:pos="1440"/>
              </w:tabs>
              <w:spacing w:after="240"/>
              <w:ind w:firstLineChars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Option1: </w:t>
            </w:r>
          </w:p>
          <w:p>
            <w:pPr>
              <w:pStyle w:val="27"/>
              <w:numPr>
                <w:ilvl w:val="2"/>
                <w:numId w:val="7"/>
              </w:numPr>
              <w:tabs>
                <w:tab w:val="left" w:pos="2160"/>
              </w:tabs>
              <w:spacing w:after="240"/>
              <w:ind w:firstLineChars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Whether and how to relax the gradual timing adjustment requirement accordingly to accommodate the timing change/drift, i.e. updating Tq, Tp, and/or the rate</w:t>
            </w:r>
          </w:p>
          <w:p>
            <w:pPr>
              <w:pStyle w:val="27"/>
              <w:numPr>
                <w:ilvl w:val="3"/>
                <w:numId w:val="7"/>
              </w:numPr>
              <w:tabs>
                <w:tab w:val="left" w:pos="2880"/>
              </w:tabs>
              <w:spacing w:after="240"/>
              <w:ind w:firstLineChars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FFS on the propagation delay drift for service link and feeder link.</w:t>
            </w:r>
          </w:p>
          <w:p>
            <w:pPr>
              <w:pStyle w:val="27"/>
              <w:numPr>
                <w:ilvl w:val="2"/>
                <w:numId w:val="7"/>
              </w:numPr>
              <w:tabs>
                <w:tab w:val="left" w:pos="2160"/>
              </w:tabs>
              <w:spacing w:after="240"/>
              <w:ind w:firstLineChars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NTN UE is required to adjust its UL timing towards updated UE specific TA and DL timing gradually, according to minimum and maximum aggregate adjustment rate requirements</w:t>
            </w:r>
          </w:p>
          <w:p>
            <w:pPr>
              <w:pStyle w:val="27"/>
              <w:numPr>
                <w:ilvl w:val="1"/>
                <w:numId w:val="7"/>
              </w:numPr>
              <w:tabs>
                <w:tab w:val="left" w:pos="1440"/>
              </w:tabs>
              <w:spacing w:after="240"/>
              <w:ind w:firstLineChars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hint="eastAsia" w:ascii="Times New Roman" w:hAnsi="Times New Roman" w:cs="Times New Roman"/>
                <w:lang w:val="en-GB"/>
              </w:rPr>
              <w:t>O</w:t>
            </w:r>
            <w:r>
              <w:rPr>
                <w:rFonts w:ascii="Times New Roman" w:hAnsi="Times New Roman" w:cs="Times New Roman"/>
                <w:lang w:val="en-GB"/>
              </w:rPr>
              <w:t xml:space="preserve">ption 2: </w:t>
            </w:r>
          </w:p>
          <w:p>
            <w:pPr>
              <w:pStyle w:val="27"/>
              <w:numPr>
                <w:ilvl w:val="2"/>
                <w:numId w:val="7"/>
              </w:numPr>
              <w:tabs>
                <w:tab w:val="left" w:pos="2160"/>
              </w:tabs>
              <w:spacing w:after="240"/>
              <w:ind w:firstLineChars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hint="eastAsia" w:ascii="Times New Roman" w:hAnsi="Times New Roman" w:cs="Times New Roman"/>
                <w:lang w:val="en-GB"/>
              </w:rPr>
              <w:t>N</w:t>
            </w:r>
            <w:r>
              <w:rPr>
                <w:rFonts w:ascii="Times New Roman" w:hAnsi="Times New Roman" w:cs="Times New Roman"/>
                <w:lang w:val="en-GB"/>
              </w:rPr>
              <w:t>ot define gradual timing adjustment requirement for NTN UE;</w:t>
            </w:r>
          </w:p>
          <w:p>
            <w:pPr>
              <w:pStyle w:val="27"/>
              <w:numPr>
                <w:ilvl w:val="2"/>
                <w:numId w:val="7"/>
              </w:numPr>
              <w:tabs>
                <w:tab w:val="left" w:pos="2160"/>
              </w:tabs>
              <w:spacing w:after="240"/>
              <w:ind w:firstLineChars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hint="eastAsia" w:ascii="Times New Roman" w:hAnsi="Times New Roman" w:cs="Times New Roman"/>
                <w:lang w:val="en-GB"/>
              </w:rPr>
              <w:t>R</w:t>
            </w:r>
            <w:r>
              <w:rPr>
                <w:rFonts w:ascii="Times New Roman" w:hAnsi="Times New Roman" w:cs="Times New Roman"/>
                <w:lang w:val="en-GB"/>
              </w:rPr>
              <w:t>eplace gradual timing adjustment requirement with NTN UE initial timing accuracy requirement, i.e. NTN UE initial timing accuracy requirement applies to all UL transmissions.</w:t>
            </w:r>
          </w:p>
          <w:p>
            <w:pPr>
              <w:pStyle w:val="27"/>
              <w:numPr>
                <w:ilvl w:val="0"/>
                <w:numId w:val="0"/>
              </w:numPr>
              <w:spacing w:after="240"/>
              <w:rPr>
                <w:lang w:val="en-GB"/>
              </w:rPr>
            </w:pPr>
          </w:p>
        </w:tc>
      </w:tr>
    </w:tbl>
    <w:p>
      <w:pPr>
        <w:pStyle w:val="27"/>
        <w:widowControl/>
        <w:numPr>
          <w:ilvl w:val="0"/>
          <w:numId w:val="0"/>
        </w:numPr>
        <w:tabs>
          <w:tab w:val="left" w:pos="2160"/>
        </w:tabs>
        <w:spacing w:after="120" w:line="259" w:lineRule="auto"/>
        <w:jc w:val="left"/>
        <w:rPr>
          <w:rFonts w:hint="default" w:eastAsia="宋体" w:cs="Times New Roman"/>
          <w:lang w:val="en-US" w:eastAsia="zh-CN"/>
        </w:rPr>
      </w:pPr>
    </w:p>
    <w:p>
      <w:pPr>
        <w:pStyle w:val="27"/>
        <w:numPr>
          <w:ilvl w:val="0"/>
          <w:numId w:val="0"/>
        </w:numPr>
        <w:spacing w:after="240"/>
        <w:ind w:leftChars="0"/>
        <w:rPr>
          <w:rFonts w:hint="eastAsia" w:eastAsia="宋体" w:cs="Times New Roman"/>
          <w:i w:val="0"/>
          <w:iCs w:val="0"/>
          <w:lang w:val="en-US" w:eastAsia="zh-CN"/>
        </w:rPr>
      </w:pPr>
    </w:p>
    <w:p>
      <w:pPr>
        <w:pStyle w:val="27"/>
        <w:numPr>
          <w:ilvl w:val="0"/>
          <w:numId w:val="0"/>
        </w:numPr>
        <w:spacing w:after="240"/>
        <w:ind w:leftChars="0"/>
        <w:rPr>
          <w:rFonts w:hint="eastAsia" w:ascii="Times New Roman" w:hAnsi="Times New Roman" w:eastAsia="宋体" w:cstheme="minorBidi"/>
          <w:sz w:val="22"/>
          <w:szCs w:val="22"/>
          <w:lang w:val="en-US" w:eastAsia="zh-CN" w:bidi="ar-SA"/>
        </w:rPr>
      </w:pPr>
      <w:r>
        <w:rPr>
          <w:rFonts w:hint="eastAsia" w:ascii="Times New Roman" w:hAnsi="Times New Roman" w:eastAsia="宋体" w:cstheme="minorBidi"/>
          <w:sz w:val="22"/>
          <w:szCs w:val="22"/>
          <w:lang w:val="en-US" w:eastAsia="zh-CN" w:bidi="ar-SA"/>
        </w:rPr>
        <w:t xml:space="preserve">This issue relates to double correction issue 2-3-1. We prefer option 1 for the </w:t>
      </w:r>
      <w:r>
        <w:rPr>
          <w:rFonts w:hint="eastAsia" w:ascii="Times New Roman" w:hAnsi="Times New Roman" w:eastAsia="宋体" w:cstheme="minorBidi"/>
          <w:sz w:val="22"/>
          <w:szCs w:val="22"/>
          <w:lang w:val="en-GB" w:eastAsia="zh-CN" w:bidi="ar-SA"/>
        </w:rPr>
        <w:t>principles for defining gradual timing adjustment requirement</w:t>
      </w:r>
      <w:r>
        <w:rPr>
          <w:rFonts w:hint="eastAsia" w:ascii="Times New Roman" w:hAnsi="Times New Roman" w:eastAsia="宋体" w:cstheme="minorBidi"/>
          <w:sz w:val="22"/>
          <w:szCs w:val="22"/>
          <w:lang w:val="en-US" w:eastAsia="zh-CN" w:bidi="ar-SA"/>
        </w:rPr>
        <w:t>. We</w:t>
      </w:r>
      <w:r>
        <w:rPr>
          <w:rFonts w:hint="default" w:ascii="Times New Roman" w:hAnsi="Times New Roman" w:eastAsia="宋体" w:cstheme="minorBidi"/>
          <w:sz w:val="22"/>
          <w:szCs w:val="22"/>
          <w:lang w:val="en-US" w:eastAsia="zh-CN" w:bidi="ar-SA"/>
        </w:rPr>
        <w:t>’</w:t>
      </w:r>
      <w:r>
        <w:rPr>
          <w:rFonts w:hint="eastAsia" w:ascii="Times New Roman" w:hAnsi="Times New Roman" w:eastAsia="宋体" w:cstheme="minorBidi"/>
          <w:sz w:val="22"/>
          <w:szCs w:val="22"/>
          <w:lang w:val="en-US" w:eastAsia="zh-CN" w:bidi="ar-SA"/>
        </w:rPr>
        <w:t xml:space="preserve">d like to keep the current logic of  </w:t>
      </w:r>
      <w:r>
        <w:rPr>
          <w:rFonts w:hint="eastAsia" w:ascii="Times New Roman" w:hAnsi="Times New Roman" w:eastAsia="宋体" w:cstheme="minorBidi"/>
          <w:sz w:val="22"/>
          <w:szCs w:val="22"/>
          <w:lang w:val="en-GB" w:eastAsia="zh-CN" w:bidi="ar-SA"/>
        </w:rPr>
        <w:t>gradual timing adjustment requirement</w:t>
      </w:r>
      <w:r>
        <w:rPr>
          <w:rFonts w:hint="eastAsia" w:ascii="Times New Roman" w:hAnsi="Times New Roman" w:eastAsia="宋体" w:cstheme="minorBidi"/>
          <w:sz w:val="22"/>
          <w:szCs w:val="22"/>
          <w:lang w:val="en-US" w:eastAsia="zh-CN" w:bidi="ar-SA"/>
        </w:rPr>
        <w:t xml:space="preserve"> with appropriate relax to accommodate possible </w:t>
      </w:r>
      <w:r>
        <w:rPr>
          <w:rFonts w:hint="eastAsia" w:ascii="Times New Roman" w:hAnsi="Times New Roman" w:eastAsia="宋体" w:cstheme="minorBidi"/>
          <w:sz w:val="22"/>
          <w:szCs w:val="22"/>
          <w:lang w:val="en-GB" w:eastAsia="zh-CN" w:bidi="ar-SA"/>
        </w:rPr>
        <w:t>timing change/drift</w:t>
      </w:r>
      <w:r>
        <w:rPr>
          <w:rFonts w:hint="eastAsia" w:ascii="Times New Roman" w:hAnsi="Times New Roman" w:eastAsia="宋体" w:cstheme="minorBidi"/>
          <w:sz w:val="22"/>
          <w:szCs w:val="22"/>
          <w:lang w:val="en-US" w:eastAsia="zh-CN" w:bidi="ar-SA"/>
        </w:rPr>
        <w:t>.</w:t>
      </w:r>
    </w:p>
    <w:p>
      <w:pPr>
        <w:pStyle w:val="27"/>
        <w:numPr>
          <w:ilvl w:val="0"/>
          <w:numId w:val="0"/>
        </w:numPr>
        <w:spacing w:after="240"/>
        <w:ind w:leftChars="0"/>
        <w:rPr>
          <w:rFonts w:hint="eastAsia" w:ascii="Times New Roman" w:hAnsi="Times New Roman" w:eastAsia="宋体" w:cstheme="minorBidi"/>
          <w:sz w:val="22"/>
          <w:szCs w:val="22"/>
          <w:lang w:val="en-US" w:eastAsia="zh-CN" w:bidi="ar-SA"/>
        </w:rPr>
      </w:pPr>
    </w:p>
    <w:p>
      <w:pPr>
        <w:pStyle w:val="27"/>
        <w:numPr>
          <w:numId w:val="0"/>
        </w:numPr>
        <w:tabs>
          <w:tab w:val="left" w:pos="2160"/>
        </w:tabs>
        <w:spacing w:after="240"/>
        <w:rPr>
          <w:rFonts w:hint="default" w:ascii="Times New Roman" w:hAnsi="Times New Roman" w:cs="Times New Roman"/>
          <w:lang w:val="en-US"/>
        </w:rPr>
      </w:pPr>
      <w:r>
        <w:rPr>
          <w:b/>
          <w:bCs/>
          <w:sz w:val="22"/>
          <w:szCs w:val="22"/>
          <w:lang w:val="en-US"/>
        </w:rPr>
        <w:t xml:space="preserve">Proposal 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3</w:t>
      </w:r>
      <w:r>
        <w:rPr>
          <w:b/>
          <w:bCs/>
          <w:sz w:val="22"/>
          <w:szCs w:val="22"/>
          <w:lang w:val="en-US"/>
        </w:rPr>
        <w:t>: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 Relax the </w:t>
      </w:r>
      <w:r>
        <w:rPr>
          <w:rFonts w:hint="eastAsia" w:eastAsia="宋体"/>
          <w:b/>
          <w:bCs/>
          <w:sz w:val="22"/>
          <w:szCs w:val="22"/>
          <w:lang w:val="en-GB" w:eastAsia="zh-CN"/>
        </w:rPr>
        <w:t>gradual timing adjustment requirement accordingly to accommodate the timing change/drift, i.e. updating Tq, Tp, and/or the rate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.</w:t>
      </w:r>
    </w:p>
    <w:p>
      <w:pPr>
        <w:pStyle w:val="27"/>
        <w:numPr>
          <w:ilvl w:val="0"/>
          <w:numId w:val="0"/>
        </w:numPr>
        <w:spacing w:after="240"/>
        <w:ind w:leftChars="0"/>
        <w:rPr>
          <w:rFonts w:hint="default" w:ascii="Times New Roman" w:hAnsi="Times New Roman" w:eastAsia="宋体" w:cstheme="minorBidi"/>
          <w:sz w:val="22"/>
          <w:szCs w:val="22"/>
          <w:lang w:val="en-US" w:eastAsia="zh-CN" w:bidi="ar-SA"/>
        </w:rPr>
      </w:pPr>
    </w:p>
    <w:p>
      <w:pPr>
        <w:pStyle w:val="27"/>
        <w:widowControl/>
        <w:numPr>
          <w:ilvl w:val="0"/>
          <w:numId w:val="0"/>
        </w:numPr>
        <w:tabs>
          <w:tab w:val="left" w:pos="2160"/>
        </w:tabs>
        <w:spacing w:after="120" w:line="259" w:lineRule="auto"/>
        <w:jc w:val="left"/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</w:pPr>
    </w:p>
    <w:p>
      <w:pPr>
        <w:pStyle w:val="29"/>
        <w:numPr>
          <w:ilvl w:val="0"/>
          <w:numId w:val="6"/>
        </w:numPr>
        <w:ind w:left="1134" w:leftChars="0" w:hanging="1134" w:firstLineChars="0"/>
        <w:jc w:val="both"/>
      </w:pPr>
      <w:r>
        <w:t>Conclusion</w:t>
      </w:r>
    </w:p>
    <w:p>
      <w:pPr>
        <w:jc w:val="both"/>
        <w:rPr>
          <w:rFonts w:hint="eastAsia" w:eastAsia="宋体"/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/>
        </w:rPr>
        <w:t>Proposal 1: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Reuse RAN1 definition of  N</w:t>
      </w:r>
      <w:r>
        <w:rPr>
          <w:rFonts w:hint="eastAsia" w:eastAsia="宋体"/>
          <w:b/>
          <w:bCs/>
          <w:sz w:val="22"/>
          <w:szCs w:val="22"/>
          <w:vertAlign w:val="subscript"/>
          <w:lang w:val="en-US" w:eastAsia="zh-CN"/>
        </w:rPr>
        <w:t>TA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,common for RRM requirements.</w:t>
      </w:r>
    </w:p>
    <w:p>
      <w:pPr>
        <w:pStyle w:val="27"/>
        <w:numPr>
          <w:ilvl w:val="0"/>
          <w:numId w:val="0"/>
        </w:numPr>
        <w:spacing w:after="240"/>
        <w:rPr>
          <w:rFonts w:ascii="Times New Roman" w:hAnsi="Times New Roman" w:cs="Times New Roman"/>
          <w:b/>
          <w:bCs/>
          <w:lang w:val="en-GB"/>
        </w:rPr>
      </w:pPr>
      <w:r>
        <w:rPr>
          <w:b/>
          <w:bCs/>
          <w:sz w:val="22"/>
          <w:szCs w:val="22"/>
          <w:lang w:val="en-US"/>
        </w:rPr>
        <w:t xml:space="preserve">Proposal 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2</w:t>
      </w:r>
      <w:r>
        <w:rPr>
          <w:b/>
          <w:bCs/>
          <w:sz w:val="22"/>
          <w:szCs w:val="22"/>
          <w:lang w:val="en-US"/>
        </w:rPr>
        <w:t>: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 Option 2 in </w:t>
      </w:r>
      <w:r>
        <w:rPr>
          <w:rFonts w:hint="eastAsia" w:eastAsia="宋体" w:cs="Times New Roman"/>
          <w:b/>
          <w:bCs/>
          <w:lang w:val="en-US" w:eastAsia="zh-CN"/>
        </w:rPr>
        <w:t xml:space="preserve">WF[1] </w:t>
      </w:r>
      <w:bookmarkStart w:id="4" w:name="_GoBack"/>
      <w:bookmarkEnd w:id="4"/>
      <w:r>
        <w:rPr>
          <w:rFonts w:hint="eastAsia" w:eastAsia="宋体"/>
          <w:b/>
          <w:bCs/>
          <w:sz w:val="22"/>
          <w:szCs w:val="22"/>
          <w:lang w:val="en-US" w:eastAsia="zh-CN"/>
        </w:rPr>
        <w:t>is supported :</w:t>
      </w:r>
      <w:r>
        <w:rPr>
          <w:rFonts w:ascii="Times New Roman" w:hAnsi="Times New Roman" w:cs="Times New Roman"/>
          <w:b/>
          <w:bCs/>
          <w:sz w:val="22"/>
          <w:szCs w:val="28"/>
          <w:lang w:val="en-GB"/>
        </w:rPr>
        <w:t>Double correction issue can be addressed under the framework of gradual timing adjustment accuracy requirement.</w:t>
      </w:r>
    </w:p>
    <w:p>
      <w:pPr>
        <w:pStyle w:val="27"/>
        <w:numPr>
          <w:ilvl w:val="0"/>
          <w:numId w:val="0"/>
        </w:numPr>
        <w:tabs>
          <w:tab w:val="left" w:pos="2160"/>
        </w:tabs>
        <w:spacing w:after="240"/>
        <w:rPr>
          <w:b/>
          <w:bCs/>
          <w:sz w:val="22"/>
          <w:szCs w:val="22"/>
          <w:lang w:val="en-US"/>
        </w:rPr>
      </w:pPr>
    </w:p>
    <w:p>
      <w:pPr>
        <w:pStyle w:val="27"/>
        <w:numPr>
          <w:ilvl w:val="0"/>
          <w:numId w:val="0"/>
        </w:numPr>
        <w:tabs>
          <w:tab w:val="left" w:pos="2160"/>
        </w:tabs>
        <w:spacing w:after="240"/>
        <w:rPr>
          <w:rFonts w:hint="default" w:ascii="Times New Roman" w:hAnsi="Times New Roman" w:cs="Times New Roman"/>
          <w:lang w:val="en-US"/>
        </w:rPr>
      </w:pPr>
      <w:r>
        <w:rPr>
          <w:b/>
          <w:bCs/>
          <w:sz w:val="22"/>
          <w:szCs w:val="22"/>
          <w:lang w:val="en-US"/>
        </w:rPr>
        <w:t xml:space="preserve">Proposal 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3</w:t>
      </w:r>
      <w:r>
        <w:rPr>
          <w:b/>
          <w:bCs/>
          <w:sz w:val="22"/>
          <w:szCs w:val="22"/>
          <w:lang w:val="en-US"/>
        </w:rPr>
        <w:t>: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 Relax the </w:t>
      </w:r>
      <w:r>
        <w:rPr>
          <w:rFonts w:hint="eastAsia" w:eastAsia="宋体"/>
          <w:b/>
          <w:bCs/>
          <w:sz w:val="22"/>
          <w:szCs w:val="22"/>
          <w:lang w:val="en-GB" w:eastAsia="zh-CN"/>
        </w:rPr>
        <w:t>gradual timing adjustment requirement accordingly to accommodate the timing change/drift, i.e. updating Tq, Tp, and/or the rate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.</w:t>
      </w:r>
    </w:p>
    <w:p>
      <w:pPr>
        <w:rPr>
          <w:rFonts w:hint="eastAsia"/>
          <w:b/>
          <w:bCs/>
          <w:sz w:val="20"/>
          <w:szCs w:val="15"/>
          <w:lang w:val="en-US" w:eastAsia="zh-CN"/>
        </w:rPr>
      </w:pPr>
    </w:p>
    <w:p>
      <w:pPr>
        <w:pStyle w:val="29"/>
        <w:jc w:val="both"/>
      </w:pPr>
      <w:r>
        <w:t>References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lang w:eastAsia="zh-CN"/>
        </w:rPr>
      </w:pPr>
      <w:r>
        <w:rPr>
          <w:rFonts w:hint="eastAsia" w:eastAsia="宋体"/>
          <w:lang w:val="en-GB" w:eastAsia="ko-KR"/>
        </w:rPr>
        <w:t>R4-</w:t>
      </w:r>
      <w:r>
        <w:rPr>
          <w:rFonts w:hint="eastAsia" w:eastAsia="宋体"/>
          <w:lang w:val="en-US" w:eastAsia="zh-CN"/>
        </w:rPr>
        <w:t>2202638,</w:t>
      </w:r>
      <w:r>
        <w:rPr>
          <w:rFonts w:hint="eastAsia" w:eastAsia="宋体"/>
          <w:lang w:val="en-GB" w:eastAsia="ko-KR"/>
        </w:rPr>
        <w:t>WF on GNSS-related and timing requirements for NR NTN</w:t>
      </w:r>
      <w:r>
        <w:rPr>
          <w:rFonts w:hint="eastAsia" w:eastAsia="宋体"/>
          <w:lang w:val="en-US" w:eastAsia="zh-CN"/>
        </w:rPr>
        <w:t>,xiaomi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Chars="0"/>
        <w:jc w:val="both"/>
        <w:textAlignment w:val="baseline"/>
        <w:rPr>
          <w:rFonts w:hint="eastAsia" w:eastAsia="宋体"/>
          <w:lang w:eastAsia="zh-CN"/>
        </w:rPr>
      </w:pP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Chars="0"/>
        <w:jc w:val="both"/>
        <w:textAlignment w:val="baseline"/>
        <w:rPr>
          <w:rFonts w:eastAsia="宋体"/>
          <w:lang w:eastAsia="zh-CN"/>
        </w:rPr>
      </w:pP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Chars="0"/>
        <w:jc w:val="both"/>
        <w:textAlignment w:val="baseline"/>
        <w:rPr>
          <w:rFonts w:eastAsia="宋体"/>
          <w:lang w:eastAsia="zh-CN"/>
        </w:rPr>
      </w:pPr>
    </w:p>
    <w:sectPr>
      <w:pgSz w:w="11907" w:h="16840"/>
      <w:pgMar w:top="1412" w:right="1140" w:bottom="1140" w:left="1140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0" type="#_x0000_t75" style="width:113px;height:75px" o:bullet="t">
        <v:imagedata r:id="rId1" o:title=""/>
      </v:shape>
    </w:pict>
  </w:numPicBullet>
  <w:abstractNum w:abstractNumId="0">
    <w:nsid w:val="9CEAE849"/>
    <w:multiLevelType w:val="singleLevel"/>
    <w:tmpl w:val="9CEAE849"/>
    <w:lvl w:ilvl="0" w:tentative="0">
      <w:start w:val="2"/>
      <w:numFmt w:val="decimal"/>
      <w:lvlText w:val="%1"/>
      <w:lvlJc w:val="left"/>
    </w:lvl>
  </w:abstractNum>
  <w:abstractNum w:abstractNumId="1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B43B9D"/>
    <w:multiLevelType w:val="multilevel"/>
    <w:tmpl w:val="46B43B9D"/>
    <w:lvl w:ilvl="0" w:tentative="0">
      <w:start w:val="1"/>
      <w:numFmt w:val="decimal"/>
      <w:pStyle w:val="31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37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A44281"/>
    <w:multiLevelType w:val="multilevel"/>
    <w:tmpl w:val="4DA44281"/>
    <w:lvl w:ilvl="0" w:tentative="0">
      <w:start w:val="1"/>
      <w:numFmt w:val="decimal"/>
      <w:pStyle w:val="33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F44A7"/>
    <w:multiLevelType w:val="multilevel"/>
    <w:tmpl w:val="521F44A7"/>
    <w:lvl w:ilvl="0" w:tentative="0">
      <w:start w:val="1"/>
      <w:numFmt w:val="bullet"/>
      <w:pStyle w:val="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5628156B"/>
    <w:multiLevelType w:val="multilevel"/>
    <w:tmpl w:val="5628156B"/>
    <w:lvl w:ilvl="0" w:tentative="0">
      <w:start w:val="1"/>
      <w:numFmt w:val="bullet"/>
      <w:lvlText w:val=""/>
      <w:lvlPicBulletId w:val="0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"/>
      <w:lvlJc w:val="left"/>
      <w:pPr>
        <w:ind w:left="1260" w:hanging="420"/>
      </w:pPr>
      <w:rPr>
        <w:rFonts w:hint="default" w:ascii="Symbol" w:hAnsi="Symbol"/>
      </w:rPr>
    </w:lvl>
    <w:lvl w:ilvl="3" w:tentative="0">
      <w:start w:val="0"/>
      <w:numFmt w:val="bullet"/>
      <w:lvlText w:val="–"/>
      <w:lvlJc w:val="left"/>
      <w:pPr>
        <w:ind w:left="1680" w:hanging="420"/>
      </w:pPr>
      <w:rPr>
        <w:rFonts w:hint="default" w:ascii="Arial" w:hAnsi="Arial" w:cs="Times New Roman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48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0054A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A7FAB"/>
    <w:rsid w:val="001B2870"/>
    <w:rsid w:val="001D54CB"/>
    <w:rsid w:val="001E30F6"/>
    <w:rsid w:val="001F364B"/>
    <w:rsid w:val="001F400C"/>
    <w:rsid w:val="00200081"/>
    <w:rsid w:val="002051FF"/>
    <w:rsid w:val="00206975"/>
    <w:rsid w:val="002079EF"/>
    <w:rsid w:val="002154C0"/>
    <w:rsid w:val="00224AD2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2CC9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379AB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1278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36877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052F2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1C63D2"/>
    <w:rsid w:val="01290358"/>
    <w:rsid w:val="01354052"/>
    <w:rsid w:val="014D65AB"/>
    <w:rsid w:val="016E368C"/>
    <w:rsid w:val="017B5E4B"/>
    <w:rsid w:val="018D054D"/>
    <w:rsid w:val="01D71285"/>
    <w:rsid w:val="01FF08B3"/>
    <w:rsid w:val="020C6B50"/>
    <w:rsid w:val="023B3319"/>
    <w:rsid w:val="026A5D79"/>
    <w:rsid w:val="027E1394"/>
    <w:rsid w:val="0284242C"/>
    <w:rsid w:val="028676F2"/>
    <w:rsid w:val="0295566B"/>
    <w:rsid w:val="02A340AE"/>
    <w:rsid w:val="02AF305D"/>
    <w:rsid w:val="02B274E2"/>
    <w:rsid w:val="02BD7990"/>
    <w:rsid w:val="02C25D33"/>
    <w:rsid w:val="030809EC"/>
    <w:rsid w:val="03394FFB"/>
    <w:rsid w:val="037B11F1"/>
    <w:rsid w:val="039A1BDA"/>
    <w:rsid w:val="03AE4991"/>
    <w:rsid w:val="03C6506D"/>
    <w:rsid w:val="03E60B3E"/>
    <w:rsid w:val="03F37217"/>
    <w:rsid w:val="04143A32"/>
    <w:rsid w:val="041F4676"/>
    <w:rsid w:val="04503821"/>
    <w:rsid w:val="045B08B5"/>
    <w:rsid w:val="047B40B2"/>
    <w:rsid w:val="0492565C"/>
    <w:rsid w:val="04A56073"/>
    <w:rsid w:val="04C77D0A"/>
    <w:rsid w:val="04D5204C"/>
    <w:rsid w:val="051657AF"/>
    <w:rsid w:val="051F0641"/>
    <w:rsid w:val="05733706"/>
    <w:rsid w:val="059B61E4"/>
    <w:rsid w:val="05A86143"/>
    <w:rsid w:val="05AC7AEC"/>
    <w:rsid w:val="05D42FA6"/>
    <w:rsid w:val="06105DAC"/>
    <w:rsid w:val="06402C6E"/>
    <w:rsid w:val="066957D5"/>
    <w:rsid w:val="068A29F7"/>
    <w:rsid w:val="069766CC"/>
    <w:rsid w:val="071135AA"/>
    <w:rsid w:val="07250AD8"/>
    <w:rsid w:val="07502CA2"/>
    <w:rsid w:val="078B76F8"/>
    <w:rsid w:val="079D410C"/>
    <w:rsid w:val="07C5787A"/>
    <w:rsid w:val="07C928A9"/>
    <w:rsid w:val="07D3429D"/>
    <w:rsid w:val="07D735D1"/>
    <w:rsid w:val="07E9174F"/>
    <w:rsid w:val="07F43B3B"/>
    <w:rsid w:val="08001C28"/>
    <w:rsid w:val="080A5373"/>
    <w:rsid w:val="082833F7"/>
    <w:rsid w:val="085564A9"/>
    <w:rsid w:val="08631FF0"/>
    <w:rsid w:val="08641205"/>
    <w:rsid w:val="0868025F"/>
    <w:rsid w:val="0873226E"/>
    <w:rsid w:val="088E5343"/>
    <w:rsid w:val="08935729"/>
    <w:rsid w:val="08936C0D"/>
    <w:rsid w:val="08A83C27"/>
    <w:rsid w:val="08AF3F5E"/>
    <w:rsid w:val="08C654D4"/>
    <w:rsid w:val="08CC5D10"/>
    <w:rsid w:val="08DC0169"/>
    <w:rsid w:val="092C45E6"/>
    <w:rsid w:val="093220E8"/>
    <w:rsid w:val="09914EFF"/>
    <w:rsid w:val="099F556C"/>
    <w:rsid w:val="09AC0546"/>
    <w:rsid w:val="09C640C3"/>
    <w:rsid w:val="09D362E0"/>
    <w:rsid w:val="0A202869"/>
    <w:rsid w:val="0A2F63A3"/>
    <w:rsid w:val="0A5763D4"/>
    <w:rsid w:val="0A623873"/>
    <w:rsid w:val="0A6D4CA9"/>
    <w:rsid w:val="0A7BF868"/>
    <w:rsid w:val="0A9573F8"/>
    <w:rsid w:val="0B206A21"/>
    <w:rsid w:val="0B6C6F78"/>
    <w:rsid w:val="0B7322DC"/>
    <w:rsid w:val="0B7600BE"/>
    <w:rsid w:val="0B84721F"/>
    <w:rsid w:val="0BA7588D"/>
    <w:rsid w:val="0BB77882"/>
    <w:rsid w:val="0BC65E45"/>
    <w:rsid w:val="0C102F73"/>
    <w:rsid w:val="0C2A1653"/>
    <w:rsid w:val="0C3145B0"/>
    <w:rsid w:val="0C3C5307"/>
    <w:rsid w:val="0C4E5669"/>
    <w:rsid w:val="0C56263C"/>
    <w:rsid w:val="0C5E2B8A"/>
    <w:rsid w:val="0CB37D5E"/>
    <w:rsid w:val="0CF62A01"/>
    <w:rsid w:val="0D102274"/>
    <w:rsid w:val="0D69107B"/>
    <w:rsid w:val="0D796541"/>
    <w:rsid w:val="0D9F7C29"/>
    <w:rsid w:val="0DA958CA"/>
    <w:rsid w:val="0DF104D3"/>
    <w:rsid w:val="0E1576FD"/>
    <w:rsid w:val="0E1C586B"/>
    <w:rsid w:val="0E5E051C"/>
    <w:rsid w:val="0E84113B"/>
    <w:rsid w:val="0E8A024B"/>
    <w:rsid w:val="0EAC77C9"/>
    <w:rsid w:val="0ED138E6"/>
    <w:rsid w:val="0EDA22A0"/>
    <w:rsid w:val="0F130B06"/>
    <w:rsid w:val="0F3856C4"/>
    <w:rsid w:val="0F495218"/>
    <w:rsid w:val="0F4C5F28"/>
    <w:rsid w:val="0F4D7364"/>
    <w:rsid w:val="0F5003A5"/>
    <w:rsid w:val="0F67780F"/>
    <w:rsid w:val="0F8F3C2A"/>
    <w:rsid w:val="0F9F5663"/>
    <w:rsid w:val="0FB648CB"/>
    <w:rsid w:val="0FD0731A"/>
    <w:rsid w:val="0FE401C8"/>
    <w:rsid w:val="0FF1533A"/>
    <w:rsid w:val="0FFE0AFA"/>
    <w:rsid w:val="1000683B"/>
    <w:rsid w:val="100525AD"/>
    <w:rsid w:val="101213A0"/>
    <w:rsid w:val="10344905"/>
    <w:rsid w:val="10656E2F"/>
    <w:rsid w:val="10732202"/>
    <w:rsid w:val="10860ED5"/>
    <w:rsid w:val="108F17DE"/>
    <w:rsid w:val="10AA3C13"/>
    <w:rsid w:val="10CA41CF"/>
    <w:rsid w:val="10CD0B75"/>
    <w:rsid w:val="10D43D83"/>
    <w:rsid w:val="110C4D24"/>
    <w:rsid w:val="11283655"/>
    <w:rsid w:val="113B0066"/>
    <w:rsid w:val="114A4434"/>
    <w:rsid w:val="115D458E"/>
    <w:rsid w:val="11650D79"/>
    <w:rsid w:val="11A46722"/>
    <w:rsid w:val="11CA3B79"/>
    <w:rsid w:val="11F71F3A"/>
    <w:rsid w:val="12021254"/>
    <w:rsid w:val="12062D53"/>
    <w:rsid w:val="121A2A50"/>
    <w:rsid w:val="122017FC"/>
    <w:rsid w:val="122047A4"/>
    <w:rsid w:val="12432F43"/>
    <w:rsid w:val="124B5A34"/>
    <w:rsid w:val="12753179"/>
    <w:rsid w:val="128409CA"/>
    <w:rsid w:val="12843280"/>
    <w:rsid w:val="12BB3A94"/>
    <w:rsid w:val="12EF585C"/>
    <w:rsid w:val="12FB3877"/>
    <w:rsid w:val="13027CC3"/>
    <w:rsid w:val="13262572"/>
    <w:rsid w:val="13516C3B"/>
    <w:rsid w:val="135A35EB"/>
    <w:rsid w:val="135B714A"/>
    <w:rsid w:val="136D11EC"/>
    <w:rsid w:val="137D50D6"/>
    <w:rsid w:val="138845FC"/>
    <w:rsid w:val="139B3B65"/>
    <w:rsid w:val="13A62830"/>
    <w:rsid w:val="13D36053"/>
    <w:rsid w:val="13F75352"/>
    <w:rsid w:val="13FA5349"/>
    <w:rsid w:val="141E7377"/>
    <w:rsid w:val="142413B8"/>
    <w:rsid w:val="1427772F"/>
    <w:rsid w:val="1480544B"/>
    <w:rsid w:val="148A292B"/>
    <w:rsid w:val="14922769"/>
    <w:rsid w:val="14996939"/>
    <w:rsid w:val="14A25B1A"/>
    <w:rsid w:val="14B36B91"/>
    <w:rsid w:val="14BF6AA8"/>
    <w:rsid w:val="14C960C2"/>
    <w:rsid w:val="14D9405F"/>
    <w:rsid w:val="14DE3D1B"/>
    <w:rsid w:val="14F65349"/>
    <w:rsid w:val="14FA21D5"/>
    <w:rsid w:val="150D5858"/>
    <w:rsid w:val="1590041A"/>
    <w:rsid w:val="15DD3861"/>
    <w:rsid w:val="15EF1E61"/>
    <w:rsid w:val="16222725"/>
    <w:rsid w:val="162900B5"/>
    <w:rsid w:val="1634239A"/>
    <w:rsid w:val="16394032"/>
    <w:rsid w:val="164F667E"/>
    <w:rsid w:val="165D0583"/>
    <w:rsid w:val="16654289"/>
    <w:rsid w:val="16844F80"/>
    <w:rsid w:val="16AE4BFB"/>
    <w:rsid w:val="16BA6C12"/>
    <w:rsid w:val="16CB37AF"/>
    <w:rsid w:val="16DB79C9"/>
    <w:rsid w:val="16E93B5B"/>
    <w:rsid w:val="16EA20E7"/>
    <w:rsid w:val="16F55CC6"/>
    <w:rsid w:val="17141F2D"/>
    <w:rsid w:val="176F5C05"/>
    <w:rsid w:val="17705930"/>
    <w:rsid w:val="17A076C4"/>
    <w:rsid w:val="17A62BCE"/>
    <w:rsid w:val="17AC57E6"/>
    <w:rsid w:val="17AF2A86"/>
    <w:rsid w:val="17E12498"/>
    <w:rsid w:val="17E826AB"/>
    <w:rsid w:val="17F275CB"/>
    <w:rsid w:val="18194F39"/>
    <w:rsid w:val="18312DD6"/>
    <w:rsid w:val="18407C50"/>
    <w:rsid w:val="184B7EE3"/>
    <w:rsid w:val="1872258F"/>
    <w:rsid w:val="18AC3E03"/>
    <w:rsid w:val="18D3414F"/>
    <w:rsid w:val="18D91924"/>
    <w:rsid w:val="19831412"/>
    <w:rsid w:val="19A96435"/>
    <w:rsid w:val="19E43A3D"/>
    <w:rsid w:val="19EF476F"/>
    <w:rsid w:val="1A0B3A21"/>
    <w:rsid w:val="1A290039"/>
    <w:rsid w:val="1A352FE3"/>
    <w:rsid w:val="1A7F0493"/>
    <w:rsid w:val="1ABF3A0B"/>
    <w:rsid w:val="1AC158B0"/>
    <w:rsid w:val="1B3329B5"/>
    <w:rsid w:val="1B595D85"/>
    <w:rsid w:val="1B7F155B"/>
    <w:rsid w:val="1BAE2A00"/>
    <w:rsid w:val="1BB6627C"/>
    <w:rsid w:val="1BF056DA"/>
    <w:rsid w:val="1C1B0DC7"/>
    <w:rsid w:val="1C5E2CC4"/>
    <w:rsid w:val="1C5E2F54"/>
    <w:rsid w:val="1CA0799D"/>
    <w:rsid w:val="1CAE294B"/>
    <w:rsid w:val="1CDA242C"/>
    <w:rsid w:val="1CF75BF5"/>
    <w:rsid w:val="1CFB2AC1"/>
    <w:rsid w:val="1D0546F6"/>
    <w:rsid w:val="1D1F1294"/>
    <w:rsid w:val="1D3600B7"/>
    <w:rsid w:val="1D3C7064"/>
    <w:rsid w:val="1D6224B5"/>
    <w:rsid w:val="1D7164D0"/>
    <w:rsid w:val="1D85535E"/>
    <w:rsid w:val="1D955667"/>
    <w:rsid w:val="1DB227A6"/>
    <w:rsid w:val="1DB41841"/>
    <w:rsid w:val="1DCF39D2"/>
    <w:rsid w:val="1DE45821"/>
    <w:rsid w:val="1DF005DE"/>
    <w:rsid w:val="1DF64986"/>
    <w:rsid w:val="1E5E1170"/>
    <w:rsid w:val="1E687F6B"/>
    <w:rsid w:val="1E8806BC"/>
    <w:rsid w:val="1EA137E3"/>
    <w:rsid w:val="1EC97F44"/>
    <w:rsid w:val="1ECC250D"/>
    <w:rsid w:val="1F0936F5"/>
    <w:rsid w:val="1F0D6CF5"/>
    <w:rsid w:val="1F17474D"/>
    <w:rsid w:val="1F2B10F9"/>
    <w:rsid w:val="1F606B52"/>
    <w:rsid w:val="1F711839"/>
    <w:rsid w:val="1F8429C2"/>
    <w:rsid w:val="1F8A172B"/>
    <w:rsid w:val="1F951B10"/>
    <w:rsid w:val="1F9A548F"/>
    <w:rsid w:val="1FA564C4"/>
    <w:rsid w:val="1FB811AE"/>
    <w:rsid w:val="1FDC0E64"/>
    <w:rsid w:val="1FE94550"/>
    <w:rsid w:val="200124B3"/>
    <w:rsid w:val="200D067C"/>
    <w:rsid w:val="20811B82"/>
    <w:rsid w:val="2081439A"/>
    <w:rsid w:val="208D29F6"/>
    <w:rsid w:val="20941E02"/>
    <w:rsid w:val="20A662B2"/>
    <w:rsid w:val="20BE61DB"/>
    <w:rsid w:val="21091739"/>
    <w:rsid w:val="211451D0"/>
    <w:rsid w:val="211B0B99"/>
    <w:rsid w:val="21402B64"/>
    <w:rsid w:val="2151075A"/>
    <w:rsid w:val="2187422D"/>
    <w:rsid w:val="219E74A3"/>
    <w:rsid w:val="22271C95"/>
    <w:rsid w:val="22450C21"/>
    <w:rsid w:val="22571B82"/>
    <w:rsid w:val="22587625"/>
    <w:rsid w:val="22843CEF"/>
    <w:rsid w:val="22915C95"/>
    <w:rsid w:val="22920D1D"/>
    <w:rsid w:val="22C0245E"/>
    <w:rsid w:val="22C9451A"/>
    <w:rsid w:val="22D22A99"/>
    <w:rsid w:val="22DF0545"/>
    <w:rsid w:val="23514077"/>
    <w:rsid w:val="23855295"/>
    <w:rsid w:val="23B20773"/>
    <w:rsid w:val="23CF6D67"/>
    <w:rsid w:val="23E92C0B"/>
    <w:rsid w:val="241F6375"/>
    <w:rsid w:val="248F188B"/>
    <w:rsid w:val="24BD0518"/>
    <w:rsid w:val="24E91488"/>
    <w:rsid w:val="25077EC5"/>
    <w:rsid w:val="25564E43"/>
    <w:rsid w:val="256A021C"/>
    <w:rsid w:val="25962669"/>
    <w:rsid w:val="25C20278"/>
    <w:rsid w:val="25C545AD"/>
    <w:rsid w:val="262D62D9"/>
    <w:rsid w:val="26381808"/>
    <w:rsid w:val="26681CAB"/>
    <w:rsid w:val="267E5FCE"/>
    <w:rsid w:val="26895E91"/>
    <w:rsid w:val="26F16893"/>
    <w:rsid w:val="26F618C3"/>
    <w:rsid w:val="27016D1C"/>
    <w:rsid w:val="27104213"/>
    <w:rsid w:val="27572E0B"/>
    <w:rsid w:val="2762235C"/>
    <w:rsid w:val="276537E8"/>
    <w:rsid w:val="276D7CAD"/>
    <w:rsid w:val="279B7FB4"/>
    <w:rsid w:val="27BE3159"/>
    <w:rsid w:val="27F111B3"/>
    <w:rsid w:val="27F55CE9"/>
    <w:rsid w:val="27F77172"/>
    <w:rsid w:val="28062AB3"/>
    <w:rsid w:val="280C272A"/>
    <w:rsid w:val="281B45FF"/>
    <w:rsid w:val="281B6C69"/>
    <w:rsid w:val="284E33F7"/>
    <w:rsid w:val="28596ECF"/>
    <w:rsid w:val="28694AA6"/>
    <w:rsid w:val="287A3770"/>
    <w:rsid w:val="2896156C"/>
    <w:rsid w:val="28A01911"/>
    <w:rsid w:val="28A66709"/>
    <w:rsid w:val="28B52EA9"/>
    <w:rsid w:val="28C759BF"/>
    <w:rsid w:val="28D22F4D"/>
    <w:rsid w:val="29007BBA"/>
    <w:rsid w:val="290A138C"/>
    <w:rsid w:val="291A4010"/>
    <w:rsid w:val="291B0D01"/>
    <w:rsid w:val="292E52F8"/>
    <w:rsid w:val="293606FA"/>
    <w:rsid w:val="29517179"/>
    <w:rsid w:val="29582436"/>
    <w:rsid w:val="299935DB"/>
    <w:rsid w:val="29E7086A"/>
    <w:rsid w:val="2A0E25C0"/>
    <w:rsid w:val="2A1219AD"/>
    <w:rsid w:val="2A2024BB"/>
    <w:rsid w:val="2A394321"/>
    <w:rsid w:val="2AAF72F6"/>
    <w:rsid w:val="2AE07176"/>
    <w:rsid w:val="2AE26D3F"/>
    <w:rsid w:val="2AF125AB"/>
    <w:rsid w:val="2AF80F96"/>
    <w:rsid w:val="2AF8774D"/>
    <w:rsid w:val="2AFC0752"/>
    <w:rsid w:val="2B0233C2"/>
    <w:rsid w:val="2B0F6E62"/>
    <w:rsid w:val="2B1B7C39"/>
    <w:rsid w:val="2B3F4136"/>
    <w:rsid w:val="2B5F7B9D"/>
    <w:rsid w:val="2B6F3DB4"/>
    <w:rsid w:val="2B723B80"/>
    <w:rsid w:val="2B7579C5"/>
    <w:rsid w:val="2B976640"/>
    <w:rsid w:val="2BB04900"/>
    <w:rsid w:val="2BB1476B"/>
    <w:rsid w:val="2BBA73E9"/>
    <w:rsid w:val="2BFE37F5"/>
    <w:rsid w:val="2C127486"/>
    <w:rsid w:val="2C1B2490"/>
    <w:rsid w:val="2C1D4AB1"/>
    <w:rsid w:val="2C2841AD"/>
    <w:rsid w:val="2C3757DB"/>
    <w:rsid w:val="2C3A3275"/>
    <w:rsid w:val="2C495744"/>
    <w:rsid w:val="2C4F5D11"/>
    <w:rsid w:val="2C696B32"/>
    <w:rsid w:val="2CA40E82"/>
    <w:rsid w:val="2CC440BD"/>
    <w:rsid w:val="2CEE6B8D"/>
    <w:rsid w:val="2D233DAE"/>
    <w:rsid w:val="2D8E403A"/>
    <w:rsid w:val="2DC51DB6"/>
    <w:rsid w:val="2DE6749D"/>
    <w:rsid w:val="2DED0944"/>
    <w:rsid w:val="2DF9626C"/>
    <w:rsid w:val="2DFD7A78"/>
    <w:rsid w:val="2DFF21A9"/>
    <w:rsid w:val="2E145F76"/>
    <w:rsid w:val="2E290BCC"/>
    <w:rsid w:val="2E3E3E00"/>
    <w:rsid w:val="2E8501BE"/>
    <w:rsid w:val="2EA73673"/>
    <w:rsid w:val="2EA86D09"/>
    <w:rsid w:val="2ECE747D"/>
    <w:rsid w:val="2EDE6622"/>
    <w:rsid w:val="2EDF0237"/>
    <w:rsid w:val="2EFD78DE"/>
    <w:rsid w:val="2F32226B"/>
    <w:rsid w:val="2F376D10"/>
    <w:rsid w:val="2F507B33"/>
    <w:rsid w:val="2FA231C5"/>
    <w:rsid w:val="30131B0F"/>
    <w:rsid w:val="301A7503"/>
    <w:rsid w:val="30266CFB"/>
    <w:rsid w:val="30775A8C"/>
    <w:rsid w:val="307D32B5"/>
    <w:rsid w:val="308B65F2"/>
    <w:rsid w:val="30A9337F"/>
    <w:rsid w:val="30F5782F"/>
    <w:rsid w:val="30F66636"/>
    <w:rsid w:val="3117229F"/>
    <w:rsid w:val="31395268"/>
    <w:rsid w:val="316D08AD"/>
    <w:rsid w:val="31703761"/>
    <w:rsid w:val="318526EA"/>
    <w:rsid w:val="3197247E"/>
    <w:rsid w:val="31A14F37"/>
    <w:rsid w:val="31A50177"/>
    <w:rsid w:val="31BC7893"/>
    <w:rsid w:val="31DD775A"/>
    <w:rsid w:val="31ED10C9"/>
    <w:rsid w:val="320F0A18"/>
    <w:rsid w:val="321A5F19"/>
    <w:rsid w:val="32247CB3"/>
    <w:rsid w:val="32351CB2"/>
    <w:rsid w:val="324554E5"/>
    <w:rsid w:val="325D2B5A"/>
    <w:rsid w:val="325E4969"/>
    <w:rsid w:val="327661FC"/>
    <w:rsid w:val="32787E64"/>
    <w:rsid w:val="32B33B5A"/>
    <w:rsid w:val="32E16FE7"/>
    <w:rsid w:val="32EE27B2"/>
    <w:rsid w:val="33283C74"/>
    <w:rsid w:val="33372789"/>
    <w:rsid w:val="33373161"/>
    <w:rsid w:val="333876C2"/>
    <w:rsid w:val="3346302E"/>
    <w:rsid w:val="33484A1E"/>
    <w:rsid w:val="335F47E9"/>
    <w:rsid w:val="33672754"/>
    <w:rsid w:val="33757E6E"/>
    <w:rsid w:val="33813C29"/>
    <w:rsid w:val="33AE46D6"/>
    <w:rsid w:val="33E811A0"/>
    <w:rsid w:val="33F15391"/>
    <w:rsid w:val="33FB17D8"/>
    <w:rsid w:val="340D027E"/>
    <w:rsid w:val="34693A6E"/>
    <w:rsid w:val="346E4104"/>
    <w:rsid w:val="3476470C"/>
    <w:rsid w:val="34B85E11"/>
    <w:rsid w:val="34D83C16"/>
    <w:rsid w:val="34F4225F"/>
    <w:rsid w:val="34F42A3D"/>
    <w:rsid w:val="35022C0E"/>
    <w:rsid w:val="3509315E"/>
    <w:rsid w:val="351A4CC6"/>
    <w:rsid w:val="356B24AB"/>
    <w:rsid w:val="356F75B2"/>
    <w:rsid w:val="35AE299B"/>
    <w:rsid w:val="35C620C0"/>
    <w:rsid w:val="35CA47C2"/>
    <w:rsid w:val="371440A5"/>
    <w:rsid w:val="37705F34"/>
    <w:rsid w:val="377700B0"/>
    <w:rsid w:val="377D4FF6"/>
    <w:rsid w:val="37857872"/>
    <w:rsid w:val="379C48BE"/>
    <w:rsid w:val="37AF7036"/>
    <w:rsid w:val="37ED2901"/>
    <w:rsid w:val="37F7347F"/>
    <w:rsid w:val="380927B5"/>
    <w:rsid w:val="381F0B0E"/>
    <w:rsid w:val="382139EC"/>
    <w:rsid w:val="3876150B"/>
    <w:rsid w:val="38D03C78"/>
    <w:rsid w:val="38EF03A6"/>
    <w:rsid w:val="38F0125F"/>
    <w:rsid w:val="3900577A"/>
    <w:rsid w:val="39107772"/>
    <w:rsid w:val="39187A90"/>
    <w:rsid w:val="39202018"/>
    <w:rsid w:val="392739EA"/>
    <w:rsid w:val="392D38AD"/>
    <w:rsid w:val="3946679B"/>
    <w:rsid w:val="394D1646"/>
    <w:rsid w:val="39870C57"/>
    <w:rsid w:val="399A43EA"/>
    <w:rsid w:val="39AE5946"/>
    <w:rsid w:val="3A0F1960"/>
    <w:rsid w:val="3A135535"/>
    <w:rsid w:val="3A166029"/>
    <w:rsid w:val="3A2A08FE"/>
    <w:rsid w:val="3A416AA0"/>
    <w:rsid w:val="3A431070"/>
    <w:rsid w:val="3A434F00"/>
    <w:rsid w:val="3A6B6F88"/>
    <w:rsid w:val="3A841F11"/>
    <w:rsid w:val="3A8668CA"/>
    <w:rsid w:val="3A8B04D0"/>
    <w:rsid w:val="3A977F34"/>
    <w:rsid w:val="3AC125B3"/>
    <w:rsid w:val="3AF216E5"/>
    <w:rsid w:val="3B0B15C3"/>
    <w:rsid w:val="3B0F2999"/>
    <w:rsid w:val="3B30671A"/>
    <w:rsid w:val="3B5555F7"/>
    <w:rsid w:val="3B5662AC"/>
    <w:rsid w:val="3B7D2A21"/>
    <w:rsid w:val="3B981241"/>
    <w:rsid w:val="3BBB2E68"/>
    <w:rsid w:val="3BD120B9"/>
    <w:rsid w:val="3BDA3F2B"/>
    <w:rsid w:val="3C0B0D05"/>
    <w:rsid w:val="3C1B10BF"/>
    <w:rsid w:val="3C8823DF"/>
    <w:rsid w:val="3C9D0254"/>
    <w:rsid w:val="3C9F5B7F"/>
    <w:rsid w:val="3CA22406"/>
    <w:rsid w:val="3CC5729E"/>
    <w:rsid w:val="3CCE203C"/>
    <w:rsid w:val="3CD96C18"/>
    <w:rsid w:val="3CDC3348"/>
    <w:rsid w:val="3D02537F"/>
    <w:rsid w:val="3D042BD7"/>
    <w:rsid w:val="3D0629C4"/>
    <w:rsid w:val="3D087EC6"/>
    <w:rsid w:val="3D0C1655"/>
    <w:rsid w:val="3D4E48C8"/>
    <w:rsid w:val="3D50421B"/>
    <w:rsid w:val="3D77737D"/>
    <w:rsid w:val="3D807C08"/>
    <w:rsid w:val="3DBF5349"/>
    <w:rsid w:val="3DC04E13"/>
    <w:rsid w:val="3DCC0A6F"/>
    <w:rsid w:val="3DD244E7"/>
    <w:rsid w:val="3DDC294B"/>
    <w:rsid w:val="3E0E5340"/>
    <w:rsid w:val="3E132617"/>
    <w:rsid w:val="3E1747FA"/>
    <w:rsid w:val="3E2E7EE8"/>
    <w:rsid w:val="3E4F76FB"/>
    <w:rsid w:val="3E5B41D6"/>
    <w:rsid w:val="3E964B98"/>
    <w:rsid w:val="3E9B2B8B"/>
    <w:rsid w:val="3EA41168"/>
    <w:rsid w:val="3EA933E4"/>
    <w:rsid w:val="3EAD26A1"/>
    <w:rsid w:val="3EB01A0B"/>
    <w:rsid w:val="3ECE16FA"/>
    <w:rsid w:val="3ED52FE4"/>
    <w:rsid w:val="3F064C6A"/>
    <w:rsid w:val="3F201B40"/>
    <w:rsid w:val="3F322D0C"/>
    <w:rsid w:val="3F3542FD"/>
    <w:rsid w:val="3F4118C8"/>
    <w:rsid w:val="3F4334BB"/>
    <w:rsid w:val="3F5C676A"/>
    <w:rsid w:val="3F651AFB"/>
    <w:rsid w:val="3FF55768"/>
    <w:rsid w:val="40093B4F"/>
    <w:rsid w:val="40350A49"/>
    <w:rsid w:val="40460408"/>
    <w:rsid w:val="40462AC9"/>
    <w:rsid w:val="405313A9"/>
    <w:rsid w:val="40566CBF"/>
    <w:rsid w:val="40662F6F"/>
    <w:rsid w:val="40776BAF"/>
    <w:rsid w:val="407921CE"/>
    <w:rsid w:val="40C04FE0"/>
    <w:rsid w:val="40FA3D02"/>
    <w:rsid w:val="413E21D5"/>
    <w:rsid w:val="418530B3"/>
    <w:rsid w:val="41AA7137"/>
    <w:rsid w:val="41BF2F04"/>
    <w:rsid w:val="41CB7B05"/>
    <w:rsid w:val="41EC58FB"/>
    <w:rsid w:val="41F931F1"/>
    <w:rsid w:val="42157286"/>
    <w:rsid w:val="422A484C"/>
    <w:rsid w:val="422A51CF"/>
    <w:rsid w:val="4231331F"/>
    <w:rsid w:val="42381A71"/>
    <w:rsid w:val="423E6EC2"/>
    <w:rsid w:val="426B0C9E"/>
    <w:rsid w:val="42841694"/>
    <w:rsid w:val="429266C7"/>
    <w:rsid w:val="42AF1322"/>
    <w:rsid w:val="42B30ACF"/>
    <w:rsid w:val="42D25CAE"/>
    <w:rsid w:val="42E73C10"/>
    <w:rsid w:val="42F708A9"/>
    <w:rsid w:val="42FC0B94"/>
    <w:rsid w:val="43364422"/>
    <w:rsid w:val="433B6093"/>
    <w:rsid w:val="43536857"/>
    <w:rsid w:val="43737B21"/>
    <w:rsid w:val="43AA33DE"/>
    <w:rsid w:val="43BB7215"/>
    <w:rsid w:val="43BC4F26"/>
    <w:rsid w:val="43EE582E"/>
    <w:rsid w:val="43FB3DA4"/>
    <w:rsid w:val="440E1214"/>
    <w:rsid w:val="441C4006"/>
    <w:rsid w:val="44330E9F"/>
    <w:rsid w:val="443E7A53"/>
    <w:rsid w:val="44462D9E"/>
    <w:rsid w:val="44752C18"/>
    <w:rsid w:val="449E489D"/>
    <w:rsid w:val="44B24294"/>
    <w:rsid w:val="44CF520F"/>
    <w:rsid w:val="44D50483"/>
    <w:rsid w:val="451019FB"/>
    <w:rsid w:val="451A43EA"/>
    <w:rsid w:val="451B2715"/>
    <w:rsid w:val="45361837"/>
    <w:rsid w:val="4543370D"/>
    <w:rsid w:val="454F62D8"/>
    <w:rsid w:val="455B13AC"/>
    <w:rsid w:val="45CF3CD0"/>
    <w:rsid w:val="45F6393A"/>
    <w:rsid w:val="46037BDC"/>
    <w:rsid w:val="460567D8"/>
    <w:rsid w:val="4626023B"/>
    <w:rsid w:val="462F25DF"/>
    <w:rsid w:val="46566BF3"/>
    <w:rsid w:val="46620161"/>
    <w:rsid w:val="46C17C69"/>
    <w:rsid w:val="46E63986"/>
    <w:rsid w:val="46FC7DAE"/>
    <w:rsid w:val="470463F8"/>
    <w:rsid w:val="472F00D3"/>
    <w:rsid w:val="475A31AD"/>
    <w:rsid w:val="47777F88"/>
    <w:rsid w:val="47971B97"/>
    <w:rsid w:val="479A4E4A"/>
    <w:rsid w:val="479F63EE"/>
    <w:rsid w:val="47C304FD"/>
    <w:rsid w:val="47C357A6"/>
    <w:rsid w:val="47D77F02"/>
    <w:rsid w:val="4815186D"/>
    <w:rsid w:val="481C0488"/>
    <w:rsid w:val="481C4CBC"/>
    <w:rsid w:val="485A4BA7"/>
    <w:rsid w:val="486432D4"/>
    <w:rsid w:val="487C3875"/>
    <w:rsid w:val="48977283"/>
    <w:rsid w:val="48A90F1E"/>
    <w:rsid w:val="48B47BCA"/>
    <w:rsid w:val="48B9644F"/>
    <w:rsid w:val="48DE3EAB"/>
    <w:rsid w:val="48FA3778"/>
    <w:rsid w:val="490A690E"/>
    <w:rsid w:val="49474FB2"/>
    <w:rsid w:val="495B6D68"/>
    <w:rsid w:val="496316AF"/>
    <w:rsid w:val="4975258C"/>
    <w:rsid w:val="49896512"/>
    <w:rsid w:val="4996414B"/>
    <w:rsid w:val="49987D21"/>
    <w:rsid w:val="49BA3D71"/>
    <w:rsid w:val="49CC5B3C"/>
    <w:rsid w:val="49DB51FA"/>
    <w:rsid w:val="49FD54E4"/>
    <w:rsid w:val="4A143D9D"/>
    <w:rsid w:val="4A3011C6"/>
    <w:rsid w:val="4A5C70F1"/>
    <w:rsid w:val="4A6D545B"/>
    <w:rsid w:val="4AAD275D"/>
    <w:rsid w:val="4AAD3440"/>
    <w:rsid w:val="4AB61A05"/>
    <w:rsid w:val="4AF26B9D"/>
    <w:rsid w:val="4AF44055"/>
    <w:rsid w:val="4B2748C6"/>
    <w:rsid w:val="4B2B1C31"/>
    <w:rsid w:val="4B48494A"/>
    <w:rsid w:val="4B7E5274"/>
    <w:rsid w:val="4BB65435"/>
    <w:rsid w:val="4BCC2FB0"/>
    <w:rsid w:val="4BCE1489"/>
    <w:rsid w:val="4BCE28BF"/>
    <w:rsid w:val="4BD60E9C"/>
    <w:rsid w:val="4BEA1EE4"/>
    <w:rsid w:val="4BEC6AE6"/>
    <w:rsid w:val="4BEE4C69"/>
    <w:rsid w:val="4BF830BC"/>
    <w:rsid w:val="4C293566"/>
    <w:rsid w:val="4C2C1C2C"/>
    <w:rsid w:val="4C3F2388"/>
    <w:rsid w:val="4C4E4313"/>
    <w:rsid w:val="4C553BEB"/>
    <w:rsid w:val="4C663381"/>
    <w:rsid w:val="4C723787"/>
    <w:rsid w:val="4C783FE1"/>
    <w:rsid w:val="4CF05EAC"/>
    <w:rsid w:val="4D102CB4"/>
    <w:rsid w:val="4D496F28"/>
    <w:rsid w:val="4D7636CB"/>
    <w:rsid w:val="4D811269"/>
    <w:rsid w:val="4D9E609E"/>
    <w:rsid w:val="4E0243C8"/>
    <w:rsid w:val="4E173831"/>
    <w:rsid w:val="4E345636"/>
    <w:rsid w:val="4E652C5C"/>
    <w:rsid w:val="4E9105E7"/>
    <w:rsid w:val="4EB053BD"/>
    <w:rsid w:val="4ED84E86"/>
    <w:rsid w:val="4FBC6FAF"/>
    <w:rsid w:val="4FDC68F3"/>
    <w:rsid w:val="4FE74185"/>
    <w:rsid w:val="4FF76FCE"/>
    <w:rsid w:val="4FFF46BE"/>
    <w:rsid w:val="50005DA1"/>
    <w:rsid w:val="5041435B"/>
    <w:rsid w:val="50564CCA"/>
    <w:rsid w:val="505A1CB0"/>
    <w:rsid w:val="506A5A36"/>
    <w:rsid w:val="5090049B"/>
    <w:rsid w:val="509778C7"/>
    <w:rsid w:val="50BD598F"/>
    <w:rsid w:val="50EF38E6"/>
    <w:rsid w:val="515935E4"/>
    <w:rsid w:val="5170523B"/>
    <w:rsid w:val="51773E2A"/>
    <w:rsid w:val="519A116B"/>
    <w:rsid w:val="51A40397"/>
    <w:rsid w:val="51A74F81"/>
    <w:rsid w:val="51C53170"/>
    <w:rsid w:val="51E57489"/>
    <w:rsid w:val="51FE641B"/>
    <w:rsid w:val="5222212F"/>
    <w:rsid w:val="5236412D"/>
    <w:rsid w:val="524370D4"/>
    <w:rsid w:val="526137D1"/>
    <w:rsid w:val="5280421D"/>
    <w:rsid w:val="52BF27F0"/>
    <w:rsid w:val="52DE7B77"/>
    <w:rsid w:val="530B5FC4"/>
    <w:rsid w:val="530F6914"/>
    <w:rsid w:val="531A5811"/>
    <w:rsid w:val="535E62F0"/>
    <w:rsid w:val="5361709F"/>
    <w:rsid w:val="53705401"/>
    <w:rsid w:val="537509F0"/>
    <w:rsid w:val="53752E8D"/>
    <w:rsid w:val="53832E83"/>
    <w:rsid w:val="53A24A91"/>
    <w:rsid w:val="53AA30EC"/>
    <w:rsid w:val="53C60E3E"/>
    <w:rsid w:val="53D005D1"/>
    <w:rsid w:val="540D782C"/>
    <w:rsid w:val="541B7EBE"/>
    <w:rsid w:val="541E4A0F"/>
    <w:rsid w:val="542F1421"/>
    <w:rsid w:val="54342D0E"/>
    <w:rsid w:val="543973F0"/>
    <w:rsid w:val="543B3AF3"/>
    <w:rsid w:val="544B51D2"/>
    <w:rsid w:val="544C3285"/>
    <w:rsid w:val="546C32BA"/>
    <w:rsid w:val="547733F4"/>
    <w:rsid w:val="54B156BA"/>
    <w:rsid w:val="54F516DC"/>
    <w:rsid w:val="550D4DCC"/>
    <w:rsid w:val="550D509F"/>
    <w:rsid w:val="55187C2D"/>
    <w:rsid w:val="551F51F5"/>
    <w:rsid w:val="5553143F"/>
    <w:rsid w:val="557C5C50"/>
    <w:rsid w:val="55B42DC5"/>
    <w:rsid w:val="55B760AB"/>
    <w:rsid w:val="55C82763"/>
    <w:rsid w:val="55CE50F9"/>
    <w:rsid w:val="56063D06"/>
    <w:rsid w:val="560921FF"/>
    <w:rsid w:val="561E43E8"/>
    <w:rsid w:val="56243301"/>
    <w:rsid w:val="562F5C39"/>
    <w:rsid w:val="566D79F4"/>
    <w:rsid w:val="567964BE"/>
    <w:rsid w:val="567B20DA"/>
    <w:rsid w:val="56943FE8"/>
    <w:rsid w:val="56A306FD"/>
    <w:rsid w:val="56DA5A5F"/>
    <w:rsid w:val="57563E7B"/>
    <w:rsid w:val="57600E00"/>
    <w:rsid w:val="577E3F1D"/>
    <w:rsid w:val="57C70008"/>
    <w:rsid w:val="58082D66"/>
    <w:rsid w:val="58224292"/>
    <w:rsid w:val="582645C9"/>
    <w:rsid w:val="58270690"/>
    <w:rsid w:val="586B2608"/>
    <w:rsid w:val="586D59B4"/>
    <w:rsid w:val="5879595C"/>
    <w:rsid w:val="588331BE"/>
    <w:rsid w:val="58D16F7B"/>
    <w:rsid w:val="592D287D"/>
    <w:rsid w:val="592D7AE2"/>
    <w:rsid w:val="593554F0"/>
    <w:rsid w:val="59BA5947"/>
    <w:rsid w:val="59BF6194"/>
    <w:rsid w:val="59F967B7"/>
    <w:rsid w:val="5A194DBF"/>
    <w:rsid w:val="5A1A7700"/>
    <w:rsid w:val="5A3078C5"/>
    <w:rsid w:val="5A3A24E6"/>
    <w:rsid w:val="5A7A4DB9"/>
    <w:rsid w:val="5AA277F3"/>
    <w:rsid w:val="5AB125ED"/>
    <w:rsid w:val="5AC16AE9"/>
    <w:rsid w:val="5ADF3A74"/>
    <w:rsid w:val="5AE53367"/>
    <w:rsid w:val="5AF01452"/>
    <w:rsid w:val="5B0B0083"/>
    <w:rsid w:val="5B0B32DD"/>
    <w:rsid w:val="5B1254E6"/>
    <w:rsid w:val="5B2E5B59"/>
    <w:rsid w:val="5B4A6955"/>
    <w:rsid w:val="5B947E67"/>
    <w:rsid w:val="5BA65A0C"/>
    <w:rsid w:val="5BB2174D"/>
    <w:rsid w:val="5BC02A4C"/>
    <w:rsid w:val="5BC3228B"/>
    <w:rsid w:val="5BCB00D0"/>
    <w:rsid w:val="5BF571B7"/>
    <w:rsid w:val="5BFC28DA"/>
    <w:rsid w:val="5C3B1FEA"/>
    <w:rsid w:val="5C550669"/>
    <w:rsid w:val="5C6A01BF"/>
    <w:rsid w:val="5C70174F"/>
    <w:rsid w:val="5C792CC0"/>
    <w:rsid w:val="5CEB6783"/>
    <w:rsid w:val="5D041ECD"/>
    <w:rsid w:val="5D5E1AC8"/>
    <w:rsid w:val="5D8276D8"/>
    <w:rsid w:val="5D9D2DC0"/>
    <w:rsid w:val="5DDA6F57"/>
    <w:rsid w:val="5DED5E63"/>
    <w:rsid w:val="5E051414"/>
    <w:rsid w:val="5E0531C9"/>
    <w:rsid w:val="5E206741"/>
    <w:rsid w:val="5E2D4C21"/>
    <w:rsid w:val="5E551862"/>
    <w:rsid w:val="5E820037"/>
    <w:rsid w:val="5E9A188D"/>
    <w:rsid w:val="5EE41E2E"/>
    <w:rsid w:val="5F0C7F49"/>
    <w:rsid w:val="5F0F00DA"/>
    <w:rsid w:val="5F3B32F7"/>
    <w:rsid w:val="5F4B4581"/>
    <w:rsid w:val="5F98224D"/>
    <w:rsid w:val="5F9F42F8"/>
    <w:rsid w:val="5FBC07EC"/>
    <w:rsid w:val="5FFF02E1"/>
    <w:rsid w:val="60017F85"/>
    <w:rsid w:val="60032276"/>
    <w:rsid w:val="600C3AE0"/>
    <w:rsid w:val="602C236A"/>
    <w:rsid w:val="6045086B"/>
    <w:rsid w:val="60523595"/>
    <w:rsid w:val="607356CF"/>
    <w:rsid w:val="60745B63"/>
    <w:rsid w:val="609A141A"/>
    <w:rsid w:val="60AC01F6"/>
    <w:rsid w:val="60AD6E35"/>
    <w:rsid w:val="60BC1BBF"/>
    <w:rsid w:val="60E50451"/>
    <w:rsid w:val="60F55882"/>
    <w:rsid w:val="60F64A32"/>
    <w:rsid w:val="61051332"/>
    <w:rsid w:val="616011B1"/>
    <w:rsid w:val="616A21E7"/>
    <w:rsid w:val="618569FC"/>
    <w:rsid w:val="61856B0D"/>
    <w:rsid w:val="61B601DF"/>
    <w:rsid w:val="61D379C6"/>
    <w:rsid w:val="61F833BE"/>
    <w:rsid w:val="623928B9"/>
    <w:rsid w:val="62812953"/>
    <w:rsid w:val="62B7743E"/>
    <w:rsid w:val="62B8352F"/>
    <w:rsid w:val="62BB48DA"/>
    <w:rsid w:val="62CC4BC6"/>
    <w:rsid w:val="62DD3C86"/>
    <w:rsid w:val="62E674AB"/>
    <w:rsid w:val="62EF63FA"/>
    <w:rsid w:val="62FA23A0"/>
    <w:rsid w:val="63061571"/>
    <w:rsid w:val="632B39DC"/>
    <w:rsid w:val="639D47D1"/>
    <w:rsid w:val="63B508EC"/>
    <w:rsid w:val="63C438C6"/>
    <w:rsid w:val="63C84437"/>
    <w:rsid w:val="63EF5590"/>
    <w:rsid w:val="64116858"/>
    <w:rsid w:val="642B0065"/>
    <w:rsid w:val="64310139"/>
    <w:rsid w:val="64550D9E"/>
    <w:rsid w:val="646311BF"/>
    <w:rsid w:val="646F5452"/>
    <w:rsid w:val="648727EC"/>
    <w:rsid w:val="648D5222"/>
    <w:rsid w:val="649D0CB0"/>
    <w:rsid w:val="64B2258D"/>
    <w:rsid w:val="64DE359C"/>
    <w:rsid w:val="64E30C9E"/>
    <w:rsid w:val="64E86D2F"/>
    <w:rsid w:val="651C0811"/>
    <w:rsid w:val="657C25FC"/>
    <w:rsid w:val="65997784"/>
    <w:rsid w:val="65A976E6"/>
    <w:rsid w:val="65C64C37"/>
    <w:rsid w:val="65D01190"/>
    <w:rsid w:val="66197BB5"/>
    <w:rsid w:val="66685007"/>
    <w:rsid w:val="66937BBB"/>
    <w:rsid w:val="66AB371C"/>
    <w:rsid w:val="66AE1192"/>
    <w:rsid w:val="66CA69C3"/>
    <w:rsid w:val="6749368B"/>
    <w:rsid w:val="67594DFB"/>
    <w:rsid w:val="6794708A"/>
    <w:rsid w:val="67CE0CE2"/>
    <w:rsid w:val="67DA4215"/>
    <w:rsid w:val="67DD6947"/>
    <w:rsid w:val="67E42DFA"/>
    <w:rsid w:val="67ED44CB"/>
    <w:rsid w:val="6811170E"/>
    <w:rsid w:val="681D58BA"/>
    <w:rsid w:val="6833352E"/>
    <w:rsid w:val="686A6ECC"/>
    <w:rsid w:val="68946F88"/>
    <w:rsid w:val="68EB3ADC"/>
    <w:rsid w:val="6901490D"/>
    <w:rsid w:val="69240005"/>
    <w:rsid w:val="69462386"/>
    <w:rsid w:val="694C2162"/>
    <w:rsid w:val="697206C8"/>
    <w:rsid w:val="698624ED"/>
    <w:rsid w:val="69A406C2"/>
    <w:rsid w:val="69B60CF8"/>
    <w:rsid w:val="69C96ADD"/>
    <w:rsid w:val="69DC5A3B"/>
    <w:rsid w:val="69E50464"/>
    <w:rsid w:val="69F94050"/>
    <w:rsid w:val="6A12713E"/>
    <w:rsid w:val="6A175284"/>
    <w:rsid w:val="6A2F06BE"/>
    <w:rsid w:val="6A4811D1"/>
    <w:rsid w:val="6A575201"/>
    <w:rsid w:val="6A641C5D"/>
    <w:rsid w:val="6A7016FE"/>
    <w:rsid w:val="6AFC6812"/>
    <w:rsid w:val="6B017ECC"/>
    <w:rsid w:val="6B51227B"/>
    <w:rsid w:val="6B5E2EC6"/>
    <w:rsid w:val="6B7575DB"/>
    <w:rsid w:val="6BAB4ED2"/>
    <w:rsid w:val="6BFB3F37"/>
    <w:rsid w:val="6C42065A"/>
    <w:rsid w:val="6C6F44FD"/>
    <w:rsid w:val="6C8C6D07"/>
    <w:rsid w:val="6C9E7796"/>
    <w:rsid w:val="6CB53A27"/>
    <w:rsid w:val="6CB759F8"/>
    <w:rsid w:val="6CD4731D"/>
    <w:rsid w:val="6D10062D"/>
    <w:rsid w:val="6D121910"/>
    <w:rsid w:val="6D1B4473"/>
    <w:rsid w:val="6D3205F0"/>
    <w:rsid w:val="6D4C048E"/>
    <w:rsid w:val="6D5C5991"/>
    <w:rsid w:val="6D681BA3"/>
    <w:rsid w:val="6D862B60"/>
    <w:rsid w:val="6D930287"/>
    <w:rsid w:val="6DAA68E3"/>
    <w:rsid w:val="6DB702B4"/>
    <w:rsid w:val="6DB9368E"/>
    <w:rsid w:val="6E2A7F0A"/>
    <w:rsid w:val="6E4462CC"/>
    <w:rsid w:val="6E500ECF"/>
    <w:rsid w:val="6E504618"/>
    <w:rsid w:val="6E6C428D"/>
    <w:rsid w:val="6EB20078"/>
    <w:rsid w:val="6EB70A1D"/>
    <w:rsid w:val="6F220D64"/>
    <w:rsid w:val="6F301CB2"/>
    <w:rsid w:val="6F393146"/>
    <w:rsid w:val="6F3F4352"/>
    <w:rsid w:val="6F450F4D"/>
    <w:rsid w:val="6F5579D7"/>
    <w:rsid w:val="6F6D111D"/>
    <w:rsid w:val="6F740513"/>
    <w:rsid w:val="6F7F0A9F"/>
    <w:rsid w:val="6F801AF8"/>
    <w:rsid w:val="6F8D5AAE"/>
    <w:rsid w:val="6F9C4786"/>
    <w:rsid w:val="6FB57303"/>
    <w:rsid w:val="6FB7010B"/>
    <w:rsid w:val="6FFF59CB"/>
    <w:rsid w:val="70160759"/>
    <w:rsid w:val="70200B37"/>
    <w:rsid w:val="70284741"/>
    <w:rsid w:val="7037013D"/>
    <w:rsid w:val="703B274B"/>
    <w:rsid w:val="704E4A67"/>
    <w:rsid w:val="70995673"/>
    <w:rsid w:val="70AA0AC2"/>
    <w:rsid w:val="70AA24EA"/>
    <w:rsid w:val="70B97CE8"/>
    <w:rsid w:val="70D46C56"/>
    <w:rsid w:val="70EA7511"/>
    <w:rsid w:val="71143E21"/>
    <w:rsid w:val="71424983"/>
    <w:rsid w:val="7150640B"/>
    <w:rsid w:val="71616F10"/>
    <w:rsid w:val="7193456F"/>
    <w:rsid w:val="71C77CDA"/>
    <w:rsid w:val="71C93578"/>
    <w:rsid w:val="71CF5A3A"/>
    <w:rsid w:val="71DB1C81"/>
    <w:rsid w:val="71DB3B44"/>
    <w:rsid w:val="71E636DC"/>
    <w:rsid w:val="71EC6B55"/>
    <w:rsid w:val="72042857"/>
    <w:rsid w:val="72516D64"/>
    <w:rsid w:val="72744030"/>
    <w:rsid w:val="72867A39"/>
    <w:rsid w:val="72C14D7E"/>
    <w:rsid w:val="72E532C0"/>
    <w:rsid w:val="72EE3608"/>
    <w:rsid w:val="72F37E30"/>
    <w:rsid w:val="73092801"/>
    <w:rsid w:val="7318185D"/>
    <w:rsid w:val="7322549D"/>
    <w:rsid w:val="7327462F"/>
    <w:rsid w:val="732F59FD"/>
    <w:rsid w:val="734B5574"/>
    <w:rsid w:val="7355417D"/>
    <w:rsid w:val="736C3FBB"/>
    <w:rsid w:val="73821201"/>
    <w:rsid w:val="73832905"/>
    <w:rsid w:val="738C0987"/>
    <w:rsid w:val="739F768E"/>
    <w:rsid w:val="73A75983"/>
    <w:rsid w:val="73A85DC8"/>
    <w:rsid w:val="73C54686"/>
    <w:rsid w:val="73C75DA5"/>
    <w:rsid w:val="73D14742"/>
    <w:rsid w:val="73E217DB"/>
    <w:rsid w:val="73ED43C1"/>
    <w:rsid w:val="73FB25F2"/>
    <w:rsid w:val="740F6E24"/>
    <w:rsid w:val="741866C3"/>
    <w:rsid w:val="741D30D0"/>
    <w:rsid w:val="74285611"/>
    <w:rsid w:val="7430057A"/>
    <w:rsid w:val="7451673A"/>
    <w:rsid w:val="74573DE9"/>
    <w:rsid w:val="74626087"/>
    <w:rsid w:val="747F0795"/>
    <w:rsid w:val="7483582D"/>
    <w:rsid w:val="74901AB7"/>
    <w:rsid w:val="749D37F7"/>
    <w:rsid w:val="74BC6C8B"/>
    <w:rsid w:val="74C13876"/>
    <w:rsid w:val="74D53B99"/>
    <w:rsid w:val="754C1AAF"/>
    <w:rsid w:val="75951EA8"/>
    <w:rsid w:val="76270935"/>
    <w:rsid w:val="762B3711"/>
    <w:rsid w:val="76566326"/>
    <w:rsid w:val="76696B17"/>
    <w:rsid w:val="76696D01"/>
    <w:rsid w:val="767A6966"/>
    <w:rsid w:val="76991F3B"/>
    <w:rsid w:val="76BD4E1F"/>
    <w:rsid w:val="76D8737F"/>
    <w:rsid w:val="76E279D7"/>
    <w:rsid w:val="76FC2715"/>
    <w:rsid w:val="7718204C"/>
    <w:rsid w:val="772E0626"/>
    <w:rsid w:val="773460AA"/>
    <w:rsid w:val="7752184A"/>
    <w:rsid w:val="7754709D"/>
    <w:rsid w:val="776821D3"/>
    <w:rsid w:val="776E285A"/>
    <w:rsid w:val="77B02D8D"/>
    <w:rsid w:val="77B23404"/>
    <w:rsid w:val="77C0093D"/>
    <w:rsid w:val="77C80FE0"/>
    <w:rsid w:val="77C90B9C"/>
    <w:rsid w:val="77DB4D3A"/>
    <w:rsid w:val="77EF22D8"/>
    <w:rsid w:val="7811438D"/>
    <w:rsid w:val="78204380"/>
    <w:rsid w:val="7823088B"/>
    <w:rsid w:val="78384CBC"/>
    <w:rsid w:val="784140B2"/>
    <w:rsid w:val="784258BF"/>
    <w:rsid w:val="7862008E"/>
    <w:rsid w:val="786C0DC0"/>
    <w:rsid w:val="78723138"/>
    <w:rsid w:val="78C070AB"/>
    <w:rsid w:val="78EF7AB5"/>
    <w:rsid w:val="78FD1105"/>
    <w:rsid w:val="79340E93"/>
    <w:rsid w:val="793758F2"/>
    <w:rsid w:val="79AB1E6C"/>
    <w:rsid w:val="79BB100C"/>
    <w:rsid w:val="79C0590F"/>
    <w:rsid w:val="79EE0B28"/>
    <w:rsid w:val="7A080BBF"/>
    <w:rsid w:val="7A0E1DB4"/>
    <w:rsid w:val="7A11214D"/>
    <w:rsid w:val="7A1C3197"/>
    <w:rsid w:val="7A4F2396"/>
    <w:rsid w:val="7A500DB7"/>
    <w:rsid w:val="7A516C18"/>
    <w:rsid w:val="7A787ECB"/>
    <w:rsid w:val="7A875FC6"/>
    <w:rsid w:val="7A8B51CB"/>
    <w:rsid w:val="7A984514"/>
    <w:rsid w:val="7AB507FA"/>
    <w:rsid w:val="7AC634CB"/>
    <w:rsid w:val="7ACB482C"/>
    <w:rsid w:val="7ADE4DB7"/>
    <w:rsid w:val="7AE7260F"/>
    <w:rsid w:val="7AEA6401"/>
    <w:rsid w:val="7AEB331B"/>
    <w:rsid w:val="7AF137EF"/>
    <w:rsid w:val="7B0B3C0F"/>
    <w:rsid w:val="7B100283"/>
    <w:rsid w:val="7B193819"/>
    <w:rsid w:val="7B1A2EE0"/>
    <w:rsid w:val="7B2531D6"/>
    <w:rsid w:val="7B3D3F94"/>
    <w:rsid w:val="7B5B11D8"/>
    <w:rsid w:val="7B5D71AA"/>
    <w:rsid w:val="7B8E193F"/>
    <w:rsid w:val="7B947C9E"/>
    <w:rsid w:val="7BAE3C2D"/>
    <w:rsid w:val="7BF90DBF"/>
    <w:rsid w:val="7C41564D"/>
    <w:rsid w:val="7C5F0EF8"/>
    <w:rsid w:val="7C8A0448"/>
    <w:rsid w:val="7C8E16C9"/>
    <w:rsid w:val="7C91123B"/>
    <w:rsid w:val="7CA10AF6"/>
    <w:rsid w:val="7CA255C9"/>
    <w:rsid w:val="7CB561C0"/>
    <w:rsid w:val="7CCC277F"/>
    <w:rsid w:val="7CCD3BF4"/>
    <w:rsid w:val="7CE3033A"/>
    <w:rsid w:val="7D0A2590"/>
    <w:rsid w:val="7D2B3796"/>
    <w:rsid w:val="7D550752"/>
    <w:rsid w:val="7D6A7A29"/>
    <w:rsid w:val="7D702076"/>
    <w:rsid w:val="7D712B47"/>
    <w:rsid w:val="7DA0035E"/>
    <w:rsid w:val="7DBE0A6E"/>
    <w:rsid w:val="7DCC5A45"/>
    <w:rsid w:val="7DED6343"/>
    <w:rsid w:val="7E3F65EE"/>
    <w:rsid w:val="7E401756"/>
    <w:rsid w:val="7E630B4F"/>
    <w:rsid w:val="7E642324"/>
    <w:rsid w:val="7E831180"/>
    <w:rsid w:val="7E8B6D0C"/>
    <w:rsid w:val="7E905E0D"/>
    <w:rsid w:val="7EDA5831"/>
    <w:rsid w:val="7EFA29D7"/>
    <w:rsid w:val="7F007923"/>
    <w:rsid w:val="7F1F02F6"/>
    <w:rsid w:val="7F285EA4"/>
    <w:rsid w:val="7F5B1662"/>
    <w:rsid w:val="7F5F055A"/>
    <w:rsid w:val="7F71142C"/>
    <w:rsid w:val="7F787EDB"/>
    <w:rsid w:val="7FA464F2"/>
    <w:rsid w:val="7FCD388E"/>
    <w:rsid w:val="7FE8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Cs w:val="22"/>
      <w:lang w:val="en-US" w:eastAsia="en-US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25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4"/>
    <w:semiHidden/>
    <w:unhideWhenUsed/>
    <w:qFormat/>
    <w:uiPriority w:val="9"/>
    <w:pPr>
      <w:outlineLvl w:val="3"/>
    </w:pPr>
    <w:rPr>
      <w:i/>
      <w:iCs/>
      <w:color w:val="2F5597" w:themeColor="accent1" w:themeShade="BF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9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9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7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6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4"/>
    <w:semiHidden/>
    <w:unhideWhenUsed/>
    <w:qFormat/>
    <w:uiPriority w:val="0"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annotation subject"/>
    <w:basedOn w:val="7"/>
    <w:next w:val="7"/>
    <w:link w:val="60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basedOn w:val="20"/>
    <w:qFormat/>
    <w:uiPriority w:val="22"/>
    <w:rPr>
      <w:b/>
    </w:rPr>
  </w:style>
  <w:style w:type="character" w:styleId="22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3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4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5">
    <w:name w:val="标题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6">
    <w:name w:val="标题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7">
    <w:name w:val="List Paragraph"/>
    <w:basedOn w:val="1"/>
    <w:link w:val="34"/>
    <w:qFormat/>
    <w:uiPriority w:val="34"/>
    <w:pPr>
      <w:ind w:left="720"/>
      <w:contextualSpacing/>
    </w:pPr>
  </w:style>
  <w:style w:type="paragraph" w:customStyle="1" w:styleId="28">
    <w:name w:val="RAN4 H2"/>
    <w:basedOn w:val="3"/>
    <w:next w:val="1"/>
    <w:link w:val="30"/>
    <w:qFormat/>
    <w:uiPriority w:val="0"/>
    <w:rPr>
      <w:lang w:val="en-US"/>
    </w:rPr>
  </w:style>
  <w:style w:type="paragraph" w:customStyle="1" w:styleId="29">
    <w:name w:val="RAN4 H1"/>
    <w:basedOn w:val="1"/>
    <w:link w:val="3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30">
    <w:name w:val="RAN4 H2 Char"/>
    <w:basedOn w:val="25"/>
    <w:link w:val="28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1">
    <w:name w:val="RAN4 Observation"/>
    <w:basedOn w:val="27"/>
    <w:next w:val="1"/>
    <w:link w:val="35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2">
    <w:name w:val="RAN4 H1 Char"/>
    <w:basedOn w:val="20"/>
    <w:link w:val="29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3">
    <w:name w:val="RAN4 Proposal"/>
    <w:basedOn w:val="27"/>
    <w:next w:val="1"/>
    <w:link w:val="36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4">
    <w:name w:val="列出段落 Char"/>
    <w:basedOn w:val="20"/>
    <w:link w:val="27"/>
    <w:qFormat/>
    <w:uiPriority w:val="34"/>
  </w:style>
  <w:style w:type="character" w:customStyle="1" w:styleId="35">
    <w:name w:val="RAN4 Observation Char"/>
    <w:basedOn w:val="34"/>
    <w:link w:val="31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6">
    <w:name w:val="RAN4 Proposal Char"/>
    <w:basedOn w:val="34"/>
    <w:link w:val="33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7">
    <w:name w:val="RAN4 proposal"/>
    <w:basedOn w:val="6"/>
    <w:next w:val="1"/>
    <w:link w:val="40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8">
    <w:name w:val="TOC 标题1"/>
    <w:basedOn w:val="2"/>
    <w:next w:val="1"/>
    <w:unhideWhenUsed/>
    <w:qFormat/>
    <w:uiPriority w:val="39"/>
    <w:pPr>
      <w:outlineLvl w:val="9"/>
    </w:pPr>
  </w:style>
  <w:style w:type="character" w:customStyle="1" w:styleId="39">
    <w:name w:val="题注 Char"/>
    <w:basedOn w:val="20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40">
    <w:name w:val="RAN4 proposal Char"/>
    <w:basedOn w:val="39"/>
    <w:link w:val="37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1">
    <w:name w:val="RAN4 observation"/>
    <w:basedOn w:val="31"/>
    <w:next w:val="1"/>
    <w:link w:val="42"/>
    <w:qFormat/>
    <w:uiPriority w:val="0"/>
    <w:pPr>
      <w:ind w:left="0" w:firstLine="0"/>
    </w:pPr>
    <w:rPr>
      <w:sz w:val="22"/>
    </w:rPr>
  </w:style>
  <w:style w:type="character" w:customStyle="1" w:styleId="42">
    <w:name w:val="RAN4 observation Char"/>
    <w:basedOn w:val="35"/>
    <w:link w:val="41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3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4">
    <w:name w:val="标题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5">
    <w:name w:val="Doc-text2 Char"/>
    <w:link w:val="46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6">
    <w:name w:val="Doc-text2"/>
    <w:basedOn w:val="1"/>
    <w:link w:val="4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7">
    <w:name w:val="正文文本 Char"/>
    <w:basedOn w:val="20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8">
    <w:name w:val="Agreement"/>
    <w:basedOn w:val="1"/>
    <w:next w:val="46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9">
    <w:name w:val="TAL"/>
    <w:basedOn w:val="1"/>
    <w:link w:val="50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50">
    <w:name w:val="TAL Char"/>
    <w:link w:val="49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1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2">
    <w:name w:val="EmailDiscussion"/>
    <w:basedOn w:val="1"/>
    <w:next w:val="1"/>
    <w:link w:val="53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3">
    <w:name w:val="EmailDiscussion Char"/>
    <w:link w:val="52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4">
    <w:name w:val="页眉 Char"/>
    <w:basedOn w:val="20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5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6">
    <w:name w:val="批注框文本 Char"/>
    <w:basedOn w:val="20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7">
    <w:name w:val="CR Cover Page Zchn"/>
    <w:link w:val="58"/>
    <w:qFormat/>
    <w:locked/>
    <w:uiPriority w:val="0"/>
    <w:rPr>
      <w:rFonts w:ascii="Arial" w:hAnsi="Arial" w:cs="Arial"/>
      <w:lang w:val="en-GB"/>
    </w:rPr>
  </w:style>
  <w:style w:type="paragraph" w:customStyle="1" w:styleId="58">
    <w:name w:val="CR Cover Page"/>
    <w:link w:val="57"/>
    <w:qFormat/>
    <w:uiPriority w:val="0"/>
    <w:pPr>
      <w:spacing w:after="120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9">
    <w:name w:val="批注文字 Char"/>
    <w:basedOn w:val="20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60">
    <w:name w:val="批注主题 Char"/>
    <w:basedOn w:val="59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1">
    <w:name w:val="3GPP Normal Text"/>
    <w:basedOn w:val="8"/>
    <w:link w:val="62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2">
    <w:name w:val="3GPP Normal Text Char"/>
    <w:link w:val="61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7">
    <w:name w:val="B1"/>
    <w:basedOn w:val="10"/>
    <w:qFormat/>
    <w:uiPriority w:val="0"/>
  </w:style>
  <w:style w:type="paragraph" w:customStyle="1" w:styleId="68">
    <w:name w:val="TF"/>
    <w:basedOn w:val="64"/>
    <w:qFormat/>
    <w:uiPriority w:val="0"/>
    <w:pPr>
      <w:keepNext w:val="0"/>
      <w:spacing w:before="0" w:after="24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73285D-2887-45E3-A024-3D1E71CC8E74}">
  <ds:schemaRefs/>
</ds:datastoreItem>
</file>

<file path=customXml/itemProps3.xml><?xml version="1.0" encoding="utf-8"?>
<ds:datastoreItem xmlns:ds="http://schemas.openxmlformats.org/officeDocument/2006/customXml" ds:itemID="{E8E32C24-5F96-4713-A70F-A7BA20BB6CD6}">
  <ds:schemaRefs/>
</ds:datastoreItem>
</file>

<file path=customXml/itemProps4.xml><?xml version="1.0" encoding="utf-8"?>
<ds:datastoreItem xmlns:ds="http://schemas.openxmlformats.org/officeDocument/2006/customXml" ds:itemID="{17870EBA-560E-4E7C-A664-22A449C60D13}">
  <ds:schemaRefs/>
</ds:datastoreItem>
</file>

<file path=customXml/itemProps5.xml><?xml version="1.0" encoding="utf-8"?>
<ds:datastoreItem xmlns:ds="http://schemas.openxmlformats.org/officeDocument/2006/customXml" ds:itemID="{EAA4E9F1-3478-4E48-ACB7-A0EA7CF8F594}">
  <ds:schemaRefs/>
</ds:datastoreItem>
</file>

<file path=customXml/itemProps6.xml><?xml version="1.0" encoding="utf-8"?>
<ds:datastoreItem xmlns:ds="http://schemas.openxmlformats.org/officeDocument/2006/customXml" ds:itemID="{DDD117E1-8C1C-466A-8D7F-EAF64C1488C0}">
  <ds:schemaRefs/>
</ds:datastoreItem>
</file>

<file path=customXml/itemProps7.xml><?xml version="1.0" encoding="utf-8"?>
<ds:datastoreItem xmlns:ds="http://schemas.openxmlformats.org/officeDocument/2006/customXml" ds:itemID="{08DA32A5-C37F-4DB0-94C0-5301A1F356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955</Words>
  <Characters>5450</Characters>
  <Lines>45</Lines>
  <Paragraphs>12</Paragraphs>
  <TotalTime>0</TotalTime>
  <ScaleCrop>false</ScaleCrop>
  <LinksUpToDate>false</LinksUpToDate>
  <CharactersWithSpaces>6393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ZTE</cp:lastModifiedBy>
  <cp:lastPrinted>2019-04-29T06:52:00Z</cp:lastPrinted>
  <dcterms:modified xsi:type="dcterms:W3CDTF">2022-02-14T01:40:21Z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