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1C1535EA"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w:t>
      </w:r>
      <w:r w:rsidR="007C0B22">
        <w:rPr>
          <w:b/>
          <w:noProof/>
          <w:sz w:val="24"/>
        </w:rPr>
        <w:t>1</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E51EC2">
        <w:rPr>
          <w:b/>
          <w:noProof/>
          <w:sz w:val="24"/>
        </w:rPr>
        <w:t>1</w:t>
      </w:r>
      <w:r w:rsidR="006228FD">
        <w:rPr>
          <w:b/>
          <w:noProof/>
          <w:sz w:val="24"/>
        </w:rPr>
        <w:t>7634</w:t>
      </w:r>
    </w:p>
    <w:p w14:paraId="5379D604" w14:textId="15C4CFFE"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7C0B22">
        <w:rPr>
          <w:rFonts w:ascii="Arial" w:hAnsi="Arial" w:cs="Arial"/>
          <w:b/>
          <w:sz w:val="24"/>
        </w:rPr>
        <w:t>Nov</w:t>
      </w:r>
      <w:r w:rsidR="008F67FD">
        <w:rPr>
          <w:rFonts w:ascii="Arial" w:hAnsi="Arial" w:cs="Arial"/>
          <w:b/>
          <w:sz w:val="24"/>
        </w:rPr>
        <w:t xml:space="preserve"> 202</w:t>
      </w:r>
      <w:r w:rsidR="00AD2220">
        <w:rPr>
          <w:rFonts w:ascii="Arial" w:hAnsi="Arial" w:cs="Arial"/>
          <w:b/>
          <w:sz w:val="24"/>
        </w:rPr>
        <w:t>1</w:t>
      </w:r>
    </w:p>
    <w:p w14:paraId="04143185" w14:textId="31DDDF44" w:rsidR="001512D7" w:rsidRPr="0010618D" w:rsidRDefault="001512D7" w:rsidP="00DC5180">
      <w:pPr>
        <w:spacing w:after="60"/>
        <w:ind w:left="1985" w:hanging="1985"/>
        <w:rPr>
          <w:rFonts w:ascii="Arial" w:hAnsi="Arial" w:cs="Arial"/>
          <w:bCs/>
        </w:rPr>
      </w:pPr>
    </w:p>
    <w:p w14:paraId="15BC7B88" w14:textId="1A8DCE6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E693A">
        <w:rPr>
          <w:rFonts w:ascii="Arial" w:hAnsi="Arial" w:cs="Arial"/>
          <w:b/>
        </w:rPr>
        <w:t>On</w:t>
      </w:r>
      <w:r w:rsidR="00F8080A" w:rsidRPr="00F8080A">
        <w:rPr>
          <w:rFonts w:ascii="Arial" w:hAnsi="Arial" w:cs="Arial"/>
          <w:b/>
        </w:rPr>
        <w:t xml:space="preserve"> </w:t>
      </w:r>
      <w:r w:rsidR="009D0E59">
        <w:rPr>
          <w:rFonts w:ascii="Arial" w:hAnsi="Arial" w:cs="Arial"/>
          <w:b/>
        </w:rPr>
        <w:t xml:space="preserve">fallback behaviour </w:t>
      </w:r>
      <w:r w:rsidR="00484298">
        <w:rPr>
          <w:rFonts w:ascii="Arial" w:hAnsi="Arial" w:cs="Arial"/>
          <w:b/>
        </w:rPr>
        <w:t>of</w:t>
      </w:r>
      <w:r w:rsidR="009D0E59">
        <w:rPr>
          <w:rFonts w:ascii="Arial" w:hAnsi="Arial" w:cs="Arial"/>
          <w:b/>
        </w:rPr>
        <w:t xml:space="preserve"> composite contiguous BW classes</w:t>
      </w:r>
      <w:r w:rsidR="00DC66DD">
        <w:rPr>
          <w:rFonts w:ascii="Arial" w:hAnsi="Arial" w:cs="Arial"/>
          <w:b/>
        </w:rPr>
        <w:t xml:space="preserve"> </w:t>
      </w:r>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0148E48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F27F6">
        <w:rPr>
          <w:rFonts w:ascii="Arial" w:hAnsi="Arial" w:cs="Arial"/>
          <w:b/>
        </w:rPr>
        <w:t>8.4.5.2</w:t>
      </w:r>
    </w:p>
    <w:p w14:paraId="2D4A371D" w14:textId="0EB2EB9A" w:rsidR="0010618D" w:rsidRPr="005E4466" w:rsidRDefault="0010618D" w:rsidP="000F7ECB">
      <w:pPr>
        <w:spacing w:after="60"/>
        <w:ind w:left="1985" w:hanging="1985"/>
        <w:rPr>
          <w:rFonts w:ascii="Arial" w:hAnsi="Arial" w:cs="Arial"/>
          <w:b/>
        </w:rPr>
      </w:pPr>
    </w:p>
    <w:p w14:paraId="13310D75" w14:textId="669801A2"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9D0E59">
        <w:rPr>
          <w:rFonts w:ascii="Arial" w:hAnsi="Arial" w:cs="Arial"/>
          <w:b/>
        </w:rPr>
        <w:t>Discussion</w:t>
      </w:r>
    </w:p>
    <w:p w14:paraId="5BDE04A3" w14:textId="37763356" w:rsidR="0045428D" w:rsidRDefault="000A567D" w:rsidP="002A1C01">
      <w:pPr>
        <w:pStyle w:val="Heading1"/>
      </w:pPr>
      <w:r>
        <w:t>1.</w:t>
      </w:r>
      <w:r>
        <w:tab/>
      </w:r>
      <w:r w:rsidR="002A1C01">
        <w:t>Introduction</w:t>
      </w:r>
    </w:p>
    <w:p w14:paraId="6F64D7D3" w14:textId="781D7B7B" w:rsidR="002B2323" w:rsidRPr="002E2724" w:rsidRDefault="009D0E59" w:rsidP="002B2323">
      <w:pPr>
        <w:rPr>
          <w:rFonts w:ascii="Calibri" w:hAnsi="Calibri" w:cs="Calibri"/>
        </w:rPr>
      </w:pPr>
      <w:r>
        <w:rPr>
          <w:rFonts w:ascii="Calibri" w:hAnsi="Calibri" w:cs="Calibri"/>
        </w:rPr>
        <w:t>Deployment plans of some FR2 operators have prompted creation of a new category of composite contiguous BW class</w:t>
      </w:r>
      <w:r w:rsidR="00837100">
        <w:rPr>
          <w:rFonts w:ascii="Calibri" w:hAnsi="Calibri" w:cs="Calibri"/>
        </w:rPr>
        <w:t xml:space="preserve"> (</w:t>
      </w:r>
      <w:proofErr w:type="spellStart"/>
      <w:r w:rsidR="00837100">
        <w:rPr>
          <w:rFonts w:ascii="Calibri" w:hAnsi="Calibri" w:cs="Calibri"/>
        </w:rPr>
        <w:t>i.e</w:t>
      </w:r>
      <w:proofErr w:type="spellEnd"/>
      <w:r w:rsidR="00837100">
        <w:rPr>
          <w:rFonts w:ascii="Calibri" w:hAnsi="Calibri" w:cs="Calibri"/>
        </w:rPr>
        <w:t xml:space="preserve"> new fallback group)</w:t>
      </w:r>
      <w:r>
        <w:rPr>
          <w:rFonts w:ascii="Calibri" w:hAnsi="Calibri" w:cs="Calibri"/>
        </w:rPr>
        <w:t xml:space="preserve"> by bringing together existing contiguous BW classes from different fallback groups. In a previous WF</w:t>
      </w:r>
      <w:r w:rsidR="00837100">
        <w:rPr>
          <w:rFonts w:ascii="Calibri" w:hAnsi="Calibri" w:cs="Calibri"/>
        </w:rPr>
        <w:t xml:space="preserve"> [1]</w:t>
      </w:r>
      <w:r>
        <w:rPr>
          <w:rFonts w:ascii="Calibri" w:hAnsi="Calibri" w:cs="Calibri"/>
        </w:rPr>
        <w:t>, FBG</w:t>
      </w:r>
      <w:r w:rsidR="001976F3">
        <w:rPr>
          <w:rFonts w:ascii="Calibri" w:hAnsi="Calibri" w:cs="Calibri"/>
        </w:rPr>
        <w:t>3+2</w:t>
      </w:r>
      <w:r>
        <w:rPr>
          <w:rFonts w:ascii="Calibri" w:hAnsi="Calibri" w:cs="Calibri"/>
        </w:rPr>
        <w:t xml:space="preserve"> combinations were agreed in principle, but the fallback behaviour remains </w:t>
      </w:r>
      <w:r w:rsidR="00837100">
        <w:rPr>
          <w:rFonts w:ascii="Calibri" w:hAnsi="Calibri" w:cs="Calibri"/>
        </w:rPr>
        <w:t>to be formalized</w:t>
      </w:r>
      <w:r w:rsidR="000865D3">
        <w:rPr>
          <w:rFonts w:ascii="Calibri" w:hAnsi="Calibri" w:cs="Calibri"/>
        </w:rPr>
        <w:t>.</w:t>
      </w:r>
    </w:p>
    <w:p w14:paraId="0AB8A81A" w14:textId="40542622" w:rsidR="004E0CD1" w:rsidRDefault="000A567D" w:rsidP="004E0CD1">
      <w:pPr>
        <w:pStyle w:val="Heading1"/>
      </w:pPr>
      <w:r>
        <w:t xml:space="preserve">2. </w:t>
      </w:r>
      <w:r>
        <w:tab/>
      </w:r>
      <w:r w:rsidR="00837100">
        <w:t>Discussion</w:t>
      </w:r>
    </w:p>
    <w:p w14:paraId="0DDBA0F7" w14:textId="3BA52E5A" w:rsidR="00360BC2" w:rsidRDefault="001976F3" w:rsidP="00B70BB3">
      <w:pPr>
        <w:spacing w:after="120"/>
        <w:rPr>
          <w:rFonts w:asciiTheme="minorHAnsi" w:hAnsiTheme="minorHAnsi" w:cstheme="minorHAnsi"/>
        </w:rPr>
      </w:pPr>
      <w:bookmarkStart w:id="2" w:name="_Hlk78640772"/>
      <w:r>
        <w:rPr>
          <w:rFonts w:asciiTheme="minorHAnsi" w:hAnsiTheme="minorHAnsi" w:cstheme="minorHAnsi"/>
        </w:rPr>
        <w:t>The table b</w:t>
      </w:r>
      <w:r w:rsidRPr="001976F3">
        <w:rPr>
          <w:rFonts w:asciiTheme="minorHAnsi" w:hAnsiTheme="minorHAnsi" w:cstheme="minorHAnsi"/>
        </w:rPr>
        <w:t xml:space="preserve">elow </w:t>
      </w:r>
      <w:r>
        <w:rPr>
          <w:rFonts w:asciiTheme="minorHAnsi" w:hAnsiTheme="minorHAnsi" w:cstheme="minorHAnsi"/>
        </w:rPr>
        <w:t>is a list of composite contiguous BW classes defined for FBG3+2 [1]</w:t>
      </w:r>
    </w:p>
    <w:tbl>
      <w:tblPr>
        <w:tblW w:w="5101" w:type="dxa"/>
        <w:jc w:val="center"/>
        <w:tblCellMar>
          <w:left w:w="0" w:type="dxa"/>
          <w:right w:w="0" w:type="dxa"/>
        </w:tblCellMar>
        <w:tblLook w:val="04A0" w:firstRow="1" w:lastRow="0" w:firstColumn="1" w:lastColumn="0" w:noHBand="0" w:noVBand="1"/>
      </w:tblPr>
      <w:tblGrid>
        <w:gridCol w:w="2831"/>
        <w:gridCol w:w="1137"/>
        <w:gridCol w:w="1133"/>
      </w:tblGrid>
      <w:tr w:rsidR="001976F3" w14:paraId="31A894A4" w14:textId="77777777" w:rsidTr="00E67E5F">
        <w:trPr>
          <w:trHeight w:val="187"/>
          <w:jc w:val="center"/>
        </w:trPr>
        <w:tc>
          <w:tcPr>
            <w:tcW w:w="2831"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518AF84A" w14:textId="77777777" w:rsidR="001976F3" w:rsidRPr="00CA3E7A" w:rsidRDefault="001976F3" w:rsidP="00E67E5F">
            <w:pPr>
              <w:pStyle w:val="TAH"/>
              <w:rPr>
                <w:lang w:eastAsia="fi-FI"/>
              </w:rPr>
            </w:pPr>
            <w:r>
              <w:t>Intra-band contiguous CA bandwidth class</w:t>
            </w:r>
          </w:p>
        </w:tc>
        <w:tc>
          <w:tcPr>
            <w:tcW w:w="2270"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5B642318" w14:textId="77777777" w:rsidR="001976F3" w:rsidRDefault="001976F3" w:rsidP="00E67E5F">
            <w:pPr>
              <w:pStyle w:val="TAH"/>
            </w:pPr>
            <w:r>
              <w:t>Number of</w:t>
            </w:r>
          </w:p>
          <w:p w14:paraId="2BA3455C" w14:textId="77777777" w:rsidR="001976F3" w:rsidRDefault="001976F3" w:rsidP="00E67E5F">
            <w:pPr>
              <w:pStyle w:val="TAH"/>
            </w:pPr>
            <w:r>
              <w:t>contiguous CC</w:t>
            </w:r>
          </w:p>
        </w:tc>
      </w:tr>
      <w:tr w:rsidR="001976F3" w14:paraId="105368AF" w14:textId="77777777" w:rsidTr="00E67E5F">
        <w:trPr>
          <w:trHeight w:val="187"/>
          <w:jc w:val="center"/>
        </w:trPr>
        <w:tc>
          <w:tcPr>
            <w:tcW w:w="283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B5B3697" w14:textId="77777777" w:rsidR="001976F3" w:rsidRDefault="001976F3" w:rsidP="00E67E5F"/>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6549FE9E" w14:textId="77777777" w:rsidR="001976F3" w:rsidRDefault="001976F3" w:rsidP="00E67E5F">
            <w:pPr>
              <w:pStyle w:val="TAH"/>
              <w:rPr>
                <w:rFonts w:eastAsiaTheme="minorHAnsi" w:cs="Arial"/>
                <w:szCs w:val="18"/>
                <w:lang w:eastAsia="fi-FI"/>
              </w:rPr>
            </w:pPr>
            <w:r>
              <w:t>FBG3</w:t>
            </w:r>
          </w:p>
        </w:tc>
        <w:tc>
          <w:tcPr>
            <w:tcW w:w="1133"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62B9E357" w14:textId="77777777" w:rsidR="001976F3" w:rsidRDefault="001976F3" w:rsidP="00E67E5F">
            <w:pPr>
              <w:pStyle w:val="TAH"/>
              <w:rPr>
                <w:sz w:val="20"/>
                <w:lang w:val="fi-FI"/>
              </w:rPr>
            </w:pPr>
            <w:r>
              <w:t>FBG2</w:t>
            </w:r>
          </w:p>
        </w:tc>
      </w:tr>
      <w:tr w:rsidR="001976F3" w14:paraId="2067BBC0" w14:textId="77777777" w:rsidTr="00E67E5F">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AE3C083" w14:textId="77777777" w:rsidR="001976F3" w:rsidRDefault="001976F3" w:rsidP="00E67E5F">
            <w:pPr>
              <w:pStyle w:val="TAC"/>
            </w:pPr>
            <w:r>
              <w:t>MA</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3E5D519C" w14:textId="77777777" w:rsidR="001976F3" w:rsidRDefault="001976F3" w:rsidP="00E67E5F">
            <w:pPr>
              <w:pStyle w:val="TAC"/>
            </w:pPr>
            <w: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1D10966E" w14:textId="77777777" w:rsidR="001976F3" w:rsidRDefault="001976F3" w:rsidP="00E67E5F">
            <w:pPr>
              <w:pStyle w:val="TAC"/>
            </w:pPr>
            <w:r>
              <w:t>1</w:t>
            </w:r>
          </w:p>
        </w:tc>
      </w:tr>
      <w:tr w:rsidR="001976F3" w14:paraId="23C1A69E" w14:textId="77777777" w:rsidTr="00E67E5F">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69A7AA8" w14:textId="77777777" w:rsidR="001976F3" w:rsidRDefault="001976F3" w:rsidP="00E67E5F">
            <w:pPr>
              <w:pStyle w:val="TAC"/>
            </w:pPr>
            <w:r>
              <w:t>MD</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2F606AEE" w14:textId="77777777" w:rsidR="001976F3" w:rsidRDefault="001976F3" w:rsidP="00E67E5F">
            <w:pPr>
              <w:pStyle w:val="TAC"/>
            </w:pPr>
            <w: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20F2F585" w14:textId="77777777" w:rsidR="001976F3" w:rsidRDefault="001976F3" w:rsidP="00E67E5F">
            <w:pPr>
              <w:pStyle w:val="TAC"/>
            </w:pPr>
            <w:r>
              <w:t>2</w:t>
            </w:r>
          </w:p>
        </w:tc>
      </w:tr>
      <w:tr w:rsidR="001976F3" w14:paraId="52D4CB3F" w14:textId="77777777" w:rsidTr="00E67E5F">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721B0D2" w14:textId="77777777" w:rsidR="001976F3" w:rsidRDefault="001976F3" w:rsidP="00E67E5F">
            <w:pPr>
              <w:pStyle w:val="TAC"/>
            </w:pPr>
            <w:r>
              <w:t>ME</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428955AF" w14:textId="77777777" w:rsidR="001976F3" w:rsidRDefault="001976F3" w:rsidP="00E67E5F">
            <w:pPr>
              <w:pStyle w:val="TAC"/>
            </w:pPr>
            <w: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29A8FBE8" w14:textId="77777777" w:rsidR="001976F3" w:rsidRDefault="001976F3" w:rsidP="00E67E5F">
            <w:pPr>
              <w:pStyle w:val="TAC"/>
            </w:pPr>
            <w:r>
              <w:t>3</w:t>
            </w:r>
          </w:p>
        </w:tc>
      </w:tr>
      <w:tr w:rsidR="001976F3" w14:paraId="544235C8" w14:textId="77777777" w:rsidTr="00E67E5F">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886132B" w14:textId="77777777" w:rsidR="001976F3" w:rsidRDefault="001976F3" w:rsidP="00E67E5F">
            <w:pPr>
              <w:pStyle w:val="TAC"/>
            </w:pPr>
            <w:r>
              <w:t>MF</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5A9A25F2" w14:textId="77777777" w:rsidR="001976F3" w:rsidRDefault="001976F3" w:rsidP="00E67E5F">
            <w:pPr>
              <w:pStyle w:val="TAC"/>
            </w:pPr>
            <w: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66AEA022" w14:textId="77777777" w:rsidR="001976F3" w:rsidRDefault="001976F3" w:rsidP="00E67E5F">
            <w:pPr>
              <w:pStyle w:val="TAC"/>
            </w:pPr>
            <w:r>
              <w:t>4</w:t>
            </w:r>
          </w:p>
        </w:tc>
      </w:tr>
    </w:tbl>
    <w:p w14:paraId="7489C5BF" w14:textId="6474378E" w:rsidR="001976F3" w:rsidRDefault="001976F3" w:rsidP="00B70BB3">
      <w:pPr>
        <w:spacing w:after="120"/>
        <w:rPr>
          <w:rFonts w:asciiTheme="minorHAnsi" w:hAnsiTheme="minorHAnsi" w:cstheme="minorHAnsi"/>
        </w:rPr>
      </w:pPr>
    </w:p>
    <w:p w14:paraId="3071E845" w14:textId="098D970F" w:rsidR="00653539" w:rsidRDefault="00653539" w:rsidP="00B70BB3">
      <w:pPr>
        <w:spacing w:after="120"/>
        <w:rPr>
          <w:rFonts w:asciiTheme="minorHAnsi" w:hAnsiTheme="minorHAnsi" w:cstheme="minorHAnsi"/>
        </w:rPr>
      </w:pPr>
      <w:r>
        <w:rPr>
          <w:rFonts w:asciiTheme="minorHAnsi" w:hAnsiTheme="minorHAnsi" w:cstheme="minorHAnsi"/>
        </w:rPr>
        <w:t>The WF</w:t>
      </w:r>
      <w:r w:rsidR="001A77B6">
        <w:rPr>
          <w:rFonts w:asciiTheme="minorHAnsi" w:hAnsiTheme="minorHAnsi" w:cstheme="minorHAnsi"/>
        </w:rPr>
        <w:t xml:space="preserve"> [1]</w:t>
      </w:r>
      <w:r>
        <w:rPr>
          <w:rFonts w:asciiTheme="minorHAnsi" w:hAnsiTheme="minorHAnsi" w:cstheme="minorHAnsi"/>
        </w:rPr>
        <w:t xml:space="preserve"> outlines the </w:t>
      </w:r>
      <w:r w:rsidR="00C82825">
        <w:rPr>
          <w:rFonts w:asciiTheme="minorHAnsi" w:hAnsiTheme="minorHAnsi" w:cstheme="minorHAnsi"/>
        </w:rPr>
        <w:t>implicitly supported configurations for a UE that explicitly declares support for BW class ‘MF’ (8x100 + 4x200)</w:t>
      </w:r>
      <w:r>
        <w:rPr>
          <w:rFonts w:asciiTheme="minorHAnsi" w:hAnsiTheme="minorHAnsi" w:cstheme="minorHAnsi"/>
        </w:rPr>
        <w:t xml:space="preserve">: </w:t>
      </w:r>
    </w:p>
    <w:p w14:paraId="4B8E731E" w14:textId="42C4D82D" w:rsidR="00653539" w:rsidRDefault="00653539" w:rsidP="00B70BB3">
      <w:pPr>
        <w:spacing w:after="120"/>
        <w:rPr>
          <w:sz w:val="24"/>
          <w:szCs w:val="24"/>
          <w:lang w:val="en-US"/>
        </w:rPr>
      </w:pPr>
      <w:r>
        <w:rPr>
          <w:rFonts w:asciiTheme="minorHAnsi" w:hAnsiTheme="minorHAnsi" w:cstheme="minorHAnsi"/>
        </w:rPr>
        <w:t>‘</w:t>
      </w:r>
      <w:r>
        <w:rPr>
          <w:color w:val="FF0000"/>
          <w:sz w:val="24"/>
          <w:szCs w:val="24"/>
          <w:lang w:val="en-US"/>
        </w:rPr>
        <w:t xml:space="preserve">no FBG3 carriers are released when there are still FBG2 CC(s) i.e. valid fallback sequence is </w:t>
      </w:r>
      <w:r w:rsidRPr="00CA3E7A">
        <w:rPr>
          <w:b/>
          <w:bCs/>
          <w:color w:val="FF0000"/>
          <w:sz w:val="24"/>
          <w:szCs w:val="24"/>
          <w:lang w:val="en-US"/>
        </w:rPr>
        <w:t>8x100</w:t>
      </w:r>
      <w:r w:rsidRPr="00CA3E7A">
        <w:rPr>
          <w:sz w:val="24"/>
          <w:szCs w:val="24"/>
          <w:lang w:val="en-US"/>
        </w:rPr>
        <w:t xml:space="preserve">+4x200 </w:t>
      </w:r>
      <w:proofErr w:type="gramStart"/>
      <w:r w:rsidRPr="00CA3E7A">
        <w:rPr>
          <w:rFonts w:ascii="Wingdings" w:hAnsi="Wingdings" w:hint="eastAsia"/>
          <w:sz w:val="24"/>
          <w:szCs w:val="24"/>
          <w:lang w:val="en-US"/>
        </w:rPr>
        <w:t>à</w:t>
      </w:r>
      <w:r w:rsidRPr="00CA3E7A">
        <w:rPr>
          <w:sz w:val="24"/>
          <w:szCs w:val="24"/>
          <w:lang w:val="en-US"/>
        </w:rPr>
        <w:t xml:space="preserve">  </w:t>
      </w:r>
      <w:r w:rsidRPr="00CA3E7A">
        <w:rPr>
          <w:b/>
          <w:bCs/>
          <w:color w:val="FF0000"/>
          <w:sz w:val="24"/>
          <w:szCs w:val="24"/>
          <w:lang w:val="en-US"/>
        </w:rPr>
        <w:t>8</w:t>
      </w:r>
      <w:proofErr w:type="gramEnd"/>
      <w:r w:rsidRPr="00CA3E7A">
        <w:rPr>
          <w:b/>
          <w:bCs/>
          <w:color w:val="FF0000"/>
          <w:sz w:val="24"/>
          <w:szCs w:val="24"/>
          <w:lang w:val="en-US"/>
        </w:rPr>
        <w:t>x100</w:t>
      </w:r>
      <w:r w:rsidRPr="00CA3E7A">
        <w:rPr>
          <w:sz w:val="24"/>
          <w:szCs w:val="24"/>
          <w:lang w:val="en-US"/>
        </w:rPr>
        <w:t xml:space="preserve">+3x200 </w:t>
      </w:r>
      <w:r w:rsidRPr="00CA3E7A">
        <w:rPr>
          <w:rFonts w:ascii="Wingdings" w:hAnsi="Wingdings" w:hint="eastAsia"/>
          <w:sz w:val="24"/>
          <w:szCs w:val="24"/>
          <w:lang w:val="en-US"/>
        </w:rPr>
        <w:t>à</w:t>
      </w:r>
      <w:r w:rsidRPr="00CA3E7A">
        <w:rPr>
          <w:sz w:val="24"/>
          <w:szCs w:val="24"/>
          <w:lang w:val="en-US"/>
        </w:rPr>
        <w:t xml:space="preserve"> </w:t>
      </w:r>
      <w:r w:rsidRPr="00CA3E7A">
        <w:rPr>
          <w:b/>
          <w:bCs/>
          <w:color w:val="FF0000"/>
          <w:sz w:val="24"/>
          <w:szCs w:val="24"/>
          <w:lang w:val="en-US"/>
        </w:rPr>
        <w:t>8x100</w:t>
      </w:r>
      <w:r w:rsidRPr="00CA3E7A">
        <w:rPr>
          <w:sz w:val="24"/>
          <w:szCs w:val="24"/>
          <w:lang w:val="en-US"/>
        </w:rPr>
        <w:t xml:space="preserve">+2x200 </w:t>
      </w:r>
      <w:r w:rsidRPr="00CA3E7A">
        <w:rPr>
          <w:rFonts w:ascii="Wingdings" w:hAnsi="Wingdings" w:hint="eastAsia"/>
          <w:sz w:val="24"/>
          <w:szCs w:val="24"/>
          <w:lang w:val="en-US"/>
        </w:rPr>
        <w:t>à</w:t>
      </w:r>
      <w:r w:rsidRPr="00CA3E7A">
        <w:rPr>
          <w:b/>
          <w:bCs/>
          <w:color w:val="FF0000"/>
          <w:sz w:val="24"/>
          <w:szCs w:val="24"/>
          <w:lang w:val="en-US"/>
        </w:rPr>
        <w:t>8x100</w:t>
      </w:r>
      <w:r w:rsidRPr="00CA3E7A">
        <w:rPr>
          <w:sz w:val="24"/>
          <w:szCs w:val="24"/>
          <w:lang w:val="en-US"/>
        </w:rPr>
        <w:t xml:space="preserve">+1x200 </w:t>
      </w:r>
      <w:r w:rsidRPr="00CA3E7A">
        <w:rPr>
          <w:rFonts w:ascii="Wingdings" w:hAnsi="Wingdings" w:hint="eastAsia"/>
          <w:sz w:val="24"/>
          <w:szCs w:val="24"/>
          <w:lang w:val="en-US"/>
        </w:rPr>
        <w:t>à</w:t>
      </w:r>
      <w:r w:rsidRPr="00CA3E7A">
        <w:rPr>
          <w:sz w:val="24"/>
          <w:szCs w:val="24"/>
          <w:lang w:val="en-US"/>
        </w:rPr>
        <w:t xml:space="preserve"> </w:t>
      </w:r>
      <w:r w:rsidRPr="00CA3E7A">
        <w:rPr>
          <w:b/>
          <w:bCs/>
          <w:color w:val="FF0000"/>
          <w:sz w:val="24"/>
          <w:szCs w:val="24"/>
          <w:lang w:val="en-US"/>
        </w:rPr>
        <w:t>8x100</w:t>
      </w:r>
      <w:r>
        <w:rPr>
          <w:sz w:val="24"/>
          <w:szCs w:val="24"/>
          <w:lang w:val="en-US"/>
        </w:rPr>
        <w:t xml:space="preserve"> </w:t>
      </w:r>
      <w:r w:rsidRPr="00D938A3">
        <w:rPr>
          <w:sz w:val="24"/>
          <w:szCs w:val="24"/>
          <w:lang w:val="en-US"/>
        </w:rPr>
        <w:sym w:font="Wingdings" w:char="F0E0"/>
      </w:r>
      <w:r>
        <w:rPr>
          <w:sz w:val="24"/>
          <w:szCs w:val="24"/>
          <w:lang w:val="en-US"/>
        </w:rPr>
        <w:t xml:space="preserve"> </w:t>
      </w:r>
      <w:r w:rsidRPr="00D938A3">
        <w:rPr>
          <w:sz w:val="24"/>
          <w:szCs w:val="24"/>
          <w:lang w:val="en-US"/>
        </w:rPr>
        <w:t>7/6/… x100</w:t>
      </w:r>
      <w:r>
        <w:rPr>
          <w:sz w:val="24"/>
          <w:szCs w:val="24"/>
          <w:lang w:val="en-US"/>
        </w:rPr>
        <w:t>’</w:t>
      </w:r>
    </w:p>
    <w:p w14:paraId="4C7F3BC4" w14:textId="0C85AFBC" w:rsidR="00653539" w:rsidRDefault="00653539" w:rsidP="00B70BB3">
      <w:pPr>
        <w:spacing w:after="120"/>
        <w:rPr>
          <w:rFonts w:asciiTheme="minorHAnsi" w:hAnsiTheme="minorHAnsi" w:cstheme="minorHAnsi"/>
        </w:rPr>
      </w:pPr>
      <w:r>
        <w:rPr>
          <w:rFonts w:asciiTheme="minorHAnsi" w:hAnsiTheme="minorHAnsi" w:cstheme="minorHAnsi"/>
        </w:rPr>
        <w:t>Alt1 from the same WF captures this intent:</w:t>
      </w:r>
    </w:p>
    <w:p w14:paraId="7FB38547" w14:textId="6AB7955F" w:rsidR="00653539" w:rsidRPr="00F1682A" w:rsidRDefault="00653539" w:rsidP="00F1682A">
      <w:pPr>
        <w:spacing w:after="120"/>
        <w:ind w:left="540"/>
        <w:rPr>
          <w:rFonts w:asciiTheme="minorHAnsi" w:hAnsiTheme="minorHAnsi" w:cstheme="minorHAnsi"/>
          <w:i/>
          <w:iCs/>
        </w:rPr>
      </w:pPr>
      <w:r w:rsidRPr="00F1682A">
        <w:rPr>
          <w:rFonts w:asciiTheme="minorHAnsi" w:hAnsiTheme="minorHAnsi" w:cstheme="minorHAnsi"/>
          <w:i/>
          <w:iCs/>
        </w:rPr>
        <w:t>NOTE 2: It is mandatory for a UE to be able to fallback to lower order CA bandwidth class configuration within a fallback group. The UE shall be configured with a carrier from FBG2 only when it is already configured with the highest supported order CA bandwidth class from FBG3. The aggregated channel bandwidth shall be not larger than 1600 MHz</w:t>
      </w:r>
    </w:p>
    <w:p w14:paraId="1FEA600A" w14:textId="302E51F2" w:rsidR="00653539" w:rsidRDefault="00653539" w:rsidP="00B70BB3">
      <w:pPr>
        <w:spacing w:after="120"/>
        <w:rPr>
          <w:rFonts w:asciiTheme="minorHAnsi" w:hAnsiTheme="minorHAnsi" w:cstheme="minorHAnsi"/>
        </w:rPr>
      </w:pPr>
      <w:r>
        <w:rPr>
          <w:rFonts w:asciiTheme="minorHAnsi" w:hAnsiTheme="minorHAnsi" w:cstheme="minorHAnsi"/>
        </w:rPr>
        <w:t xml:space="preserve">We however recognize that the behaviour is asymmetric, with </w:t>
      </w:r>
      <w:r w:rsidR="00F1682A">
        <w:rPr>
          <w:rFonts w:asciiTheme="minorHAnsi" w:hAnsiTheme="minorHAnsi" w:cstheme="minorHAnsi"/>
        </w:rPr>
        <w:t>preference given to FBG3 carriers. While this may make sense for the foreseen deployment requirement, a more flexible scheme would benefit future deployments. We therefore favour a symmetric formulation</w:t>
      </w:r>
      <w:r w:rsidR="00C82825">
        <w:rPr>
          <w:rFonts w:asciiTheme="minorHAnsi" w:hAnsiTheme="minorHAnsi" w:cstheme="minorHAnsi"/>
        </w:rPr>
        <w:t xml:space="preserve"> of the fallback rule</w:t>
      </w:r>
      <w:r w:rsidR="00F1682A">
        <w:rPr>
          <w:rFonts w:asciiTheme="minorHAnsi" w:hAnsiTheme="minorHAnsi" w:cstheme="minorHAnsi"/>
        </w:rPr>
        <w:t xml:space="preserve"> that allows the network to either prioritize FBG3 carriers or FBG2 carriers. </w:t>
      </w:r>
      <w:proofErr w:type="gramStart"/>
      <w:r w:rsidR="00C82825">
        <w:rPr>
          <w:rFonts w:asciiTheme="minorHAnsi" w:hAnsiTheme="minorHAnsi" w:cstheme="minorHAnsi"/>
        </w:rPr>
        <w:t>i.e.</w:t>
      </w:r>
      <w:proofErr w:type="gramEnd"/>
      <w:r w:rsidR="00F1682A">
        <w:rPr>
          <w:rFonts w:asciiTheme="minorHAnsi" w:hAnsiTheme="minorHAnsi" w:cstheme="minorHAnsi"/>
        </w:rPr>
        <w:t xml:space="preserve"> the network can either retain FBG2 carriers while only dropping FBG3 carriers or retain FBG3 carriers while only dropping FBG2 carriers.</w:t>
      </w:r>
    </w:p>
    <w:p w14:paraId="2EDBE238" w14:textId="58D684E5" w:rsidR="00F1682A" w:rsidRDefault="00F1682A" w:rsidP="00B70BB3">
      <w:pPr>
        <w:spacing w:after="120"/>
        <w:rPr>
          <w:rFonts w:asciiTheme="minorHAnsi" w:hAnsiTheme="minorHAnsi" w:cstheme="minorHAnsi"/>
        </w:rPr>
      </w:pPr>
      <w:r>
        <w:rPr>
          <w:rFonts w:asciiTheme="minorHAnsi" w:hAnsiTheme="minorHAnsi" w:cstheme="minorHAnsi"/>
        </w:rPr>
        <w:t>Alt 2 from the WF captures this symmetric fallback behaviour:</w:t>
      </w:r>
    </w:p>
    <w:p w14:paraId="38B51F7B" w14:textId="5CA868A7" w:rsidR="00F1682A" w:rsidRPr="00F1682A" w:rsidRDefault="00F1682A" w:rsidP="00F1682A">
      <w:pPr>
        <w:spacing w:after="120"/>
        <w:ind w:left="540"/>
        <w:rPr>
          <w:rFonts w:asciiTheme="minorHAnsi" w:hAnsiTheme="minorHAnsi" w:cstheme="minorHAnsi"/>
          <w:i/>
          <w:iCs/>
        </w:rPr>
      </w:pPr>
      <w:r w:rsidRPr="00F1682A">
        <w:rPr>
          <w:rFonts w:asciiTheme="minorHAnsi" w:hAnsiTheme="minorHAnsi" w:cstheme="minorHAnsi"/>
          <w:i/>
          <w:iCs/>
        </w:rPr>
        <w:t>NOTE 2: It is mandatory for a UE to be able to fallback to lower order CA bandwidth class configuration within a fallback group. The UE shall not be configured with a combination that simultaneously consists of a lower-order CA bandwidth class from each fallback group. The aggregated channel bandwidth shall be not larger than 1600 MHz</w:t>
      </w:r>
    </w:p>
    <w:p w14:paraId="45180F2B" w14:textId="08743E66" w:rsidR="00653539" w:rsidRPr="00F1682A" w:rsidRDefault="00653539" w:rsidP="00B70BB3">
      <w:pPr>
        <w:spacing w:after="120"/>
        <w:rPr>
          <w:rFonts w:asciiTheme="minorHAnsi" w:hAnsiTheme="minorHAnsi" w:cstheme="minorHAnsi"/>
          <w:b/>
          <w:bCs/>
        </w:rPr>
      </w:pPr>
      <w:r w:rsidRPr="00F1682A">
        <w:rPr>
          <w:rFonts w:asciiTheme="minorHAnsi" w:hAnsiTheme="minorHAnsi" w:cstheme="minorHAnsi"/>
          <w:b/>
          <w:bCs/>
        </w:rPr>
        <w:t xml:space="preserve">Proposal: </w:t>
      </w:r>
      <w:r w:rsidR="003C3874">
        <w:rPr>
          <w:rFonts w:asciiTheme="minorHAnsi" w:hAnsiTheme="minorHAnsi" w:cstheme="minorHAnsi"/>
          <w:b/>
          <w:bCs/>
        </w:rPr>
        <w:t>RAN4 to consider</w:t>
      </w:r>
      <w:r w:rsidRPr="00F1682A">
        <w:rPr>
          <w:rFonts w:asciiTheme="minorHAnsi" w:hAnsiTheme="minorHAnsi" w:cstheme="minorHAnsi"/>
          <w:b/>
          <w:bCs/>
        </w:rPr>
        <w:t xml:space="preserve"> Alt</w:t>
      </w:r>
      <w:r w:rsidR="00F1682A" w:rsidRPr="00F1682A">
        <w:rPr>
          <w:rFonts w:asciiTheme="minorHAnsi" w:hAnsiTheme="minorHAnsi" w:cstheme="minorHAnsi"/>
          <w:b/>
          <w:bCs/>
        </w:rPr>
        <w:t>2</w:t>
      </w:r>
      <w:r w:rsidRPr="00F1682A">
        <w:rPr>
          <w:rFonts w:asciiTheme="minorHAnsi" w:hAnsiTheme="minorHAnsi" w:cstheme="minorHAnsi"/>
          <w:b/>
          <w:bCs/>
        </w:rPr>
        <w:t xml:space="preserve"> from WF R4-2114963 as the fallback behaviour</w:t>
      </w:r>
      <w:r w:rsidR="003C3874">
        <w:rPr>
          <w:rFonts w:asciiTheme="minorHAnsi" w:hAnsiTheme="minorHAnsi" w:cstheme="minorHAnsi"/>
          <w:b/>
          <w:bCs/>
        </w:rPr>
        <w:t xml:space="preserve"> for composite contiguous </w:t>
      </w:r>
      <w:r w:rsidR="006D2430">
        <w:rPr>
          <w:rFonts w:asciiTheme="minorHAnsi" w:hAnsiTheme="minorHAnsi" w:cstheme="minorHAnsi"/>
          <w:b/>
          <w:bCs/>
        </w:rPr>
        <w:t>BW classes (</w:t>
      </w:r>
      <w:proofErr w:type="spellStart"/>
      <w:proofErr w:type="gramStart"/>
      <w:r w:rsidR="006D2430">
        <w:rPr>
          <w:rFonts w:asciiTheme="minorHAnsi" w:hAnsiTheme="minorHAnsi" w:cstheme="minorHAnsi"/>
          <w:b/>
          <w:bCs/>
        </w:rPr>
        <w:t>eg</w:t>
      </w:r>
      <w:proofErr w:type="spellEnd"/>
      <w:proofErr w:type="gramEnd"/>
      <w:r w:rsidR="006D2430">
        <w:rPr>
          <w:rFonts w:asciiTheme="minorHAnsi" w:hAnsiTheme="minorHAnsi" w:cstheme="minorHAnsi"/>
          <w:b/>
          <w:bCs/>
        </w:rPr>
        <w:t xml:space="preserve"> FBG3+2)</w:t>
      </w:r>
    </w:p>
    <w:p w14:paraId="0239868B" w14:textId="77777777" w:rsidR="00653539" w:rsidRDefault="00653539" w:rsidP="00B70BB3">
      <w:pPr>
        <w:spacing w:after="120"/>
        <w:rPr>
          <w:rFonts w:asciiTheme="minorHAnsi" w:hAnsiTheme="minorHAnsi" w:cstheme="minorHAnsi"/>
        </w:rPr>
      </w:pPr>
    </w:p>
    <w:bookmarkEnd w:id="2"/>
    <w:p w14:paraId="1F63889B" w14:textId="24B7074A" w:rsidR="0045428D" w:rsidRDefault="00F1682A" w:rsidP="00534C0E">
      <w:pPr>
        <w:pStyle w:val="Heading1"/>
        <w:rPr>
          <w:b/>
          <w:sz w:val="24"/>
        </w:rPr>
      </w:pPr>
      <w:r>
        <w:t>3</w:t>
      </w:r>
      <w:r w:rsidR="00534C0E">
        <w:t xml:space="preserve">. </w:t>
      </w:r>
      <w:r w:rsidR="00534C0E">
        <w:tab/>
      </w:r>
      <w:r w:rsidR="00934DE1" w:rsidRPr="00534C0E">
        <w:t>References</w:t>
      </w:r>
    </w:p>
    <w:p w14:paraId="71287DAB" w14:textId="2B28D485"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w:t>
      </w:r>
      <w:r w:rsidR="009D0E59">
        <w:rPr>
          <w:rFonts w:ascii="Arial" w:eastAsia="SimSun" w:hAnsi="Arial" w:cs="Arial"/>
          <w:bCs/>
          <w:sz w:val="18"/>
          <w:szCs w:val="18"/>
          <w:lang w:val="en-US" w:eastAsia="en-GB"/>
        </w:rPr>
        <w:t>4963</w:t>
      </w:r>
      <w:r w:rsidRPr="000B036D">
        <w:rPr>
          <w:rFonts w:ascii="Arial" w:eastAsia="SimSun" w:hAnsi="Arial" w:cs="Arial"/>
          <w:bCs/>
          <w:sz w:val="18"/>
          <w:szCs w:val="18"/>
          <w:lang w:val="en-US" w:eastAsia="en-GB"/>
        </w:rPr>
        <w:t xml:space="preserve">, </w:t>
      </w:r>
      <w:r w:rsidR="009D0E59">
        <w:rPr>
          <w:rFonts w:ascii="Arial" w:eastAsia="SimSun" w:hAnsi="Arial" w:cs="Arial"/>
          <w:bCs/>
          <w:sz w:val="18"/>
          <w:szCs w:val="18"/>
          <w:lang w:val="en-US" w:eastAsia="en-GB"/>
        </w:rPr>
        <w:t>‘</w:t>
      </w:r>
      <w:r w:rsidR="009D0E59" w:rsidRPr="009D0E59">
        <w:rPr>
          <w:rFonts w:ascii="Arial" w:eastAsia="SimSun" w:hAnsi="Arial" w:cs="Arial"/>
          <w:bCs/>
          <w:sz w:val="18"/>
          <w:szCs w:val="18"/>
          <w:lang w:val="en-US" w:eastAsia="en-GB"/>
        </w:rPr>
        <w:t>WF on FR2 new CA BW Class</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9D0E59">
        <w:rPr>
          <w:rFonts w:ascii="Arial" w:eastAsia="SimSun" w:hAnsi="Arial" w:cs="Arial"/>
          <w:bCs/>
          <w:sz w:val="18"/>
          <w:szCs w:val="18"/>
          <w:lang w:val="en-US" w:eastAsia="en-GB"/>
        </w:rPr>
        <w:t>Nokia</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proofErr w:type="gramStart"/>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w:t>
      </w:r>
      <w:proofErr w:type="gramEnd"/>
      <w:r>
        <w:rPr>
          <w:rFonts w:ascii="Arial" w:eastAsia="SimSun" w:hAnsi="Arial" w:cs="Arial"/>
          <w:bCs/>
          <w:sz w:val="18"/>
          <w:szCs w:val="18"/>
          <w:lang w:val="en-US" w:eastAsia="en-GB"/>
        </w:rPr>
        <w:t xml:space="preserve"> 2021</w:t>
      </w:r>
    </w:p>
    <w:sectPr w:rsidR="001A364A">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8064E3"/>
    <w:multiLevelType w:val="hybridMultilevel"/>
    <w:tmpl w:val="EEBAF1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2"/>
  </w:num>
  <w:num w:numId="4">
    <w:abstractNumId w:val="4"/>
  </w:num>
  <w:num w:numId="5">
    <w:abstractNumId w:val="2"/>
  </w:num>
  <w:num w:numId="6">
    <w:abstractNumId w:val="1"/>
  </w:num>
  <w:num w:numId="7">
    <w:abstractNumId w:val="11"/>
  </w:num>
  <w:num w:numId="8">
    <w:abstractNumId w:val="10"/>
  </w:num>
  <w:num w:numId="9">
    <w:abstractNumId w:val="9"/>
  </w:num>
  <w:num w:numId="10">
    <w:abstractNumId w:val="13"/>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29A8"/>
    <w:rsid w:val="000032E6"/>
    <w:rsid w:val="0000500B"/>
    <w:rsid w:val="000052ED"/>
    <w:rsid w:val="00005E2B"/>
    <w:rsid w:val="0000794D"/>
    <w:rsid w:val="00010893"/>
    <w:rsid w:val="00010918"/>
    <w:rsid w:val="00010A16"/>
    <w:rsid w:val="00012263"/>
    <w:rsid w:val="00012B34"/>
    <w:rsid w:val="000131C7"/>
    <w:rsid w:val="00013455"/>
    <w:rsid w:val="00013EA9"/>
    <w:rsid w:val="00014913"/>
    <w:rsid w:val="00015B5D"/>
    <w:rsid w:val="00016A01"/>
    <w:rsid w:val="00021CED"/>
    <w:rsid w:val="0002233B"/>
    <w:rsid w:val="000231B9"/>
    <w:rsid w:val="000245E0"/>
    <w:rsid w:val="00024B33"/>
    <w:rsid w:val="00025330"/>
    <w:rsid w:val="0002555C"/>
    <w:rsid w:val="0002620C"/>
    <w:rsid w:val="000262B9"/>
    <w:rsid w:val="000263A7"/>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2010"/>
    <w:rsid w:val="00072326"/>
    <w:rsid w:val="000726D8"/>
    <w:rsid w:val="00074051"/>
    <w:rsid w:val="0007417F"/>
    <w:rsid w:val="00074C38"/>
    <w:rsid w:val="00076DED"/>
    <w:rsid w:val="00077EB3"/>
    <w:rsid w:val="00080921"/>
    <w:rsid w:val="00081306"/>
    <w:rsid w:val="000817D0"/>
    <w:rsid w:val="000831CC"/>
    <w:rsid w:val="00083838"/>
    <w:rsid w:val="000842C1"/>
    <w:rsid w:val="000856E2"/>
    <w:rsid w:val="00085B9A"/>
    <w:rsid w:val="000865D3"/>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15BF"/>
    <w:rsid w:val="000B4BEE"/>
    <w:rsid w:val="000B6E32"/>
    <w:rsid w:val="000B7016"/>
    <w:rsid w:val="000C0914"/>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31C"/>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A9"/>
    <w:rsid w:val="000F2295"/>
    <w:rsid w:val="000F3F0F"/>
    <w:rsid w:val="000F4165"/>
    <w:rsid w:val="000F4302"/>
    <w:rsid w:val="000F502F"/>
    <w:rsid w:val="000F519D"/>
    <w:rsid w:val="000F522E"/>
    <w:rsid w:val="000F5EE6"/>
    <w:rsid w:val="000F65D1"/>
    <w:rsid w:val="000F7ECB"/>
    <w:rsid w:val="0010016D"/>
    <w:rsid w:val="00100CC0"/>
    <w:rsid w:val="00101719"/>
    <w:rsid w:val="00103712"/>
    <w:rsid w:val="00103FBC"/>
    <w:rsid w:val="00104A79"/>
    <w:rsid w:val="00104FAB"/>
    <w:rsid w:val="001054AF"/>
    <w:rsid w:val="00105BC0"/>
    <w:rsid w:val="0010618D"/>
    <w:rsid w:val="001062C5"/>
    <w:rsid w:val="001067E8"/>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709"/>
    <w:rsid w:val="00125981"/>
    <w:rsid w:val="0012615B"/>
    <w:rsid w:val="00126845"/>
    <w:rsid w:val="00126E1A"/>
    <w:rsid w:val="00127050"/>
    <w:rsid w:val="001304CF"/>
    <w:rsid w:val="00130E2C"/>
    <w:rsid w:val="001314AE"/>
    <w:rsid w:val="00131AFF"/>
    <w:rsid w:val="00132C83"/>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02"/>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976F3"/>
    <w:rsid w:val="001A0E7B"/>
    <w:rsid w:val="001A32ED"/>
    <w:rsid w:val="001A3380"/>
    <w:rsid w:val="001A364A"/>
    <w:rsid w:val="001A3BB6"/>
    <w:rsid w:val="001A4703"/>
    <w:rsid w:val="001A498A"/>
    <w:rsid w:val="001A4F6A"/>
    <w:rsid w:val="001A5601"/>
    <w:rsid w:val="001A5B6E"/>
    <w:rsid w:val="001A69D6"/>
    <w:rsid w:val="001A77B6"/>
    <w:rsid w:val="001B09EC"/>
    <w:rsid w:val="001B0F83"/>
    <w:rsid w:val="001B13B7"/>
    <w:rsid w:val="001B143A"/>
    <w:rsid w:val="001B1685"/>
    <w:rsid w:val="001B3183"/>
    <w:rsid w:val="001B4872"/>
    <w:rsid w:val="001B490A"/>
    <w:rsid w:val="001B4B13"/>
    <w:rsid w:val="001B585E"/>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8C7"/>
    <w:rsid w:val="001D794A"/>
    <w:rsid w:val="001E016A"/>
    <w:rsid w:val="001E0606"/>
    <w:rsid w:val="001E216D"/>
    <w:rsid w:val="001E286F"/>
    <w:rsid w:val="001E2A62"/>
    <w:rsid w:val="001E3C95"/>
    <w:rsid w:val="001E42CC"/>
    <w:rsid w:val="001E4305"/>
    <w:rsid w:val="001E4517"/>
    <w:rsid w:val="001E74D4"/>
    <w:rsid w:val="001F0CE1"/>
    <w:rsid w:val="001F193B"/>
    <w:rsid w:val="001F1B7D"/>
    <w:rsid w:val="001F28E4"/>
    <w:rsid w:val="001F2DCD"/>
    <w:rsid w:val="001F302F"/>
    <w:rsid w:val="001F41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04F0"/>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4EB"/>
    <w:rsid w:val="0022764A"/>
    <w:rsid w:val="0022768E"/>
    <w:rsid w:val="0022788C"/>
    <w:rsid w:val="00227CA3"/>
    <w:rsid w:val="00227DD5"/>
    <w:rsid w:val="00230CC7"/>
    <w:rsid w:val="00233A0E"/>
    <w:rsid w:val="00235273"/>
    <w:rsid w:val="002356C4"/>
    <w:rsid w:val="00235A4B"/>
    <w:rsid w:val="00235C36"/>
    <w:rsid w:val="002378A9"/>
    <w:rsid w:val="00237F26"/>
    <w:rsid w:val="002405A6"/>
    <w:rsid w:val="00240940"/>
    <w:rsid w:val="002411A5"/>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19C9"/>
    <w:rsid w:val="002820E8"/>
    <w:rsid w:val="00282D1F"/>
    <w:rsid w:val="00283C36"/>
    <w:rsid w:val="00284510"/>
    <w:rsid w:val="00285623"/>
    <w:rsid w:val="00285693"/>
    <w:rsid w:val="0028569D"/>
    <w:rsid w:val="0028650F"/>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3C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3A3"/>
    <w:rsid w:val="002C4407"/>
    <w:rsid w:val="002C5153"/>
    <w:rsid w:val="002C5725"/>
    <w:rsid w:val="002C5814"/>
    <w:rsid w:val="002C5A51"/>
    <w:rsid w:val="002C5CC1"/>
    <w:rsid w:val="002C62E7"/>
    <w:rsid w:val="002C65B6"/>
    <w:rsid w:val="002D0370"/>
    <w:rsid w:val="002D2A7E"/>
    <w:rsid w:val="002D2E83"/>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10A"/>
    <w:rsid w:val="003013ED"/>
    <w:rsid w:val="00302A56"/>
    <w:rsid w:val="00302E72"/>
    <w:rsid w:val="0030770F"/>
    <w:rsid w:val="00310536"/>
    <w:rsid w:val="00311C70"/>
    <w:rsid w:val="003126D5"/>
    <w:rsid w:val="003141FD"/>
    <w:rsid w:val="00315C69"/>
    <w:rsid w:val="00322A10"/>
    <w:rsid w:val="00323781"/>
    <w:rsid w:val="003237EB"/>
    <w:rsid w:val="003238F8"/>
    <w:rsid w:val="003242F2"/>
    <w:rsid w:val="003243F0"/>
    <w:rsid w:val="003246A1"/>
    <w:rsid w:val="00324D06"/>
    <w:rsid w:val="00325469"/>
    <w:rsid w:val="00325BE8"/>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4DA7"/>
    <w:rsid w:val="00345077"/>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0BC2"/>
    <w:rsid w:val="003612B6"/>
    <w:rsid w:val="003613D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47B"/>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866"/>
    <w:rsid w:val="003A7D56"/>
    <w:rsid w:val="003A7D6E"/>
    <w:rsid w:val="003B0783"/>
    <w:rsid w:val="003B0C24"/>
    <w:rsid w:val="003B193F"/>
    <w:rsid w:val="003B3DD7"/>
    <w:rsid w:val="003B4BF2"/>
    <w:rsid w:val="003B4D50"/>
    <w:rsid w:val="003B6F17"/>
    <w:rsid w:val="003B79BA"/>
    <w:rsid w:val="003C0362"/>
    <w:rsid w:val="003C0809"/>
    <w:rsid w:val="003C17C4"/>
    <w:rsid w:val="003C1DB8"/>
    <w:rsid w:val="003C2BA0"/>
    <w:rsid w:val="003C3217"/>
    <w:rsid w:val="003C3383"/>
    <w:rsid w:val="003C3874"/>
    <w:rsid w:val="003C5038"/>
    <w:rsid w:val="003C5CAE"/>
    <w:rsid w:val="003C6029"/>
    <w:rsid w:val="003D0148"/>
    <w:rsid w:val="003D0A5E"/>
    <w:rsid w:val="003D353C"/>
    <w:rsid w:val="003D41E2"/>
    <w:rsid w:val="003D46AF"/>
    <w:rsid w:val="003D4978"/>
    <w:rsid w:val="003D4B4D"/>
    <w:rsid w:val="003D5BB5"/>
    <w:rsid w:val="003D76EC"/>
    <w:rsid w:val="003E0174"/>
    <w:rsid w:val="003E0EF6"/>
    <w:rsid w:val="003E0F2B"/>
    <w:rsid w:val="003E11D3"/>
    <w:rsid w:val="003E13CC"/>
    <w:rsid w:val="003E1E32"/>
    <w:rsid w:val="003E3399"/>
    <w:rsid w:val="003E427D"/>
    <w:rsid w:val="003E488E"/>
    <w:rsid w:val="003E4CBC"/>
    <w:rsid w:val="003E53A5"/>
    <w:rsid w:val="003E5FB9"/>
    <w:rsid w:val="003E6877"/>
    <w:rsid w:val="003E722B"/>
    <w:rsid w:val="003E7ADB"/>
    <w:rsid w:val="003F04B8"/>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4C4"/>
    <w:rsid w:val="00417675"/>
    <w:rsid w:val="0042095B"/>
    <w:rsid w:val="00421CC7"/>
    <w:rsid w:val="004234E9"/>
    <w:rsid w:val="00424A39"/>
    <w:rsid w:val="0043180B"/>
    <w:rsid w:val="00431A16"/>
    <w:rsid w:val="00432734"/>
    <w:rsid w:val="0043290B"/>
    <w:rsid w:val="00435767"/>
    <w:rsid w:val="004358DC"/>
    <w:rsid w:val="00435B76"/>
    <w:rsid w:val="00436495"/>
    <w:rsid w:val="004366AF"/>
    <w:rsid w:val="00436908"/>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783"/>
    <w:rsid w:val="004609D7"/>
    <w:rsid w:val="00461B36"/>
    <w:rsid w:val="00462017"/>
    <w:rsid w:val="0046220C"/>
    <w:rsid w:val="00462EF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42"/>
    <w:rsid w:val="0048148B"/>
    <w:rsid w:val="00481669"/>
    <w:rsid w:val="00481759"/>
    <w:rsid w:val="00481ACF"/>
    <w:rsid w:val="004821E8"/>
    <w:rsid w:val="0048231C"/>
    <w:rsid w:val="004827E0"/>
    <w:rsid w:val="0048362D"/>
    <w:rsid w:val="00484171"/>
    <w:rsid w:val="00484298"/>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956"/>
    <w:rsid w:val="004B6C83"/>
    <w:rsid w:val="004B73EF"/>
    <w:rsid w:val="004B7658"/>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458D"/>
    <w:rsid w:val="004D55AC"/>
    <w:rsid w:val="004D59D7"/>
    <w:rsid w:val="004D66B7"/>
    <w:rsid w:val="004D75D8"/>
    <w:rsid w:val="004E076B"/>
    <w:rsid w:val="004E0CD1"/>
    <w:rsid w:val="004E0FAB"/>
    <w:rsid w:val="004E1641"/>
    <w:rsid w:val="004E28E6"/>
    <w:rsid w:val="004E3693"/>
    <w:rsid w:val="004E3C0B"/>
    <w:rsid w:val="004E42B6"/>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3BA"/>
    <w:rsid w:val="0050658B"/>
    <w:rsid w:val="005070A3"/>
    <w:rsid w:val="00507ACB"/>
    <w:rsid w:val="00507D16"/>
    <w:rsid w:val="00510D5C"/>
    <w:rsid w:val="00511F3D"/>
    <w:rsid w:val="00511F68"/>
    <w:rsid w:val="005120D5"/>
    <w:rsid w:val="0051299F"/>
    <w:rsid w:val="00514334"/>
    <w:rsid w:val="00514836"/>
    <w:rsid w:val="00517ABC"/>
    <w:rsid w:val="00520026"/>
    <w:rsid w:val="0052004B"/>
    <w:rsid w:val="0052226D"/>
    <w:rsid w:val="00522822"/>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0A1"/>
    <w:rsid w:val="005474D0"/>
    <w:rsid w:val="0055056C"/>
    <w:rsid w:val="00550589"/>
    <w:rsid w:val="0055115F"/>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73C"/>
    <w:rsid w:val="00567869"/>
    <w:rsid w:val="00567D6A"/>
    <w:rsid w:val="00571DBC"/>
    <w:rsid w:val="005722F7"/>
    <w:rsid w:val="00572F66"/>
    <w:rsid w:val="005730DB"/>
    <w:rsid w:val="00573D8A"/>
    <w:rsid w:val="00574551"/>
    <w:rsid w:val="005746B5"/>
    <w:rsid w:val="0057490C"/>
    <w:rsid w:val="00575329"/>
    <w:rsid w:val="005755A7"/>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1D7C"/>
    <w:rsid w:val="005B4A28"/>
    <w:rsid w:val="005B4FA1"/>
    <w:rsid w:val="005B7193"/>
    <w:rsid w:val="005B72D5"/>
    <w:rsid w:val="005B7CB8"/>
    <w:rsid w:val="005C13E0"/>
    <w:rsid w:val="005C29C2"/>
    <w:rsid w:val="005C361F"/>
    <w:rsid w:val="005C421D"/>
    <w:rsid w:val="005C4551"/>
    <w:rsid w:val="005C53EB"/>
    <w:rsid w:val="005C5735"/>
    <w:rsid w:val="005C6CAA"/>
    <w:rsid w:val="005C709E"/>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591D"/>
    <w:rsid w:val="005E66D1"/>
    <w:rsid w:val="005E7211"/>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075D8"/>
    <w:rsid w:val="00610416"/>
    <w:rsid w:val="00610BAA"/>
    <w:rsid w:val="006117BD"/>
    <w:rsid w:val="00613C45"/>
    <w:rsid w:val="00613E69"/>
    <w:rsid w:val="00615027"/>
    <w:rsid w:val="00615BD6"/>
    <w:rsid w:val="0061669D"/>
    <w:rsid w:val="00617238"/>
    <w:rsid w:val="00620B51"/>
    <w:rsid w:val="00621611"/>
    <w:rsid w:val="00621AF9"/>
    <w:rsid w:val="00622683"/>
    <w:rsid w:val="006228FD"/>
    <w:rsid w:val="006246A2"/>
    <w:rsid w:val="00626D4A"/>
    <w:rsid w:val="006275DB"/>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46C"/>
    <w:rsid w:val="00645E5F"/>
    <w:rsid w:val="0064770D"/>
    <w:rsid w:val="00650585"/>
    <w:rsid w:val="00650F92"/>
    <w:rsid w:val="00651D0E"/>
    <w:rsid w:val="00652033"/>
    <w:rsid w:val="00652416"/>
    <w:rsid w:val="006528DF"/>
    <w:rsid w:val="006529D0"/>
    <w:rsid w:val="00653539"/>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C0E"/>
    <w:rsid w:val="00663E2F"/>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6E1B"/>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3C66"/>
    <w:rsid w:val="00694771"/>
    <w:rsid w:val="00695119"/>
    <w:rsid w:val="00695F3B"/>
    <w:rsid w:val="0069606D"/>
    <w:rsid w:val="006961F6"/>
    <w:rsid w:val="006A0BAA"/>
    <w:rsid w:val="006A0BB2"/>
    <w:rsid w:val="006A0EBB"/>
    <w:rsid w:val="006A2E7B"/>
    <w:rsid w:val="006A3AC3"/>
    <w:rsid w:val="006A3DD3"/>
    <w:rsid w:val="006A455E"/>
    <w:rsid w:val="006A47D6"/>
    <w:rsid w:val="006A5D79"/>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30"/>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1900"/>
    <w:rsid w:val="006E274D"/>
    <w:rsid w:val="006E2927"/>
    <w:rsid w:val="006E4C08"/>
    <w:rsid w:val="006E4C54"/>
    <w:rsid w:val="006E4D30"/>
    <w:rsid w:val="006E6CC8"/>
    <w:rsid w:val="006F027C"/>
    <w:rsid w:val="006F03DE"/>
    <w:rsid w:val="006F196D"/>
    <w:rsid w:val="006F1E98"/>
    <w:rsid w:val="006F2300"/>
    <w:rsid w:val="006F2678"/>
    <w:rsid w:val="006F2695"/>
    <w:rsid w:val="006F2AAE"/>
    <w:rsid w:val="006F2FF5"/>
    <w:rsid w:val="006F48BE"/>
    <w:rsid w:val="006F4B47"/>
    <w:rsid w:val="006F62D2"/>
    <w:rsid w:val="006F6B5B"/>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4E78"/>
    <w:rsid w:val="00715E9F"/>
    <w:rsid w:val="00715FEF"/>
    <w:rsid w:val="007161CC"/>
    <w:rsid w:val="00716536"/>
    <w:rsid w:val="00716DD3"/>
    <w:rsid w:val="007179F7"/>
    <w:rsid w:val="00720A77"/>
    <w:rsid w:val="00720DB6"/>
    <w:rsid w:val="00720FDB"/>
    <w:rsid w:val="0072179C"/>
    <w:rsid w:val="00721C35"/>
    <w:rsid w:val="00721F34"/>
    <w:rsid w:val="00723217"/>
    <w:rsid w:val="00723639"/>
    <w:rsid w:val="00723CBA"/>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7AC"/>
    <w:rsid w:val="00785DF0"/>
    <w:rsid w:val="0079011C"/>
    <w:rsid w:val="007907C2"/>
    <w:rsid w:val="007912F9"/>
    <w:rsid w:val="00791A1D"/>
    <w:rsid w:val="00791CE3"/>
    <w:rsid w:val="00792165"/>
    <w:rsid w:val="00792F66"/>
    <w:rsid w:val="00792FC5"/>
    <w:rsid w:val="00795AC4"/>
    <w:rsid w:val="00796D2F"/>
    <w:rsid w:val="007A0B16"/>
    <w:rsid w:val="007A0EF6"/>
    <w:rsid w:val="007A1A88"/>
    <w:rsid w:val="007A1E57"/>
    <w:rsid w:val="007A3489"/>
    <w:rsid w:val="007A3F88"/>
    <w:rsid w:val="007A5211"/>
    <w:rsid w:val="007A56F5"/>
    <w:rsid w:val="007A5FE3"/>
    <w:rsid w:val="007A6188"/>
    <w:rsid w:val="007A74BA"/>
    <w:rsid w:val="007B0169"/>
    <w:rsid w:val="007B0ABC"/>
    <w:rsid w:val="007B1B50"/>
    <w:rsid w:val="007B2100"/>
    <w:rsid w:val="007B23E2"/>
    <w:rsid w:val="007B386A"/>
    <w:rsid w:val="007B39BE"/>
    <w:rsid w:val="007B5026"/>
    <w:rsid w:val="007B5D9F"/>
    <w:rsid w:val="007B605F"/>
    <w:rsid w:val="007B6B10"/>
    <w:rsid w:val="007B6FCF"/>
    <w:rsid w:val="007C052A"/>
    <w:rsid w:val="007C0B22"/>
    <w:rsid w:val="007C0EF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1ED4"/>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857"/>
    <w:rsid w:val="007F2559"/>
    <w:rsid w:val="007F2774"/>
    <w:rsid w:val="007F2A60"/>
    <w:rsid w:val="007F32C6"/>
    <w:rsid w:val="007F5A2D"/>
    <w:rsid w:val="007F7AAD"/>
    <w:rsid w:val="007F7AE6"/>
    <w:rsid w:val="0080082C"/>
    <w:rsid w:val="0080109A"/>
    <w:rsid w:val="00801107"/>
    <w:rsid w:val="008023D3"/>
    <w:rsid w:val="00802812"/>
    <w:rsid w:val="0080320A"/>
    <w:rsid w:val="00803597"/>
    <w:rsid w:val="00804D26"/>
    <w:rsid w:val="00804D43"/>
    <w:rsid w:val="00805649"/>
    <w:rsid w:val="00805AEC"/>
    <w:rsid w:val="00806BAD"/>
    <w:rsid w:val="008078E6"/>
    <w:rsid w:val="00810EC4"/>
    <w:rsid w:val="00812B98"/>
    <w:rsid w:val="00814B48"/>
    <w:rsid w:val="008151A2"/>
    <w:rsid w:val="008152BD"/>
    <w:rsid w:val="00815671"/>
    <w:rsid w:val="008157E8"/>
    <w:rsid w:val="0081713B"/>
    <w:rsid w:val="0081721A"/>
    <w:rsid w:val="008209B1"/>
    <w:rsid w:val="00822573"/>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100"/>
    <w:rsid w:val="0083775C"/>
    <w:rsid w:val="0083797B"/>
    <w:rsid w:val="00837FB0"/>
    <w:rsid w:val="008404F5"/>
    <w:rsid w:val="00841F46"/>
    <w:rsid w:val="00841FD4"/>
    <w:rsid w:val="008433AB"/>
    <w:rsid w:val="00843682"/>
    <w:rsid w:val="00843945"/>
    <w:rsid w:val="00843B1C"/>
    <w:rsid w:val="00843DB0"/>
    <w:rsid w:val="008454F8"/>
    <w:rsid w:val="00845645"/>
    <w:rsid w:val="0084665B"/>
    <w:rsid w:val="00850213"/>
    <w:rsid w:val="00850E53"/>
    <w:rsid w:val="008516A3"/>
    <w:rsid w:val="0085273D"/>
    <w:rsid w:val="00852ADB"/>
    <w:rsid w:val="00853108"/>
    <w:rsid w:val="00853C97"/>
    <w:rsid w:val="008541FA"/>
    <w:rsid w:val="00855039"/>
    <w:rsid w:val="0085530D"/>
    <w:rsid w:val="008553DF"/>
    <w:rsid w:val="008560A6"/>
    <w:rsid w:val="00856119"/>
    <w:rsid w:val="00856578"/>
    <w:rsid w:val="00857E6D"/>
    <w:rsid w:val="00860C12"/>
    <w:rsid w:val="008619D6"/>
    <w:rsid w:val="00861EC1"/>
    <w:rsid w:val="00862443"/>
    <w:rsid w:val="0086262D"/>
    <w:rsid w:val="00862943"/>
    <w:rsid w:val="00862CB1"/>
    <w:rsid w:val="0086488A"/>
    <w:rsid w:val="00865511"/>
    <w:rsid w:val="00865EE3"/>
    <w:rsid w:val="008660B4"/>
    <w:rsid w:val="008679BE"/>
    <w:rsid w:val="0087006E"/>
    <w:rsid w:val="00871606"/>
    <w:rsid w:val="00871D02"/>
    <w:rsid w:val="00871E09"/>
    <w:rsid w:val="0087200E"/>
    <w:rsid w:val="00873375"/>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8D3"/>
    <w:rsid w:val="00885E3A"/>
    <w:rsid w:val="00886EFF"/>
    <w:rsid w:val="0088723A"/>
    <w:rsid w:val="008877B5"/>
    <w:rsid w:val="00887E42"/>
    <w:rsid w:val="00890720"/>
    <w:rsid w:val="00890ECC"/>
    <w:rsid w:val="0089215D"/>
    <w:rsid w:val="0089271A"/>
    <w:rsid w:val="0089271D"/>
    <w:rsid w:val="008937EA"/>
    <w:rsid w:val="00894F87"/>
    <w:rsid w:val="00896B2C"/>
    <w:rsid w:val="008979F2"/>
    <w:rsid w:val="008A01FF"/>
    <w:rsid w:val="008A19C8"/>
    <w:rsid w:val="008A2793"/>
    <w:rsid w:val="008A2ECF"/>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305A"/>
    <w:rsid w:val="008D3DD3"/>
    <w:rsid w:val="008D414D"/>
    <w:rsid w:val="008D43BE"/>
    <w:rsid w:val="008D5F0E"/>
    <w:rsid w:val="008D63A8"/>
    <w:rsid w:val="008D656C"/>
    <w:rsid w:val="008D66AE"/>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230"/>
    <w:rsid w:val="00904A03"/>
    <w:rsid w:val="0090521D"/>
    <w:rsid w:val="00905E61"/>
    <w:rsid w:val="0090644B"/>
    <w:rsid w:val="00906CD4"/>
    <w:rsid w:val="00906F45"/>
    <w:rsid w:val="00906FCF"/>
    <w:rsid w:val="00907F5A"/>
    <w:rsid w:val="009106DD"/>
    <w:rsid w:val="00911524"/>
    <w:rsid w:val="00911C32"/>
    <w:rsid w:val="00911F22"/>
    <w:rsid w:val="009120B0"/>
    <w:rsid w:val="009127C3"/>
    <w:rsid w:val="009127F4"/>
    <w:rsid w:val="0091415E"/>
    <w:rsid w:val="0091485A"/>
    <w:rsid w:val="00916C13"/>
    <w:rsid w:val="009172A5"/>
    <w:rsid w:val="009208E6"/>
    <w:rsid w:val="0092174F"/>
    <w:rsid w:val="00921940"/>
    <w:rsid w:val="00921D00"/>
    <w:rsid w:val="00922C81"/>
    <w:rsid w:val="00923FE8"/>
    <w:rsid w:val="00925B09"/>
    <w:rsid w:val="009264DA"/>
    <w:rsid w:val="00927AC6"/>
    <w:rsid w:val="00927DC7"/>
    <w:rsid w:val="009316B7"/>
    <w:rsid w:val="00932C73"/>
    <w:rsid w:val="00933057"/>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47F4D"/>
    <w:rsid w:val="0095149E"/>
    <w:rsid w:val="00952A0B"/>
    <w:rsid w:val="00952B99"/>
    <w:rsid w:val="009533DA"/>
    <w:rsid w:val="00953CD5"/>
    <w:rsid w:val="00954D53"/>
    <w:rsid w:val="00955BCA"/>
    <w:rsid w:val="0096054F"/>
    <w:rsid w:val="00960582"/>
    <w:rsid w:val="00960690"/>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510"/>
    <w:rsid w:val="009A395C"/>
    <w:rsid w:val="009A4174"/>
    <w:rsid w:val="009A4446"/>
    <w:rsid w:val="009A458F"/>
    <w:rsid w:val="009A4B68"/>
    <w:rsid w:val="009A4F07"/>
    <w:rsid w:val="009A4F79"/>
    <w:rsid w:val="009A6903"/>
    <w:rsid w:val="009A6C41"/>
    <w:rsid w:val="009A6F6F"/>
    <w:rsid w:val="009A7710"/>
    <w:rsid w:val="009A7EFA"/>
    <w:rsid w:val="009B0000"/>
    <w:rsid w:val="009B0069"/>
    <w:rsid w:val="009B0424"/>
    <w:rsid w:val="009B0936"/>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CBE"/>
    <w:rsid w:val="009D0E59"/>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179"/>
    <w:rsid w:val="00A73F07"/>
    <w:rsid w:val="00A74454"/>
    <w:rsid w:val="00A74EF2"/>
    <w:rsid w:val="00A7502C"/>
    <w:rsid w:val="00A761AF"/>
    <w:rsid w:val="00A767C3"/>
    <w:rsid w:val="00A80D00"/>
    <w:rsid w:val="00A812C2"/>
    <w:rsid w:val="00A81396"/>
    <w:rsid w:val="00A81CCD"/>
    <w:rsid w:val="00A81EFB"/>
    <w:rsid w:val="00A82C4D"/>
    <w:rsid w:val="00A8381B"/>
    <w:rsid w:val="00A8652F"/>
    <w:rsid w:val="00A86585"/>
    <w:rsid w:val="00A86C9D"/>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10D"/>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3D79"/>
    <w:rsid w:val="00AD4077"/>
    <w:rsid w:val="00AD41FE"/>
    <w:rsid w:val="00AD639E"/>
    <w:rsid w:val="00AD6423"/>
    <w:rsid w:val="00AD73C1"/>
    <w:rsid w:val="00AD7D8B"/>
    <w:rsid w:val="00AE0DB0"/>
    <w:rsid w:val="00AE3918"/>
    <w:rsid w:val="00AE500A"/>
    <w:rsid w:val="00AE542A"/>
    <w:rsid w:val="00AE693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59D3"/>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D44"/>
    <w:rsid w:val="00B17ED7"/>
    <w:rsid w:val="00B17F01"/>
    <w:rsid w:val="00B20115"/>
    <w:rsid w:val="00B21C9F"/>
    <w:rsid w:val="00B2232E"/>
    <w:rsid w:val="00B229F7"/>
    <w:rsid w:val="00B22B9B"/>
    <w:rsid w:val="00B2342C"/>
    <w:rsid w:val="00B23705"/>
    <w:rsid w:val="00B23927"/>
    <w:rsid w:val="00B245FC"/>
    <w:rsid w:val="00B247DC"/>
    <w:rsid w:val="00B2494B"/>
    <w:rsid w:val="00B249BA"/>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66A"/>
    <w:rsid w:val="00B41925"/>
    <w:rsid w:val="00B420A4"/>
    <w:rsid w:val="00B426B8"/>
    <w:rsid w:val="00B42867"/>
    <w:rsid w:val="00B4352E"/>
    <w:rsid w:val="00B4355C"/>
    <w:rsid w:val="00B4374D"/>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6D4"/>
    <w:rsid w:val="00B70806"/>
    <w:rsid w:val="00B70BB3"/>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77FB8"/>
    <w:rsid w:val="00B8015D"/>
    <w:rsid w:val="00B801B0"/>
    <w:rsid w:val="00B806FC"/>
    <w:rsid w:val="00B8116F"/>
    <w:rsid w:val="00B81A17"/>
    <w:rsid w:val="00B81B47"/>
    <w:rsid w:val="00B81F12"/>
    <w:rsid w:val="00B82510"/>
    <w:rsid w:val="00B82872"/>
    <w:rsid w:val="00B828C7"/>
    <w:rsid w:val="00B84A75"/>
    <w:rsid w:val="00B85541"/>
    <w:rsid w:val="00B86591"/>
    <w:rsid w:val="00B8699F"/>
    <w:rsid w:val="00B86A9A"/>
    <w:rsid w:val="00B87F78"/>
    <w:rsid w:val="00B902FA"/>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0FED"/>
    <w:rsid w:val="00BB1CF4"/>
    <w:rsid w:val="00BB24DE"/>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4F38"/>
    <w:rsid w:val="00BE5218"/>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5D4B"/>
    <w:rsid w:val="00C06D5E"/>
    <w:rsid w:val="00C07112"/>
    <w:rsid w:val="00C07551"/>
    <w:rsid w:val="00C10C7E"/>
    <w:rsid w:val="00C11CA9"/>
    <w:rsid w:val="00C1219E"/>
    <w:rsid w:val="00C131EA"/>
    <w:rsid w:val="00C13B08"/>
    <w:rsid w:val="00C13BA0"/>
    <w:rsid w:val="00C148E8"/>
    <w:rsid w:val="00C15436"/>
    <w:rsid w:val="00C16024"/>
    <w:rsid w:val="00C16887"/>
    <w:rsid w:val="00C169F1"/>
    <w:rsid w:val="00C1790F"/>
    <w:rsid w:val="00C21D61"/>
    <w:rsid w:val="00C21EA4"/>
    <w:rsid w:val="00C2221F"/>
    <w:rsid w:val="00C22540"/>
    <w:rsid w:val="00C2255D"/>
    <w:rsid w:val="00C2269D"/>
    <w:rsid w:val="00C22799"/>
    <w:rsid w:val="00C23F1D"/>
    <w:rsid w:val="00C2400B"/>
    <w:rsid w:val="00C241BC"/>
    <w:rsid w:val="00C24286"/>
    <w:rsid w:val="00C24D72"/>
    <w:rsid w:val="00C254E1"/>
    <w:rsid w:val="00C26C1E"/>
    <w:rsid w:val="00C2767F"/>
    <w:rsid w:val="00C30EA5"/>
    <w:rsid w:val="00C31303"/>
    <w:rsid w:val="00C3188F"/>
    <w:rsid w:val="00C31EC0"/>
    <w:rsid w:val="00C32014"/>
    <w:rsid w:val="00C32114"/>
    <w:rsid w:val="00C3237B"/>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2D1"/>
    <w:rsid w:val="00C60888"/>
    <w:rsid w:val="00C61F67"/>
    <w:rsid w:val="00C62D87"/>
    <w:rsid w:val="00C62E1A"/>
    <w:rsid w:val="00C63841"/>
    <w:rsid w:val="00C642DA"/>
    <w:rsid w:val="00C64EA8"/>
    <w:rsid w:val="00C65438"/>
    <w:rsid w:val="00C6572F"/>
    <w:rsid w:val="00C67D9A"/>
    <w:rsid w:val="00C67FA5"/>
    <w:rsid w:val="00C71311"/>
    <w:rsid w:val="00C72236"/>
    <w:rsid w:val="00C72BDD"/>
    <w:rsid w:val="00C7440A"/>
    <w:rsid w:val="00C7511C"/>
    <w:rsid w:val="00C75273"/>
    <w:rsid w:val="00C7586C"/>
    <w:rsid w:val="00C75FFE"/>
    <w:rsid w:val="00C7658D"/>
    <w:rsid w:val="00C768DE"/>
    <w:rsid w:val="00C76E0A"/>
    <w:rsid w:val="00C80D68"/>
    <w:rsid w:val="00C816D9"/>
    <w:rsid w:val="00C82746"/>
    <w:rsid w:val="00C82825"/>
    <w:rsid w:val="00C83E56"/>
    <w:rsid w:val="00C83EF0"/>
    <w:rsid w:val="00C847CF"/>
    <w:rsid w:val="00C847E1"/>
    <w:rsid w:val="00C8503D"/>
    <w:rsid w:val="00C85336"/>
    <w:rsid w:val="00C86A22"/>
    <w:rsid w:val="00C90749"/>
    <w:rsid w:val="00C908CF"/>
    <w:rsid w:val="00C9133C"/>
    <w:rsid w:val="00C91731"/>
    <w:rsid w:val="00C91785"/>
    <w:rsid w:val="00C92508"/>
    <w:rsid w:val="00C92C49"/>
    <w:rsid w:val="00C937D4"/>
    <w:rsid w:val="00C9394B"/>
    <w:rsid w:val="00C94C34"/>
    <w:rsid w:val="00C9521B"/>
    <w:rsid w:val="00C9536E"/>
    <w:rsid w:val="00C96A5B"/>
    <w:rsid w:val="00CA134D"/>
    <w:rsid w:val="00CA2AD1"/>
    <w:rsid w:val="00CA4B25"/>
    <w:rsid w:val="00CA539B"/>
    <w:rsid w:val="00CA59AA"/>
    <w:rsid w:val="00CA6B37"/>
    <w:rsid w:val="00CA76CB"/>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069"/>
    <w:rsid w:val="00CE43C9"/>
    <w:rsid w:val="00CE4B0A"/>
    <w:rsid w:val="00CE4D23"/>
    <w:rsid w:val="00CE5127"/>
    <w:rsid w:val="00CE5675"/>
    <w:rsid w:val="00CE6D8D"/>
    <w:rsid w:val="00CE7B76"/>
    <w:rsid w:val="00CF024F"/>
    <w:rsid w:val="00CF0335"/>
    <w:rsid w:val="00CF0E49"/>
    <w:rsid w:val="00CF1518"/>
    <w:rsid w:val="00CF2FD6"/>
    <w:rsid w:val="00CF35C2"/>
    <w:rsid w:val="00CF37AA"/>
    <w:rsid w:val="00CF3819"/>
    <w:rsid w:val="00CF5045"/>
    <w:rsid w:val="00CF5257"/>
    <w:rsid w:val="00CF5573"/>
    <w:rsid w:val="00CF760A"/>
    <w:rsid w:val="00CF7776"/>
    <w:rsid w:val="00D00609"/>
    <w:rsid w:val="00D0106A"/>
    <w:rsid w:val="00D01653"/>
    <w:rsid w:val="00D01EB0"/>
    <w:rsid w:val="00D02764"/>
    <w:rsid w:val="00D035C0"/>
    <w:rsid w:val="00D0364F"/>
    <w:rsid w:val="00D0434C"/>
    <w:rsid w:val="00D04823"/>
    <w:rsid w:val="00D0492A"/>
    <w:rsid w:val="00D05EC9"/>
    <w:rsid w:val="00D06901"/>
    <w:rsid w:val="00D10A7C"/>
    <w:rsid w:val="00D1126A"/>
    <w:rsid w:val="00D11B57"/>
    <w:rsid w:val="00D12418"/>
    <w:rsid w:val="00D136C2"/>
    <w:rsid w:val="00D15C46"/>
    <w:rsid w:val="00D16A8B"/>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4547"/>
    <w:rsid w:val="00D55177"/>
    <w:rsid w:val="00D55A51"/>
    <w:rsid w:val="00D57735"/>
    <w:rsid w:val="00D57744"/>
    <w:rsid w:val="00D601C0"/>
    <w:rsid w:val="00D60633"/>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4E43"/>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1520"/>
    <w:rsid w:val="00DA1790"/>
    <w:rsid w:val="00DA1A3E"/>
    <w:rsid w:val="00DA24EF"/>
    <w:rsid w:val="00DA2B07"/>
    <w:rsid w:val="00DA3470"/>
    <w:rsid w:val="00DA34F0"/>
    <w:rsid w:val="00DA3503"/>
    <w:rsid w:val="00DA57B9"/>
    <w:rsid w:val="00DA581E"/>
    <w:rsid w:val="00DA66E6"/>
    <w:rsid w:val="00DA7820"/>
    <w:rsid w:val="00DB01AD"/>
    <w:rsid w:val="00DB2D4A"/>
    <w:rsid w:val="00DB2E2C"/>
    <w:rsid w:val="00DB311C"/>
    <w:rsid w:val="00DB4641"/>
    <w:rsid w:val="00DB47B1"/>
    <w:rsid w:val="00DB6B87"/>
    <w:rsid w:val="00DC0BD0"/>
    <w:rsid w:val="00DC1E96"/>
    <w:rsid w:val="00DC1F87"/>
    <w:rsid w:val="00DC200B"/>
    <w:rsid w:val="00DC278D"/>
    <w:rsid w:val="00DC2DEC"/>
    <w:rsid w:val="00DC34AD"/>
    <w:rsid w:val="00DC3625"/>
    <w:rsid w:val="00DC38CB"/>
    <w:rsid w:val="00DC485E"/>
    <w:rsid w:val="00DC5180"/>
    <w:rsid w:val="00DC59A0"/>
    <w:rsid w:val="00DC5DB4"/>
    <w:rsid w:val="00DC602D"/>
    <w:rsid w:val="00DC66DD"/>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5DD2"/>
    <w:rsid w:val="00E063F4"/>
    <w:rsid w:val="00E06582"/>
    <w:rsid w:val="00E07459"/>
    <w:rsid w:val="00E07822"/>
    <w:rsid w:val="00E07880"/>
    <w:rsid w:val="00E07D82"/>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27CDE"/>
    <w:rsid w:val="00E30BA1"/>
    <w:rsid w:val="00E322F3"/>
    <w:rsid w:val="00E32CD3"/>
    <w:rsid w:val="00E33DAF"/>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509F8"/>
    <w:rsid w:val="00E510DE"/>
    <w:rsid w:val="00E51B78"/>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77683"/>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3A3A"/>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086"/>
    <w:rsid w:val="00ED01B0"/>
    <w:rsid w:val="00ED0548"/>
    <w:rsid w:val="00ED2217"/>
    <w:rsid w:val="00ED372C"/>
    <w:rsid w:val="00ED414A"/>
    <w:rsid w:val="00ED486A"/>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27F6"/>
    <w:rsid w:val="00EF3A3E"/>
    <w:rsid w:val="00EF4317"/>
    <w:rsid w:val="00EF4DBE"/>
    <w:rsid w:val="00EF5306"/>
    <w:rsid w:val="00EF5A27"/>
    <w:rsid w:val="00EF60CC"/>
    <w:rsid w:val="00EF7949"/>
    <w:rsid w:val="00F00686"/>
    <w:rsid w:val="00F012F0"/>
    <w:rsid w:val="00F01AF6"/>
    <w:rsid w:val="00F02435"/>
    <w:rsid w:val="00F03268"/>
    <w:rsid w:val="00F03576"/>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682A"/>
    <w:rsid w:val="00F171D2"/>
    <w:rsid w:val="00F20622"/>
    <w:rsid w:val="00F20F97"/>
    <w:rsid w:val="00F20FAF"/>
    <w:rsid w:val="00F211B3"/>
    <w:rsid w:val="00F217A5"/>
    <w:rsid w:val="00F222BF"/>
    <w:rsid w:val="00F23BEA"/>
    <w:rsid w:val="00F2692B"/>
    <w:rsid w:val="00F270AE"/>
    <w:rsid w:val="00F27EBF"/>
    <w:rsid w:val="00F32C48"/>
    <w:rsid w:val="00F3340D"/>
    <w:rsid w:val="00F33978"/>
    <w:rsid w:val="00F339A4"/>
    <w:rsid w:val="00F3452C"/>
    <w:rsid w:val="00F361D7"/>
    <w:rsid w:val="00F36DC9"/>
    <w:rsid w:val="00F37DF6"/>
    <w:rsid w:val="00F40241"/>
    <w:rsid w:val="00F4124C"/>
    <w:rsid w:val="00F412D9"/>
    <w:rsid w:val="00F4221A"/>
    <w:rsid w:val="00F42EC6"/>
    <w:rsid w:val="00F4332A"/>
    <w:rsid w:val="00F43420"/>
    <w:rsid w:val="00F44872"/>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3AB"/>
    <w:rsid w:val="00F725BE"/>
    <w:rsid w:val="00F72902"/>
    <w:rsid w:val="00F73DDB"/>
    <w:rsid w:val="00F73F0E"/>
    <w:rsid w:val="00F742E9"/>
    <w:rsid w:val="00F74388"/>
    <w:rsid w:val="00F75A0B"/>
    <w:rsid w:val="00F76FA0"/>
    <w:rsid w:val="00F8080A"/>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2AD5"/>
    <w:rsid w:val="00FC4544"/>
    <w:rsid w:val="00FC51FD"/>
    <w:rsid w:val="00FC5D45"/>
    <w:rsid w:val="00FC61A4"/>
    <w:rsid w:val="00FC72AF"/>
    <w:rsid w:val="00FC7B97"/>
    <w:rsid w:val="00FC7E80"/>
    <w:rsid w:val="00FD00B8"/>
    <w:rsid w:val="00FD024A"/>
    <w:rsid w:val="00FD1A17"/>
    <w:rsid w:val="00FD2B94"/>
    <w:rsid w:val="00FD6015"/>
    <w:rsid w:val="00FD7C6A"/>
    <w:rsid w:val="00FE023B"/>
    <w:rsid w:val="00FE1B18"/>
    <w:rsid w:val="00FE1D26"/>
    <w:rsid w:val="00FE2790"/>
    <w:rsid w:val="00FE2D98"/>
    <w:rsid w:val="00FE3315"/>
    <w:rsid w:val="00FE3E52"/>
    <w:rsid w:val="00FE4481"/>
    <w:rsid w:val="00FE567D"/>
    <w:rsid w:val="00FE5685"/>
    <w:rsid w:val="00FE57ED"/>
    <w:rsid w:val="00FE6119"/>
    <w:rsid w:val="00FE611B"/>
    <w:rsid w:val="00FE61C1"/>
    <w:rsid w:val="00FF06B9"/>
    <w:rsid w:val="00FF0D42"/>
    <w:rsid w:val="00FF1FE0"/>
    <w:rsid w:val="00FF4679"/>
    <w:rsid w:val="00FF598B"/>
    <w:rsid w:val="00FF64F7"/>
    <w:rsid w:val="00FF656A"/>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2</Pages>
  <Words>416</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Qualcomm-Sumant</cp:lastModifiedBy>
  <cp:revision>12</cp:revision>
  <dcterms:created xsi:type="dcterms:W3CDTF">2021-10-01T21:00:00Z</dcterms:created>
  <dcterms:modified xsi:type="dcterms:W3CDTF">2021-10-21T22:04:00Z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