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58B0881"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w:t>
      </w:r>
      <w:r w:rsidR="001A0460">
        <w:rPr>
          <w:b/>
          <w:noProof/>
          <w:sz w:val="24"/>
        </w:rPr>
        <w:t>1</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235081">
        <w:rPr>
          <w:b/>
          <w:noProof/>
          <w:sz w:val="24"/>
        </w:rPr>
        <w:t>7632</w:t>
      </w:r>
    </w:p>
    <w:p w14:paraId="5379D604" w14:textId="70A2C714"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A0460">
        <w:rPr>
          <w:rFonts w:ascii="Arial" w:hAnsi="Arial" w:cs="Arial"/>
          <w:b/>
          <w:sz w:val="24"/>
        </w:rPr>
        <w:t>November</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3D7DA03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47042">
        <w:rPr>
          <w:rFonts w:ascii="Arial" w:hAnsi="Arial" w:cs="Arial"/>
          <w:b/>
        </w:rPr>
        <w:t xml:space="preserve">On enabling </w:t>
      </w:r>
      <w:proofErr w:type="spellStart"/>
      <w:r w:rsidR="00C47042">
        <w:rPr>
          <w:rFonts w:ascii="Arial" w:hAnsi="Arial" w:cs="Arial"/>
          <w:b/>
        </w:rPr>
        <w:t>ULFPTx</w:t>
      </w:r>
      <w:proofErr w:type="spellEnd"/>
      <w:r w:rsidR="00C47042">
        <w:rPr>
          <w:rFonts w:ascii="Arial" w:hAnsi="Arial" w:cs="Arial"/>
          <w:b/>
        </w:rPr>
        <w:t xml:space="preserve"> UEs to employ transparent</w:t>
      </w:r>
      <w:r w:rsidR="00C564F1">
        <w:rPr>
          <w:rFonts w:ascii="Arial" w:hAnsi="Arial" w:cs="Arial"/>
          <w:b/>
        </w:rPr>
        <w:t xml:space="preserve"> </w:t>
      </w:r>
      <w:proofErr w:type="spellStart"/>
      <w:r w:rsidR="00C564F1">
        <w:rPr>
          <w:rFonts w:ascii="Arial" w:hAnsi="Arial" w:cs="Arial"/>
          <w:b/>
        </w:rPr>
        <w:t>TxD</w:t>
      </w:r>
      <w:proofErr w:type="spellEnd"/>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63412C4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3449B">
        <w:rPr>
          <w:rFonts w:ascii="Arial" w:hAnsi="Arial" w:cs="Arial"/>
          <w:b/>
        </w:rPr>
        <w:t>8.7.3.2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1D0671A7" w:rsidR="00DC5180" w:rsidRPr="006905B0" w:rsidRDefault="0010618D" w:rsidP="000F7ECB">
      <w:pPr>
        <w:spacing w:after="60"/>
        <w:ind w:left="1985" w:hanging="1985"/>
        <w:rPr>
          <w:rFonts w:ascii="Arial" w:hAnsi="Arial" w:cs="Arial"/>
          <w:b/>
          <w:bCs/>
        </w:rPr>
      </w:pPr>
      <w:r w:rsidRPr="005E4466">
        <w:rPr>
          <w:rFonts w:ascii="Arial" w:hAnsi="Arial" w:cs="Arial"/>
          <w:b/>
        </w:rPr>
        <w:t>Work Item:</w:t>
      </w:r>
      <w:r w:rsidRPr="005E4466">
        <w:rPr>
          <w:rFonts w:ascii="Arial" w:hAnsi="Arial" w:cs="Arial"/>
          <w:b/>
        </w:rPr>
        <w:tab/>
      </w:r>
      <w:r w:rsidR="006905B0" w:rsidRPr="006905B0">
        <w:rPr>
          <w:rFonts w:ascii="Arial" w:hAnsi="Arial" w:cs="Arial"/>
          <w:b/>
          <w:bCs/>
          <w:sz w:val="18"/>
          <w:szCs w:val="18"/>
          <w:lang w:eastAsia="ja-JP"/>
        </w:rPr>
        <w:t>NR_RF_TxD-Core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761717B3"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AF13CD">
        <w:rPr>
          <w:rFonts w:ascii="Arial" w:hAnsi="Arial" w:cs="Arial"/>
          <w:b/>
        </w:rPr>
        <w:t>Discussion</w:t>
      </w:r>
    </w:p>
    <w:p w14:paraId="5BDE04A3" w14:textId="77777777" w:rsidR="0045428D" w:rsidRDefault="000A567D" w:rsidP="002A1C01">
      <w:pPr>
        <w:pStyle w:val="Heading1"/>
      </w:pPr>
      <w:r>
        <w:t>1.</w:t>
      </w:r>
      <w:r>
        <w:tab/>
      </w:r>
      <w:r w:rsidR="002A1C01">
        <w:t>Introduction</w:t>
      </w:r>
    </w:p>
    <w:p w14:paraId="6F64D7D3" w14:textId="02634E47" w:rsidR="002B2323" w:rsidRPr="002E2724" w:rsidRDefault="001A0460" w:rsidP="002B2323">
      <w:pPr>
        <w:rPr>
          <w:rFonts w:ascii="Calibri" w:hAnsi="Calibri" w:cs="Calibri"/>
        </w:rPr>
      </w:pPr>
      <w:r>
        <w:rPr>
          <w:rFonts w:ascii="Calibri" w:hAnsi="Calibri" w:cs="Calibri"/>
        </w:rPr>
        <w:t xml:space="preserve">We previously showed [1] that </w:t>
      </w:r>
      <w:r w:rsidR="0003440E">
        <w:rPr>
          <w:rFonts w:ascii="Calibri" w:hAnsi="Calibri" w:cs="Calibri"/>
        </w:rPr>
        <w:t xml:space="preserve">some </w:t>
      </w:r>
      <w:r>
        <w:rPr>
          <w:rFonts w:ascii="Calibri" w:hAnsi="Calibri" w:cs="Calibri"/>
        </w:rPr>
        <w:t>U</w:t>
      </w:r>
      <w:r w:rsidR="00A5607E">
        <w:rPr>
          <w:rFonts w:ascii="Calibri" w:hAnsi="Calibri" w:cs="Calibri"/>
        </w:rPr>
        <w:t>E</w:t>
      </w:r>
      <w:r w:rsidR="0003440E">
        <w:rPr>
          <w:rFonts w:ascii="Calibri" w:hAnsi="Calibri" w:cs="Calibri"/>
        </w:rPr>
        <w:t xml:space="preserve"> variant</w:t>
      </w:r>
      <w:r w:rsidR="00A5607E">
        <w:rPr>
          <w:rFonts w:ascii="Calibri" w:hAnsi="Calibri" w:cs="Calibri"/>
        </w:rPr>
        <w:t xml:space="preserve">s </w:t>
      </w:r>
      <w:r w:rsidR="0003440E">
        <w:rPr>
          <w:rFonts w:ascii="Calibri" w:hAnsi="Calibri" w:cs="Calibri"/>
        </w:rPr>
        <w:t>w</w:t>
      </w:r>
      <w:r>
        <w:rPr>
          <w:rFonts w:ascii="Calibri" w:hAnsi="Calibri" w:cs="Calibri"/>
        </w:rPr>
        <w:t>ould</w:t>
      </w:r>
      <w:r w:rsidR="00A5607E">
        <w:rPr>
          <w:rFonts w:ascii="Calibri" w:hAnsi="Calibri" w:cs="Calibri"/>
        </w:rPr>
        <w:t xml:space="preserve"> </w:t>
      </w:r>
      <w:r w:rsidR="0003440E">
        <w:rPr>
          <w:rFonts w:ascii="Calibri" w:hAnsi="Calibri" w:cs="Calibri"/>
        </w:rPr>
        <w:t xml:space="preserve">need to simultaneously </w:t>
      </w:r>
      <w:r w:rsidR="00A5607E">
        <w:rPr>
          <w:rFonts w:ascii="Calibri" w:hAnsi="Calibri" w:cs="Calibri"/>
        </w:rPr>
        <w:t xml:space="preserve">support </w:t>
      </w:r>
      <w:proofErr w:type="spellStart"/>
      <w:r w:rsidR="00FE5685">
        <w:rPr>
          <w:rFonts w:ascii="Calibri" w:hAnsi="Calibri" w:cs="Calibri"/>
        </w:rPr>
        <w:t>U</w:t>
      </w:r>
      <w:r w:rsidR="00DD0D8C">
        <w:rPr>
          <w:rFonts w:ascii="Calibri" w:hAnsi="Calibri" w:cs="Calibri"/>
        </w:rPr>
        <w:t>LFPTx</w:t>
      </w:r>
      <w:proofErr w:type="spellEnd"/>
      <w:r w:rsidR="00FE5685">
        <w:rPr>
          <w:rFonts w:ascii="Calibri" w:hAnsi="Calibri" w:cs="Calibri"/>
        </w:rPr>
        <w:t xml:space="preserve"> </w:t>
      </w:r>
      <w:r>
        <w:rPr>
          <w:rFonts w:ascii="Calibri" w:hAnsi="Calibri" w:cs="Calibri"/>
        </w:rPr>
        <w:t>while also</w:t>
      </w:r>
      <w:r w:rsidR="00A5607E">
        <w:rPr>
          <w:rFonts w:ascii="Calibri" w:hAnsi="Calibri" w:cs="Calibri"/>
        </w:rPr>
        <w:t xml:space="preserve"> </w:t>
      </w:r>
      <w:r>
        <w:rPr>
          <w:rFonts w:ascii="Calibri" w:hAnsi="Calibri" w:cs="Calibri"/>
        </w:rPr>
        <w:t>relying on</w:t>
      </w:r>
      <w:r w:rsidR="00A5772F">
        <w:rPr>
          <w:rFonts w:ascii="Calibri" w:hAnsi="Calibri" w:cs="Calibri"/>
        </w:rPr>
        <w:t xml:space="preserve"> transparent Tx diversity (</w:t>
      </w:r>
      <w:r w:rsidR="00627AF4">
        <w:rPr>
          <w:rFonts w:ascii="Calibri" w:hAnsi="Calibri" w:cs="Calibri"/>
        </w:rPr>
        <w:t>‘</w:t>
      </w:r>
      <w:proofErr w:type="spellStart"/>
      <w:r w:rsidR="00A5772F">
        <w:rPr>
          <w:rFonts w:ascii="Calibri" w:hAnsi="Calibri" w:cs="Calibri"/>
        </w:rPr>
        <w:t>tTxD</w:t>
      </w:r>
      <w:proofErr w:type="spellEnd"/>
      <w:r w:rsidR="00627AF4">
        <w:rPr>
          <w:rFonts w:ascii="Calibri" w:hAnsi="Calibri" w:cs="Calibri"/>
        </w:rPr>
        <w:t>’</w:t>
      </w:r>
      <w:r w:rsidR="00C453D1">
        <w:rPr>
          <w:rFonts w:ascii="Calibri" w:hAnsi="Calibri" w:cs="Calibri"/>
        </w:rPr>
        <w:t>)</w:t>
      </w:r>
      <w:r w:rsidR="00942A7A">
        <w:rPr>
          <w:rFonts w:ascii="Calibri" w:hAnsi="Calibri" w:cs="Calibri"/>
        </w:rPr>
        <w:t>.</w:t>
      </w:r>
      <w:r w:rsidR="00A5607E">
        <w:rPr>
          <w:rFonts w:ascii="Calibri" w:hAnsi="Calibri" w:cs="Calibri"/>
        </w:rPr>
        <w:t xml:space="preserve"> </w:t>
      </w:r>
      <w:r>
        <w:rPr>
          <w:rFonts w:ascii="Calibri" w:hAnsi="Calibri" w:cs="Calibri"/>
        </w:rPr>
        <w:t xml:space="preserve">In this contribution we address </w:t>
      </w:r>
      <w:r w:rsidR="003D579B">
        <w:rPr>
          <w:rFonts w:ascii="Calibri" w:hAnsi="Calibri" w:cs="Calibri"/>
        </w:rPr>
        <w:t xml:space="preserve">the concern that a </w:t>
      </w:r>
      <w:r>
        <w:rPr>
          <w:rFonts w:ascii="Calibri" w:hAnsi="Calibri" w:cs="Calibri"/>
        </w:rPr>
        <w:t xml:space="preserve">UE that </w:t>
      </w:r>
      <w:r w:rsidR="005C0762">
        <w:rPr>
          <w:rFonts w:ascii="Calibri" w:hAnsi="Calibri" w:cs="Calibri"/>
        </w:rPr>
        <w:t>employs</w:t>
      </w:r>
      <w:r>
        <w:rPr>
          <w:rFonts w:ascii="Calibri" w:hAnsi="Calibri" w:cs="Calibri"/>
        </w:rPr>
        <w:t xml:space="preserve"> a full power PA </w:t>
      </w:r>
      <w:r w:rsidR="003D579B">
        <w:rPr>
          <w:rFonts w:ascii="Calibri" w:hAnsi="Calibri" w:cs="Calibri"/>
        </w:rPr>
        <w:t xml:space="preserve">will be allowed higher MPRs if </w:t>
      </w:r>
      <w:r w:rsidR="005C0762">
        <w:rPr>
          <w:rFonts w:ascii="Calibri" w:hAnsi="Calibri" w:cs="Calibri"/>
        </w:rPr>
        <w:t xml:space="preserve">it </w:t>
      </w:r>
      <w:r w:rsidR="003D579B">
        <w:rPr>
          <w:rFonts w:ascii="Calibri" w:hAnsi="Calibri" w:cs="Calibri"/>
        </w:rPr>
        <w:t xml:space="preserve">asserts </w:t>
      </w:r>
      <w:proofErr w:type="spellStart"/>
      <w:r w:rsidR="003D579B">
        <w:rPr>
          <w:rFonts w:ascii="Calibri" w:hAnsi="Calibri" w:cs="Calibri"/>
        </w:rPr>
        <w:t>tTxD</w:t>
      </w:r>
      <w:proofErr w:type="spellEnd"/>
      <w:r w:rsidR="003D579B">
        <w:rPr>
          <w:rFonts w:ascii="Calibri" w:hAnsi="Calibri" w:cs="Calibri"/>
        </w:rPr>
        <w:t>.</w:t>
      </w:r>
      <w:r w:rsidR="00CB2755">
        <w:rPr>
          <w:rFonts w:ascii="Calibri" w:hAnsi="Calibri" w:cs="Calibri"/>
        </w:rPr>
        <w:t xml:space="preserve"> </w:t>
      </w:r>
    </w:p>
    <w:p w14:paraId="0AB8A81A" w14:textId="5B797BAF" w:rsidR="004E0CD1" w:rsidRDefault="000A567D" w:rsidP="004E0CD1">
      <w:pPr>
        <w:pStyle w:val="Heading1"/>
      </w:pPr>
      <w:r>
        <w:t xml:space="preserve">2. </w:t>
      </w:r>
      <w:r>
        <w:tab/>
      </w:r>
      <w:r w:rsidR="002A1C01">
        <w:t>Discussion</w:t>
      </w:r>
    </w:p>
    <w:p w14:paraId="5E8ACF4D" w14:textId="6DBBD341" w:rsidR="001F4A5A" w:rsidRPr="001F4A5A" w:rsidRDefault="001F4A5A" w:rsidP="001F4A5A">
      <w:pPr>
        <w:pStyle w:val="Heading2"/>
      </w:pPr>
      <w:r>
        <w:t>2.1</w:t>
      </w:r>
      <w:r>
        <w:tab/>
        <w:t xml:space="preserve">Applicable MPR for </w:t>
      </w:r>
      <w:proofErr w:type="spellStart"/>
      <w:r>
        <w:t>tTxD</w:t>
      </w:r>
      <w:proofErr w:type="spellEnd"/>
      <w:r>
        <w:t xml:space="preserve"> and </w:t>
      </w:r>
      <w:proofErr w:type="spellStart"/>
      <w:r>
        <w:t>ULFPTx</w:t>
      </w:r>
      <w:proofErr w:type="spellEnd"/>
    </w:p>
    <w:p w14:paraId="57FAFFFA" w14:textId="2E82F790" w:rsidR="00AD21B2" w:rsidRDefault="001D25F6" w:rsidP="002E3654">
      <w:pPr>
        <w:rPr>
          <w:rFonts w:ascii="Calibri" w:hAnsi="Calibri" w:cs="Calibri"/>
        </w:rPr>
      </w:pPr>
      <w:r>
        <w:rPr>
          <w:rFonts w:ascii="Calibri" w:hAnsi="Calibri" w:cs="Calibri"/>
        </w:rPr>
        <w:t xml:space="preserve">The Rel-16 </w:t>
      </w:r>
      <w:proofErr w:type="spellStart"/>
      <w:r w:rsidR="003857DC">
        <w:rPr>
          <w:rFonts w:ascii="Calibri" w:hAnsi="Calibri" w:cs="Calibri"/>
        </w:rPr>
        <w:t>ULFPTx</w:t>
      </w:r>
      <w:proofErr w:type="spellEnd"/>
      <w:r w:rsidR="003857DC">
        <w:rPr>
          <w:rFonts w:ascii="Calibri" w:hAnsi="Calibri" w:cs="Calibri"/>
        </w:rPr>
        <w:t xml:space="preserve"> feature enabled UEs </w:t>
      </w:r>
      <w:r w:rsidR="009B37C7">
        <w:rPr>
          <w:rFonts w:ascii="Calibri" w:hAnsi="Calibri" w:cs="Calibri"/>
        </w:rPr>
        <w:t>with multiple topology options to meet their power class requirements</w:t>
      </w:r>
      <w:r w:rsidR="00BF5DFB">
        <w:rPr>
          <w:rFonts w:ascii="Calibri" w:hAnsi="Calibri" w:cs="Calibri"/>
        </w:rPr>
        <w:t>.</w:t>
      </w:r>
      <w:r w:rsidR="00853C97">
        <w:rPr>
          <w:rFonts w:ascii="Calibri" w:hAnsi="Calibri" w:cs="Calibri"/>
        </w:rPr>
        <w:t xml:space="preserve"> </w:t>
      </w:r>
      <w:r w:rsidR="00AD21B2">
        <w:rPr>
          <w:rFonts w:ascii="Calibri" w:hAnsi="Calibri" w:cs="Calibri"/>
        </w:rPr>
        <w:t xml:space="preserve">The modes of </w:t>
      </w:r>
      <w:proofErr w:type="spellStart"/>
      <w:r w:rsidR="00AD21B2">
        <w:rPr>
          <w:rFonts w:ascii="Calibri" w:hAnsi="Calibri" w:cs="Calibri"/>
        </w:rPr>
        <w:t>ULFPTx</w:t>
      </w:r>
      <w:proofErr w:type="spellEnd"/>
      <w:r w:rsidR="00AD21B2">
        <w:rPr>
          <w:rFonts w:ascii="Calibri" w:hAnsi="Calibri" w:cs="Calibri"/>
        </w:rPr>
        <w:t xml:space="preserve"> differ in what is conveyed to the network in terms of power capability of each SRS port. </w:t>
      </w:r>
      <w:r w:rsidR="0057648E">
        <w:rPr>
          <w:rFonts w:ascii="Calibri" w:hAnsi="Calibri" w:cs="Calibri"/>
        </w:rPr>
        <w:t xml:space="preserve">A brief description as it pertains to </w:t>
      </w:r>
      <w:proofErr w:type="spellStart"/>
      <w:r w:rsidR="0057648E">
        <w:rPr>
          <w:rFonts w:ascii="Calibri" w:hAnsi="Calibri" w:cs="Calibri"/>
        </w:rPr>
        <w:t>tTxD</w:t>
      </w:r>
      <w:proofErr w:type="spellEnd"/>
      <w:r w:rsidR="0057648E">
        <w:rPr>
          <w:rFonts w:ascii="Calibri" w:hAnsi="Calibri" w:cs="Calibri"/>
        </w:rPr>
        <w:t xml:space="preserve"> is below:</w:t>
      </w:r>
    </w:p>
    <w:p w14:paraId="1640C764" w14:textId="0D41367F" w:rsidR="00AD21B2" w:rsidRDefault="00634A2A" w:rsidP="002E3654">
      <w:pPr>
        <w:rPr>
          <w:rFonts w:ascii="Calibri" w:hAnsi="Calibri" w:cs="Calibri"/>
        </w:rPr>
      </w:pPr>
      <w:r>
        <w:rPr>
          <w:rFonts w:ascii="Calibri" w:hAnsi="Calibri" w:cs="Calibri"/>
        </w:rPr>
        <w:t>Per</w:t>
      </w:r>
      <w:r w:rsidR="00DB460E">
        <w:rPr>
          <w:rFonts w:ascii="Calibri" w:hAnsi="Calibri" w:cs="Calibri"/>
        </w:rPr>
        <w:t xml:space="preserve"> </w:t>
      </w:r>
      <w:r>
        <w:rPr>
          <w:rFonts w:ascii="Calibri" w:hAnsi="Calibri" w:cs="Calibri"/>
        </w:rPr>
        <w:t>the intent of Mode 1</w:t>
      </w:r>
      <w:r w:rsidR="00DB460E">
        <w:rPr>
          <w:rFonts w:ascii="Calibri" w:hAnsi="Calibri" w:cs="Calibri"/>
        </w:rPr>
        <w:t xml:space="preserve"> </w:t>
      </w:r>
      <w:proofErr w:type="spellStart"/>
      <w:r w:rsidR="00DB460E">
        <w:rPr>
          <w:rFonts w:ascii="Calibri" w:hAnsi="Calibri" w:cs="Calibri"/>
        </w:rPr>
        <w:t>ULFPTx</w:t>
      </w:r>
      <w:proofErr w:type="spellEnd"/>
      <w:r>
        <w:rPr>
          <w:rFonts w:ascii="Calibri" w:hAnsi="Calibri" w:cs="Calibri"/>
        </w:rPr>
        <w:t xml:space="preserve">, UEs are expected to meet their power class requirements with multiple </w:t>
      </w:r>
      <w:r w:rsidR="00AD21B2">
        <w:rPr>
          <w:rFonts w:ascii="Calibri" w:hAnsi="Calibri" w:cs="Calibri"/>
        </w:rPr>
        <w:t>port</w:t>
      </w:r>
      <w:r w:rsidR="00D27917">
        <w:rPr>
          <w:rFonts w:ascii="Calibri" w:hAnsi="Calibri" w:cs="Calibri"/>
        </w:rPr>
        <w:t>s</w:t>
      </w:r>
      <w:r>
        <w:rPr>
          <w:rFonts w:ascii="Calibri" w:hAnsi="Calibri" w:cs="Calibri"/>
        </w:rPr>
        <w:t xml:space="preserve">, </w:t>
      </w:r>
      <w:r w:rsidR="005C0762">
        <w:rPr>
          <w:rFonts w:ascii="Calibri" w:hAnsi="Calibri" w:cs="Calibri"/>
        </w:rPr>
        <w:t xml:space="preserve">but </w:t>
      </w:r>
      <w:r>
        <w:rPr>
          <w:rFonts w:ascii="Calibri" w:hAnsi="Calibri" w:cs="Calibri"/>
        </w:rPr>
        <w:t>no</w:t>
      </w:r>
      <w:r w:rsidR="005C0762">
        <w:rPr>
          <w:rFonts w:ascii="Calibri" w:hAnsi="Calibri" w:cs="Calibri"/>
        </w:rPr>
        <w:t xml:space="preserve"> o</w:t>
      </w:r>
      <w:r>
        <w:rPr>
          <w:rFonts w:ascii="Calibri" w:hAnsi="Calibri" w:cs="Calibri"/>
        </w:rPr>
        <w:t xml:space="preserve">ne </w:t>
      </w:r>
      <w:r w:rsidR="00AD21B2">
        <w:rPr>
          <w:rFonts w:ascii="Calibri" w:hAnsi="Calibri" w:cs="Calibri"/>
        </w:rPr>
        <w:t>port</w:t>
      </w:r>
      <w:r>
        <w:rPr>
          <w:rFonts w:ascii="Calibri" w:hAnsi="Calibri" w:cs="Calibri"/>
        </w:rPr>
        <w:t xml:space="preserve"> </w:t>
      </w:r>
      <w:r w:rsidR="00796485">
        <w:rPr>
          <w:rFonts w:ascii="Calibri" w:hAnsi="Calibri" w:cs="Calibri"/>
        </w:rPr>
        <w:t>is expected to</w:t>
      </w:r>
      <w:r>
        <w:rPr>
          <w:rFonts w:ascii="Calibri" w:hAnsi="Calibri" w:cs="Calibri"/>
        </w:rPr>
        <w:t xml:space="preserve"> meet the power class requirement on its own</w:t>
      </w:r>
      <w:r w:rsidR="005C0762">
        <w:rPr>
          <w:rFonts w:ascii="Calibri" w:hAnsi="Calibri" w:cs="Calibri"/>
        </w:rPr>
        <w:t>. These UEs have no ‘full power TPMIs’</w:t>
      </w:r>
      <w:r w:rsidR="00D27917">
        <w:rPr>
          <w:rFonts w:ascii="Calibri" w:hAnsi="Calibri" w:cs="Calibri"/>
        </w:rPr>
        <w:t xml:space="preserve">, so there is no case where rated power </w:t>
      </w:r>
      <w:r w:rsidR="00EF6105">
        <w:rPr>
          <w:rFonts w:ascii="Calibri" w:hAnsi="Calibri" w:cs="Calibri"/>
        </w:rPr>
        <w:t>can be expected</w:t>
      </w:r>
      <w:r w:rsidR="00D27917">
        <w:rPr>
          <w:rFonts w:ascii="Calibri" w:hAnsi="Calibri" w:cs="Calibri"/>
        </w:rPr>
        <w:t xml:space="preserve"> from a single connector. This type of UE</w:t>
      </w:r>
      <w:r w:rsidR="005C0762">
        <w:rPr>
          <w:rFonts w:ascii="Calibri" w:hAnsi="Calibri" w:cs="Calibri"/>
        </w:rPr>
        <w:t xml:space="preserve"> must therefore assert </w:t>
      </w:r>
      <w:proofErr w:type="spellStart"/>
      <w:r w:rsidR="005C0762">
        <w:rPr>
          <w:rFonts w:ascii="Calibri" w:hAnsi="Calibri" w:cs="Calibri"/>
        </w:rPr>
        <w:t>tTxD</w:t>
      </w:r>
      <w:proofErr w:type="spellEnd"/>
      <w:r w:rsidR="005C0762">
        <w:rPr>
          <w:rFonts w:ascii="Calibri" w:hAnsi="Calibri" w:cs="Calibri"/>
        </w:rPr>
        <w:t xml:space="preserve"> to convey that valid UL signal is available over multiple connectors. </w:t>
      </w:r>
    </w:p>
    <w:p w14:paraId="1965B7C4" w14:textId="665AD43C" w:rsidR="00AD21B2" w:rsidRDefault="00AD21B2" w:rsidP="002E3654">
      <w:pPr>
        <w:rPr>
          <w:rFonts w:ascii="Calibri" w:hAnsi="Calibri" w:cs="Calibri"/>
        </w:rPr>
      </w:pPr>
      <w:r>
        <w:rPr>
          <w:rFonts w:ascii="Calibri" w:hAnsi="Calibri" w:cs="Calibri"/>
        </w:rPr>
        <w:t xml:space="preserve">Similarly, Mode 2 </w:t>
      </w:r>
      <w:proofErr w:type="spellStart"/>
      <w:r>
        <w:rPr>
          <w:rFonts w:ascii="Calibri" w:hAnsi="Calibri" w:cs="Calibri"/>
        </w:rPr>
        <w:t>ULFPTx</w:t>
      </w:r>
      <w:proofErr w:type="spellEnd"/>
      <w:r>
        <w:rPr>
          <w:rFonts w:ascii="Calibri" w:hAnsi="Calibri" w:cs="Calibri"/>
        </w:rPr>
        <w:t xml:space="preserve"> allows construction of a virtual port by transparently using multiple PAs at the same time. These UEs too </w:t>
      </w:r>
      <w:r w:rsidR="00D27917">
        <w:rPr>
          <w:rFonts w:ascii="Calibri" w:hAnsi="Calibri" w:cs="Calibri"/>
        </w:rPr>
        <w:t>may have to</w:t>
      </w:r>
      <w:r>
        <w:rPr>
          <w:rFonts w:ascii="Calibri" w:hAnsi="Calibri" w:cs="Calibri"/>
        </w:rPr>
        <w:t xml:space="preserve"> assert </w:t>
      </w:r>
      <w:proofErr w:type="spellStart"/>
      <w:r>
        <w:rPr>
          <w:rFonts w:ascii="Calibri" w:hAnsi="Calibri" w:cs="Calibri"/>
        </w:rPr>
        <w:t>tTxD</w:t>
      </w:r>
      <w:proofErr w:type="spellEnd"/>
      <w:r>
        <w:rPr>
          <w:rFonts w:ascii="Calibri" w:hAnsi="Calibri" w:cs="Calibri"/>
        </w:rPr>
        <w:t xml:space="preserve"> to convey that valid UL signal is available over multiple connectors.</w:t>
      </w:r>
    </w:p>
    <w:p w14:paraId="171B821D" w14:textId="7ED19263" w:rsidR="006D0C65" w:rsidRDefault="00D27917" w:rsidP="006D0C65">
      <w:pPr>
        <w:rPr>
          <w:rFonts w:ascii="Calibri" w:hAnsi="Calibri" w:cs="Calibri"/>
        </w:rPr>
      </w:pPr>
      <w:r>
        <w:rPr>
          <w:rFonts w:ascii="Calibri" w:hAnsi="Calibri" w:cs="Calibri"/>
        </w:rPr>
        <w:t xml:space="preserve">A noteworthy detail is </w:t>
      </w:r>
      <w:r w:rsidR="0057648E">
        <w:rPr>
          <w:rFonts w:ascii="Calibri" w:hAnsi="Calibri" w:cs="Calibri"/>
        </w:rPr>
        <w:t xml:space="preserve">RAN1 design </w:t>
      </w:r>
      <w:r>
        <w:rPr>
          <w:rFonts w:ascii="Calibri" w:hAnsi="Calibri" w:cs="Calibri"/>
        </w:rPr>
        <w:t xml:space="preserve">only defines a ‘port’ (PUSCH or SRS in this case), it </w:t>
      </w:r>
      <w:r w:rsidR="0057648E">
        <w:rPr>
          <w:rFonts w:ascii="Calibri" w:hAnsi="Calibri" w:cs="Calibri"/>
        </w:rPr>
        <w:t>is mute on the mapping between ports and PAs</w:t>
      </w:r>
      <w:r w:rsidR="009E322F">
        <w:rPr>
          <w:rFonts w:ascii="Calibri" w:hAnsi="Calibri" w:cs="Calibri"/>
        </w:rPr>
        <w:t xml:space="preserve"> or </w:t>
      </w:r>
      <w:r w:rsidR="005E0115">
        <w:rPr>
          <w:rFonts w:ascii="Calibri" w:hAnsi="Calibri" w:cs="Calibri"/>
        </w:rPr>
        <w:t>equivalently</w:t>
      </w:r>
      <w:r w:rsidR="0051534D">
        <w:rPr>
          <w:rFonts w:ascii="Calibri" w:hAnsi="Calibri" w:cs="Calibri"/>
        </w:rPr>
        <w:t xml:space="preserve">, </w:t>
      </w:r>
      <w:r w:rsidR="009E322F">
        <w:rPr>
          <w:rFonts w:ascii="Calibri" w:hAnsi="Calibri" w:cs="Calibri"/>
        </w:rPr>
        <w:t>antenna connectors</w:t>
      </w:r>
      <w:r w:rsidR="0057648E">
        <w:rPr>
          <w:rFonts w:ascii="Calibri" w:hAnsi="Calibri" w:cs="Calibri"/>
        </w:rPr>
        <w:t xml:space="preserve">. </w:t>
      </w:r>
      <w:r>
        <w:rPr>
          <w:rFonts w:ascii="Calibri" w:hAnsi="Calibri" w:cs="Calibri"/>
        </w:rPr>
        <w:t>So</w:t>
      </w:r>
      <w:r w:rsidR="009E322F">
        <w:rPr>
          <w:rFonts w:ascii="Calibri" w:hAnsi="Calibri" w:cs="Calibri"/>
        </w:rPr>
        <w:t>,</w:t>
      </w:r>
      <w:r>
        <w:rPr>
          <w:rFonts w:ascii="Calibri" w:hAnsi="Calibri" w:cs="Calibri"/>
        </w:rPr>
        <w:t xml:space="preserve"> </w:t>
      </w:r>
      <w:bookmarkStart w:id="2" w:name="_Hlk85029377"/>
      <w:r>
        <w:rPr>
          <w:rFonts w:ascii="Calibri" w:hAnsi="Calibri" w:cs="Calibri"/>
        </w:rPr>
        <w:t xml:space="preserve">even in the case of UEs that declare full power TPMIs, </w:t>
      </w:r>
      <w:r w:rsidR="0057648E">
        <w:rPr>
          <w:rFonts w:ascii="Calibri" w:hAnsi="Calibri" w:cs="Calibri"/>
        </w:rPr>
        <w:t xml:space="preserve">the network </w:t>
      </w:r>
      <w:r w:rsidR="006D0C65">
        <w:rPr>
          <w:rFonts w:ascii="Calibri" w:hAnsi="Calibri" w:cs="Calibri"/>
        </w:rPr>
        <w:t xml:space="preserve">cannot presume existence of a full-power PA if the UE asserts </w:t>
      </w:r>
      <w:r>
        <w:rPr>
          <w:rFonts w:ascii="Calibri" w:hAnsi="Calibri" w:cs="Calibri"/>
        </w:rPr>
        <w:t xml:space="preserve">the </w:t>
      </w:r>
      <w:proofErr w:type="spellStart"/>
      <w:r>
        <w:rPr>
          <w:rFonts w:ascii="Calibri" w:hAnsi="Calibri" w:cs="Calibri"/>
        </w:rPr>
        <w:t>tTxD</w:t>
      </w:r>
      <w:proofErr w:type="spellEnd"/>
      <w:r>
        <w:rPr>
          <w:rFonts w:ascii="Calibri" w:hAnsi="Calibri" w:cs="Calibri"/>
        </w:rPr>
        <w:t xml:space="preserve"> flag</w:t>
      </w:r>
      <w:bookmarkEnd w:id="2"/>
      <w:r w:rsidR="006D0C65">
        <w:rPr>
          <w:rFonts w:ascii="Calibri" w:hAnsi="Calibri" w:cs="Calibri"/>
        </w:rPr>
        <w:t>.</w:t>
      </w:r>
      <w:r w:rsidR="006D0C65" w:rsidRPr="006D0C65">
        <w:rPr>
          <w:rFonts w:ascii="Calibri" w:hAnsi="Calibri" w:cs="Calibri"/>
        </w:rPr>
        <w:t xml:space="preserve"> </w:t>
      </w:r>
    </w:p>
    <w:p w14:paraId="5AC47842" w14:textId="1EEA2A40" w:rsidR="006D0C65" w:rsidRPr="0057648E" w:rsidRDefault="006D0C65" w:rsidP="006D0C65">
      <w:pPr>
        <w:rPr>
          <w:rFonts w:ascii="Calibri" w:hAnsi="Calibri" w:cs="Calibri"/>
          <w:b/>
          <w:bCs/>
        </w:rPr>
      </w:pPr>
      <w:r w:rsidRPr="0057648E">
        <w:rPr>
          <w:rFonts w:ascii="Calibri" w:hAnsi="Calibri" w:cs="Calibri"/>
          <w:b/>
          <w:bCs/>
        </w:rPr>
        <w:t xml:space="preserve">Observation 1: </w:t>
      </w:r>
      <w:r>
        <w:rPr>
          <w:rFonts w:ascii="Calibri" w:hAnsi="Calibri" w:cs="Calibri"/>
          <w:b/>
          <w:bCs/>
        </w:rPr>
        <w:t>I</w:t>
      </w:r>
      <w:r w:rsidRPr="006D0C65">
        <w:rPr>
          <w:rFonts w:ascii="Calibri" w:hAnsi="Calibri" w:cs="Calibri"/>
          <w:b/>
          <w:bCs/>
        </w:rPr>
        <w:t xml:space="preserve">n the case of </w:t>
      </w:r>
      <w:r>
        <w:rPr>
          <w:rFonts w:ascii="Calibri" w:hAnsi="Calibri" w:cs="Calibri"/>
          <w:b/>
          <w:bCs/>
        </w:rPr>
        <w:t xml:space="preserve">a </w:t>
      </w:r>
      <w:r w:rsidRPr="006D0C65">
        <w:rPr>
          <w:rFonts w:ascii="Calibri" w:hAnsi="Calibri" w:cs="Calibri"/>
          <w:b/>
          <w:bCs/>
        </w:rPr>
        <w:t>UE that declare</w:t>
      </w:r>
      <w:r>
        <w:rPr>
          <w:rFonts w:ascii="Calibri" w:hAnsi="Calibri" w:cs="Calibri"/>
          <w:b/>
          <w:bCs/>
        </w:rPr>
        <w:t xml:space="preserve">s a </w:t>
      </w:r>
      <w:r w:rsidRPr="006D0C65">
        <w:rPr>
          <w:rFonts w:ascii="Calibri" w:hAnsi="Calibri" w:cs="Calibri"/>
          <w:b/>
          <w:bCs/>
        </w:rPr>
        <w:t xml:space="preserve">full power TPMI, the network cannot presume existence of a full-power PA if the UE </w:t>
      </w:r>
      <w:r>
        <w:rPr>
          <w:rFonts w:ascii="Calibri" w:hAnsi="Calibri" w:cs="Calibri"/>
          <w:b/>
          <w:bCs/>
        </w:rPr>
        <w:t xml:space="preserve">also </w:t>
      </w:r>
      <w:r w:rsidRPr="006D0C65">
        <w:rPr>
          <w:rFonts w:ascii="Calibri" w:hAnsi="Calibri" w:cs="Calibri"/>
          <w:b/>
          <w:bCs/>
        </w:rPr>
        <w:t xml:space="preserve">asserts the </w:t>
      </w:r>
      <w:proofErr w:type="spellStart"/>
      <w:r w:rsidRPr="006D0C65">
        <w:rPr>
          <w:rFonts w:ascii="Calibri" w:hAnsi="Calibri" w:cs="Calibri"/>
          <w:b/>
          <w:bCs/>
        </w:rPr>
        <w:t>tTxD</w:t>
      </w:r>
      <w:proofErr w:type="spellEnd"/>
      <w:r w:rsidRPr="006D0C65">
        <w:rPr>
          <w:rFonts w:ascii="Calibri" w:hAnsi="Calibri" w:cs="Calibri"/>
          <w:b/>
          <w:bCs/>
        </w:rPr>
        <w:t xml:space="preserve"> flag</w:t>
      </w:r>
      <w:r>
        <w:rPr>
          <w:rFonts w:ascii="Calibri" w:hAnsi="Calibri" w:cs="Calibri"/>
          <w:b/>
          <w:bCs/>
        </w:rPr>
        <w:t>.</w:t>
      </w:r>
    </w:p>
    <w:p w14:paraId="07E8BA54" w14:textId="0110DC3A" w:rsidR="006D0C65" w:rsidRDefault="006D0C65" w:rsidP="006D0C65">
      <w:pPr>
        <w:rPr>
          <w:rFonts w:ascii="Calibri" w:hAnsi="Calibri" w:cs="Calibri"/>
        </w:rPr>
      </w:pPr>
      <w:r>
        <w:rPr>
          <w:rFonts w:ascii="Calibri" w:hAnsi="Calibri" w:cs="Calibri"/>
        </w:rPr>
        <w:t>Now, the MPR set for this configuration (</w:t>
      </w:r>
      <w:proofErr w:type="spellStart"/>
      <w:r>
        <w:rPr>
          <w:rFonts w:ascii="Calibri" w:hAnsi="Calibri" w:cs="Calibri"/>
        </w:rPr>
        <w:t>tTXD</w:t>
      </w:r>
      <w:proofErr w:type="spellEnd"/>
      <w:r>
        <w:rPr>
          <w:rFonts w:ascii="Calibri" w:hAnsi="Calibri" w:cs="Calibri"/>
        </w:rPr>
        <w:t xml:space="preserve"> asserted) allows more output power back off compared to a single Tx implementation and has been established in 6.2G.2. There was concern</w:t>
      </w:r>
      <w:r w:rsidR="003636F7">
        <w:rPr>
          <w:rFonts w:ascii="Calibri" w:hAnsi="Calibri" w:cs="Calibri"/>
        </w:rPr>
        <w:t xml:space="preserve"> </w:t>
      </w:r>
      <w:r w:rsidR="0023253D">
        <w:rPr>
          <w:rFonts w:ascii="Calibri" w:hAnsi="Calibri" w:cs="Calibri"/>
        </w:rPr>
        <w:t xml:space="preserve">in online discussion as well as in </w:t>
      </w:r>
      <w:r w:rsidR="003636F7">
        <w:rPr>
          <w:rFonts w:ascii="Calibri" w:hAnsi="Calibri" w:cs="Calibri"/>
        </w:rPr>
        <w:t>[2]</w:t>
      </w:r>
      <w:r>
        <w:rPr>
          <w:rFonts w:ascii="Calibri" w:hAnsi="Calibri" w:cs="Calibri"/>
        </w:rPr>
        <w:t xml:space="preserve"> that a UE could avail of these relaxed MPRs simply by asserting </w:t>
      </w:r>
      <w:proofErr w:type="spellStart"/>
      <w:r>
        <w:rPr>
          <w:rFonts w:ascii="Calibri" w:hAnsi="Calibri" w:cs="Calibri"/>
        </w:rPr>
        <w:t>tTxD</w:t>
      </w:r>
      <w:proofErr w:type="spellEnd"/>
      <w:r>
        <w:rPr>
          <w:rFonts w:ascii="Calibri" w:hAnsi="Calibri" w:cs="Calibri"/>
        </w:rPr>
        <w:t xml:space="preserve">, even if it possessed a full power PA. </w:t>
      </w:r>
    </w:p>
    <w:p w14:paraId="1500C5E5" w14:textId="2D7C0BE6" w:rsidR="006D0C65" w:rsidRPr="0057648E" w:rsidRDefault="006D0C65" w:rsidP="006D0C65">
      <w:pPr>
        <w:rPr>
          <w:rFonts w:ascii="Calibri" w:hAnsi="Calibri" w:cs="Calibri"/>
          <w:b/>
          <w:bCs/>
        </w:rPr>
      </w:pPr>
      <w:r w:rsidRPr="0057648E">
        <w:rPr>
          <w:rFonts w:ascii="Calibri" w:hAnsi="Calibri" w:cs="Calibri"/>
          <w:b/>
          <w:bCs/>
        </w:rPr>
        <w:t xml:space="preserve">Observation </w:t>
      </w:r>
      <w:r>
        <w:rPr>
          <w:rFonts w:ascii="Calibri" w:hAnsi="Calibri" w:cs="Calibri"/>
          <w:b/>
          <w:bCs/>
        </w:rPr>
        <w:t>2</w:t>
      </w:r>
      <w:r w:rsidRPr="0057648E">
        <w:rPr>
          <w:rFonts w:ascii="Calibri" w:hAnsi="Calibri" w:cs="Calibri"/>
          <w:b/>
          <w:bCs/>
        </w:rPr>
        <w:t xml:space="preserve">: A PC2 UE can avail of relaxed MPRs in 6.2G.2 V17.3 simply by asserting </w:t>
      </w:r>
      <w:proofErr w:type="spellStart"/>
      <w:r w:rsidRPr="0057648E">
        <w:rPr>
          <w:rFonts w:ascii="Calibri" w:hAnsi="Calibri" w:cs="Calibri"/>
          <w:b/>
          <w:bCs/>
        </w:rPr>
        <w:t>tTxD</w:t>
      </w:r>
      <w:proofErr w:type="spellEnd"/>
      <w:r w:rsidRPr="0057648E">
        <w:rPr>
          <w:rFonts w:ascii="Calibri" w:hAnsi="Calibri" w:cs="Calibri"/>
          <w:b/>
          <w:bCs/>
        </w:rPr>
        <w:t>, even if it possesses a full power PA.</w:t>
      </w:r>
    </w:p>
    <w:p w14:paraId="1B57E8CC" w14:textId="2704E280" w:rsidR="003636F7" w:rsidRDefault="003636F7" w:rsidP="006D0C65">
      <w:pPr>
        <w:rPr>
          <w:rFonts w:ascii="Calibri" w:hAnsi="Calibri" w:cs="Calibri"/>
        </w:rPr>
      </w:pPr>
      <w:r>
        <w:rPr>
          <w:rFonts w:ascii="Calibri" w:hAnsi="Calibri" w:cs="Calibri"/>
        </w:rPr>
        <w:t>We previously</w:t>
      </w:r>
      <w:r w:rsidR="00C11CD8">
        <w:rPr>
          <w:rFonts w:ascii="Calibri" w:hAnsi="Calibri" w:cs="Calibri"/>
        </w:rPr>
        <w:t xml:space="preserve"> showed</w:t>
      </w:r>
      <w:r>
        <w:rPr>
          <w:rFonts w:ascii="Calibri" w:hAnsi="Calibri" w:cs="Calibri"/>
        </w:rPr>
        <w:t xml:space="preserve"> [1]</w:t>
      </w:r>
      <w:r w:rsidR="00C11CD8">
        <w:rPr>
          <w:rFonts w:ascii="Calibri" w:hAnsi="Calibri" w:cs="Calibri"/>
        </w:rPr>
        <w:t xml:space="preserve"> a diversity scheme that could be employed by a 23+26 PC2 UE where each chain would be operating in a backed-off condition even at 26 dBm UL power, either with single or 2 port operation. This is </w:t>
      </w:r>
      <w:r>
        <w:rPr>
          <w:rFonts w:ascii="Calibri" w:hAnsi="Calibri" w:cs="Calibri"/>
        </w:rPr>
        <w:t xml:space="preserve">an </w:t>
      </w:r>
      <w:r w:rsidR="00C11CD8">
        <w:rPr>
          <w:rFonts w:ascii="Calibri" w:hAnsi="Calibri" w:cs="Calibri"/>
        </w:rPr>
        <w:t xml:space="preserve">example of a UE that needs to assert the </w:t>
      </w:r>
      <w:proofErr w:type="spellStart"/>
      <w:r w:rsidR="00C11CD8">
        <w:rPr>
          <w:rFonts w:ascii="Calibri" w:hAnsi="Calibri" w:cs="Calibri"/>
        </w:rPr>
        <w:t>tTxD</w:t>
      </w:r>
      <w:proofErr w:type="spellEnd"/>
      <w:r w:rsidR="00C11CD8">
        <w:rPr>
          <w:rFonts w:ascii="Calibri" w:hAnsi="Calibri" w:cs="Calibri"/>
        </w:rPr>
        <w:t xml:space="preserve"> flag, and at the same time can easily comply with single Tx </w:t>
      </w:r>
      <w:r>
        <w:rPr>
          <w:rFonts w:ascii="Calibri" w:hAnsi="Calibri" w:cs="Calibri"/>
        </w:rPr>
        <w:t>MPRs in 6.2.2, rather than those in 6.2G.2, because of the backed-off operating point.</w:t>
      </w:r>
    </w:p>
    <w:p w14:paraId="4769B68D" w14:textId="0F2DE794" w:rsidR="003636F7" w:rsidRPr="003636F7" w:rsidRDefault="003636F7" w:rsidP="006D0C65">
      <w:pPr>
        <w:rPr>
          <w:rFonts w:ascii="Calibri" w:hAnsi="Calibri" w:cs="Calibri"/>
          <w:b/>
          <w:bCs/>
        </w:rPr>
      </w:pPr>
      <w:r w:rsidRPr="003636F7">
        <w:rPr>
          <w:rFonts w:ascii="Calibri" w:hAnsi="Calibri" w:cs="Calibri"/>
          <w:b/>
          <w:bCs/>
        </w:rPr>
        <w:lastRenderedPageBreak/>
        <w:t xml:space="preserve">Observation 3: A PC2 UE may need to assert </w:t>
      </w:r>
      <w:proofErr w:type="spellStart"/>
      <w:r w:rsidRPr="003636F7">
        <w:rPr>
          <w:rFonts w:ascii="Calibri" w:hAnsi="Calibri" w:cs="Calibri"/>
          <w:b/>
          <w:bCs/>
        </w:rPr>
        <w:t>tTxD</w:t>
      </w:r>
      <w:proofErr w:type="spellEnd"/>
      <w:r w:rsidRPr="003636F7">
        <w:rPr>
          <w:rFonts w:ascii="Calibri" w:hAnsi="Calibri" w:cs="Calibri"/>
          <w:b/>
          <w:bCs/>
        </w:rPr>
        <w:t xml:space="preserve"> while at the same time being compliant with single Tx MPRs rather than the relaxed MPRs in 6.2G.2.  </w:t>
      </w:r>
    </w:p>
    <w:p w14:paraId="64229114" w14:textId="6FBBD220" w:rsidR="006D0C65" w:rsidRPr="006D0C65" w:rsidRDefault="00172EB5" w:rsidP="006D0C65">
      <w:pPr>
        <w:rPr>
          <w:rFonts w:ascii="Calibri" w:hAnsi="Calibri" w:cs="Calibri"/>
        </w:rPr>
      </w:pPr>
      <w:r>
        <w:rPr>
          <w:rFonts w:ascii="Calibri" w:hAnsi="Calibri" w:cs="Calibri"/>
        </w:rPr>
        <w:t>Since it is not feasible to pre</w:t>
      </w:r>
      <w:r w:rsidR="00E32AB8">
        <w:rPr>
          <w:rFonts w:ascii="Calibri" w:hAnsi="Calibri" w:cs="Calibri"/>
        </w:rPr>
        <w:t>vent a PC2</w:t>
      </w:r>
      <w:r w:rsidR="00F4421E">
        <w:rPr>
          <w:rFonts w:ascii="Calibri" w:hAnsi="Calibri" w:cs="Calibri"/>
        </w:rPr>
        <w:t xml:space="preserve"> </w:t>
      </w:r>
      <w:r w:rsidR="00693F66">
        <w:rPr>
          <w:rFonts w:ascii="Calibri" w:hAnsi="Calibri" w:cs="Calibri"/>
        </w:rPr>
        <w:t>UE</w:t>
      </w:r>
      <w:r>
        <w:rPr>
          <w:rFonts w:ascii="Calibri" w:hAnsi="Calibri" w:cs="Calibri"/>
        </w:rPr>
        <w:t xml:space="preserve"> that</w:t>
      </w:r>
      <w:r w:rsidR="00693F66">
        <w:rPr>
          <w:rFonts w:ascii="Calibri" w:hAnsi="Calibri" w:cs="Calibri"/>
        </w:rPr>
        <w:t xml:space="preserve"> </w:t>
      </w:r>
      <w:r w:rsidR="00180A92">
        <w:rPr>
          <w:rFonts w:ascii="Calibri" w:hAnsi="Calibri" w:cs="Calibri"/>
        </w:rPr>
        <w:t>assert</w:t>
      </w:r>
      <w:r w:rsidR="007832A2">
        <w:rPr>
          <w:rFonts w:ascii="Calibri" w:hAnsi="Calibri" w:cs="Calibri"/>
        </w:rPr>
        <w:t>s</w:t>
      </w:r>
      <w:r w:rsidR="00180A92">
        <w:rPr>
          <w:rFonts w:ascii="Calibri" w:hAnsi="Calibri" w:cs="Calibri"/>
        </w:rPr>
        <w:t xml:space="preserve"> </w:t>
      </w:r>
      <w:proofErr w:type="spellStart"/>
      <w:r w:rsidR="00180A92">
        <w:rPr>
          <w:rFonts w:ascii="Calibri" w:hAnsi="Calibri" w:cs="Calibri"/>
        </w:rPr>
        <w:t>tTxD</w:t>
      </w:r>
      <w:proofErr w:type="spellEnd"/>
      <w:r w:rsidR="00180A92">
        <w:rPr>
          <w:rFonts w:ascii="Calibri" w:hAnsi="Calibri" w:cs="Calibri"/>
        </w:rPr>
        <w:t xml:space="preserve"> </w:t>
      </w:r>
      <w:r w:rsidR="00E32AB8">
        <w:rPr>
          <w:rFonts w:ascii="Calibri" w:hAnsi="Calibri" w:cs="Calibri"/>
        </w:rPr>
        <w:t xml:space="preserve">from </w:t>
      </w:r>
      <w:r w:rsidR="008B7966">
        <w:rPr>
          <w:rFonts w:ascii="Calibri" w:hAnsi="Calibri" w:cs="Calibri"/>
        </w:rPr>
        <w:t>being</w:t>
      </w:r>
      <w:r w:rsidR="00404655">
        <w:rPr>
          <w:rFonts w:ascii="Calibri" w:hAnsi="Calibri" w:cs="Calibri"/>
        </w:rPr>
        <w:t xml:space="preserve"> allowed </w:t>
      </w:r>
      <w:r w:rsidR="008B7966">
        <w:rPr>
          <w:rFonts w:ascii="Calibri" w:hAnsi="Calibri" w:cs="Calibri"/>
        </w:rPr>
        <w:t>higher MPRs</w:t>
      </w:r>
      <w:r w:rsidR="00423350">
        <w:rPr>
          <w:rFonts w:ascii="Calibri" w:hAnsi="Calibri" w:cs="Calibri"/>
        </w:rPr>
        <w:t xml:space="preserve"> (despite having a full power PA)</w:t>
      </w:r>
      <w:r w:rsidR="00E32AB8">
        <w:rPr>
          <w:rFonts w:ascii="Calibri" w:hAnsi="Calibri" w:cs="Calibri"/>
        </w:rPr>
        <w:t xml:space="preserve">, </w:t>
      </w:r>
      <w:r w:rsidR="00AD1267">
        <w:rPr>
          <w:rFonts w:ascii="Calibri" w:hAnsi="Calibri" w:cs="Calibri"/>
        </w:rPr>
        <w:t xml:space="preserve">an alternative way to </w:t>
      </w:r>
      <w:r w:rsidR="00614AB0">
        <w:rPr>
          <w:rFonts w:ascii="Calibri" w:hAnsi="Calibri" w:cs="Calibri"/>
        </w:rPr>
        <w:t>allow</w:t>
      </w:r>
      <w:r w:rsidR="00843564">
        <w:rPr>
          <w:rFonts w:ascii="Calibri" w:hAnsi="Calibri" w:cs="Calibri"/>
        </w:rPr>
        <w:t xml:space="preserve"> </w:t>
      </w:r>
      <w:r w:rsidR="005F73ED">
        <w:rPr>
          <w:rFonts w:ascii="Calibri" w:hAnsi="Calibri" w:cs="Calibri"/>
        </w:rPr>
        <w:t>a</w:t>
      </w:r>
      <w:r w:rsidR="00843564">
        <w:rPr>
          <w:rFonts w:ascii="Calibri" w:hAnsi="Calibri" w:cs="Calibri"/>
        </w:rPr>
        <w:t xml:space="preserve"> UE to declare compliance with single Tx MPRs</w:t>
      </w:r>
      <w:r w:rsidR="00080706">
        <w:rPr>
          <w:rFonts w:ascii="Calibri" w:hAnsi="Calibri" w:cs="Calibri"/>
        </w:rPr>
        <w:t xml:space="preserve"> as an enhanced capability</w:t>
      </w:r>
      <w:r w:rsidR="00843564" w:rsidRPr="006D0C65">
        <w:rPr>
          <w:rFonts w:ascii="Calibri" w:hAnsi="Calibri" w:cs="Calibri"/>
        </w:rPr>
        <w:t>.</w:t>
      </w:r>
      <w:r w:rsidR="00843564">
        <w:rPr>
          <w:rFonts w:ascii="Calibri" w:hAnsi="Calibri" w:cs="Calibri"/>
        </w:rPr>
        <w:t xml:space="preserve"> This </w:t>
      </w:r>
      <w:r w:rsidR="00811226">
        <w:rPr>
          <w:rFonts w:ascii="Calibri" w:hAnsi="Calibri" w:cs="Calibri"/>
        </w:rPr>
        <w:t xml:space="preserve">declaration </w:t>
      </w:r>
      <w:r w:rsidR="00843564">
        <w:rPr>
          <w:rFonts w:ascii="Calibri" w:hAnsi="Calibri" w:cs="Calibri"/>
        </w:rPr>
        <w:t xml:space="preserve">can be achieved by </w:t>
      </w:r>
      <w:r w:rsidR="00C11CD8">
        <w:rPr>
          <w:rFonts w:ascii="Calibri" w:hAnsi="Calibri" w:cs="Calibri"/>
        </w:rPr>
        <w:t>extend</w:t>
      </w:r>
      <w:r w:rsidR="003636F7">
        <w:rPr>
          <w:rFonts w:ascii="Calibri" w:hAnsi="Calibri" w:cs="Calibri"/>
        </w:rPr>
        <w:t>ing</w:t>
      </w:r>
      <w:r w:rsidR="00C11CD8">
        <w:rPr>
          <w:rFonts w:ascii="Calibri" w:hAnsi="Calibri" w:cs="Calibri"/>
        </w:rPr>
        <w:t xml:space="preserve"> the </w:t>
      </w:r>
      <w:proofErr w:type="spellStart"/>
      <w:r w:rsidR="00C11CD8">
        <w:rPr>
          <w:rFonts w:ascii="Calibri" w:hAnsi="Calibri" w:cs="Calibri"/>
        </w:rPr>
        <w:t>tTxD</w:t>
      </w:r>
      <w:proofErr w:type="spellEnd"/>
      <w:r w:rsidR="00C11CD8">
        <w:rPr>
          <w:rFonts w:ascii="Calibri" w:hAnsi="Calibri" w:cs="Calibri"/>
        </w:rPr>
        <w:t xml:space="preserve"> capability </w:t>
      </w:r>
      <w:r w:rsidR="00843564">
        <w:rPr>
          <w:rFonts w:ascii="Calibri" w:hAnsi="Calibri" w:cs="Calibri"/>
        </w:rPr>
        <w:t>[2]</w:t>
      </w:r>
      <w:r w:rsidR="006D0C65" w:rsidRPr="006D0C65">
        <w:rPr>
          <w:rFonts w:ascii="Calibri" w:hAnsi="Calibri" w:cs="Calibri"/>
        </w:rPr>
        <w:t xml:space="preserve"> </w:t>
      </w:r>
      <w:r w:rsidR="00843564">
        <w:rPr>
          <w:rFonts w:ascii="Calibri" w:hAnsi="Calibri" w:cs="Calibri"/>
        </w:rPr>
        <w:t xml:space="preserve">to include </w:t>
      </w:r>
      <w:r w:rsidR="00811226">
        <w:rPr>
          <w:rFonts w:ascii="Calibri" w:hAnsi="Calibri" w:cs="Calibri"/>
        </w:rPr>
        <w:t>the new variant.</w:t>
      </w:r>
      <w:r w:rsidR="006D0C65" w:rsidRPr="006D0C65">
        <w:rPr>
          <w:rFonts w:ascii="Calibri" w:hAnsi="Calibri" w:cs="Calibri"/>
        </w:rPr>
        <w:t xml:space="preserve"> </w:t>
      </w:r>
    </w:p>
    <w:p w14:paraId="259BE493" w14:textId="60B4EE00" w:rsidR="00B529E9" w:rsidRDefault="006D0C65" w:rsidP="006D0C65">
      <w:pPr>
        <w:rPr>
          <w:rFonts w:ascii="Calibri" w:hAnsi="Calibri" w:cs="Calibri"/>
          <w:b/>
          <w:bCs/>
        </w:rPr>
      </w:pPr>
      <w:r w:rsidRPr="001F4A5A">
        <w:rPr>
          <w:rFonts w:ascii="Calibri" w:hAnsi="Calibri" w:cs="Calibri"/>
          <w:b/>
          <w:bCs/>
        </w:rPr>
        <w:t>Proposal</w:t>
      </w:r>
      <w:r w:rsidR="001F4A5A">
        <w:rPr>
          <w:rFonts w:ascii="Calibri" w:hAnsi="Calibri" w:cs="Calibri"/>
          <w:b/>
          <w:bCs/>
        </w:rPr>
        <w:t xml:space="preserve"> 1</w:t>
      </w:r>
      <w:r w:rsidRPr="001F4A5A">
        <w:rPr>
          <w:rFonts w:ascii="Calibri" w:hAnsi="Calibri" w:cs="Calibri"/>
          <w:b/>
          <w:bCs/>
        </w:rPr>
        <w:t xml:space="preserve">: </w:t>
      </w:r>
      <w:r w:rsidR="001F4A5A" w:rsidRPr="001F4A5A">
        <w:rPr>
          <w:rFonts w:ascii="Calibri" w:hAnsi="Calibri" w:cs="Calibri"/>
          <w:b/>
          <w:bCs/>
        </w:rPr>
        <w:t xml:space="preserve">The </w:t>
      </w:r>
      <w:proofErr w:type="spellStart"/>
      <w:r w:rsidR="001F4A5A" w:rsidRPr="001F4A5A">
        <w:rPr>
          <w:rFonts w:ascii="Calibri" w:hAnsi="Calibri" w:cs="Calibri"/>
          <w:b/>
          <w:bCs/>
        </w:rPr>
        <w:t>tTxD</w:t>
      </w:r>
      <w:proofErr w:type="spellEnd"/>
      <w:r w:rsidR="001F4A5A" w:rsidRPr="001F4A5A">
        <w:rPr>
          <w:rFonts w:ascii="Calibri" w:hAnsi="Calibri" w:cs="Calibri"/>
          <w:b/>
          <w:bCs/>
        </w:rPr>
        <w:t xml:space="preserve"> </w:t>
      </w:r>
      <w:r w:rsidR="001F4A5A">
        <w:rPr>
          <w:rFonts w:ascii="Calibri" w:hAnsi="Calibri" w:cs="Calibri"/>
          <w:b/>
          <w:bCs/>
        </w:rPr>
        <w:t>c</w:t>
      </w:r>
      <w:r w:rsidRPr="001F4A5A">
        <w:rPr>
          <w:rFonts w:ascii="Calibri" w:hAnsi="Calibri" w:cs="Calibri"/>
          <w:b/>
          <w:bCs/>
        </w:rPr>
        <w:t xml:space="preserve">apability </w:t>
      </w:r>
      <w:r w:rsidR="003636F7" w:rsidRPr="001F4A5A">
        <w:rPr>
          <w:rFonts w:ascii="Calibri" w:hAnsi="Calibri" w:cs="Calibri"/>
          <w:b/>
          <w:bCs/>
        </w:rPr>
        <w:t xml:space="preserve">shall </w:t>
      </w:r>
      <w:r w:rsidR="001F4A5A" w:rsidRPr="001F4A5A">
        <w:rPr>
          <w:rFonts w:ascii="Calibri" w:hAnsi="Calibri" w:cs="Calibri"/>
          <w:b/>
          <w:bCs/>
        </w:rPr>
        <w:t xml:space="preserve">be extended to </w:t>
      </w:r>
      <w:r w:rsidR="003636F7" w:rsidRPr="001F4A5A">
        <w:rPr>
          <w:rFonts w:ascii="Calibri" w:hAnsi="Calibri" w:cs="Calibri"/>
          <w:b/>
          <w:bCs/>
        </w:rPr>
        <w:t>include</w:t>
      </w:r>
      <w:r w:rsidRPr="001F4A5A">
        <w:rPr>
          <w:rFonts w:ascii="Calibri" w:hAnsi="Calibri" w:cs="Calibri"/>
          <w:b/>
          <w:bCs/>
        </w:rPr>
        <w:t xml:space="preserve"> a third type </w:t>
      </w:r>
      <w:r w:rsidR="003636F7" w:rsidRPr="001F4A5A">
        <w:rPr>
          <w:rFonts w:ascii="Calibri" w:hAnsi="Calibri" w:cs="Calibri"/>
          <w:b/>
          <w:bCs/>
        </w:rPr>
        <w:t>of</w:t>
      </w:r>
      <w:r w:rsidRPr="001F4A5A">
        <w:rPr>
          <w:rFonts w:ascii="Calibri" w:hAnsi="Calibri" w:cs="Calibri"/>
          <w:b/>
          <w:bCs/>
        </w:rPr>
        <w:t xml:space="preserve"> UE</w:t>
      </w:r>
      <w:r w:rsidR="001F4A5A">
        <w:rPr>
          <w:rFonts w:ascii="Calibri" w:hAnsi="Calibri" w:cs="Calibri"/>
          <w:b/>
          <w:bCs/>
        </w:rPr>
        <w:t xml:space="preserve"> (‘</w:t>
      </w:r>
      <w:proofErr w:type="spellStart"/>
      <w:r w:rsidR="001F4A5A">
        <w:rPr>
          <w:rFonts w:ascii="Calibri" w:hAnsi="Calibri" w:cs="Calibri"/>
          <w:b/>
          <w:bCs/>
        </w:rPr>
        <w:t>TxD_singleTxMPR</w:t>
      </w:r>
      <w:proofErr w:type="spellEnd"/>
      <w:r w:rsidR="001F4A5A">
        <w:rPr>
          <w:rFonts w:ascii="Calibri" w:hAnsi="Calibri" w:cs="Calibri"/>
          <w:b/>
          <w:bCs/>
        </w:rPr>
        <w:t>’)</w:t>
      </w:r>
      <w:r w:rsidRPr="001F4A5A">
        <w:rPr>
          <w:rFonts w:ascii="Calibri" w:hAnsi="Calibri" w:cs="Calibri"/>
          <w:b/>
          <w:bCs/>
        </w:rPr>
        <w:t xml:space="preserve"> that implements </w:t>
      </w:r>
      <w:r w:rsidR="001F4A5A" w:rsidRPr="001F4A5A">
        <w:rPr>
          <w:rFonts w:ascii="Calibri" w:hAnsi="Calibri" w:cs="Calibri"/>
          <w:b/>
          <w:bCs/>
        </w:rPr>
        <w:t>T</w:t>
      </w:r>
      <w:r w:rsidRPr="001F4A5A">
        <w:rPr>
          <w:rFonts w:ascii="Calibri" w:hAnsi="Calibri" w:cs="Calibri"/>
          <w:b/>
          <w:bCs/>
        </w:rPr>
        <w:t xml:space="preserve">x diversity but </w:t>
      </w:r>
      <w:r w:rsidR="003636F7" w:rsidRPr="001F4A5A">
        <w:rPr>
          <w:rFonts w:ascii="Calibri" w:hAnsi="Calibri" w:cs="Calibri"/>
          <w:b/>
          <w:bCs/>
        </w:rPr>
        <w:t>complies with single Tx PC2 MPR of 6.2.2 of TS38.101-2</w:t>
      </w:r>
      <w:r w:rsidRPr="001F4A5A">
        <w:rPr>
          <w:rFonts w:ascii="Calibri" w:hAnsi="Calibri" w:cs="Calibri"/>
          <w:b/>
          <w:bCs/>
        </w:rPr>
        <w:t xml:space="preserve">. </w:t>
      </w:r>
    </w:p>
    <w:p w14:paraId="181B6F9D" w14:textId="69C27AA3" w:rsidR="00F20F67" w:rsidRPr="00F20F67" w:rsidRDefault="00F20F67" w:rsidP="006D0C65">
      <w:pPr>
        <w:rPr>
          <w:rFonts w:ascii="Calibri" w:hAnsi="Calibri" w:cs="Calibri"/>
        </w:rPr>
      </w:pPr>
      <w:r>
        <w:rPr>
          <w:rFonts w:ascii="Calibri" w:hAnsi="Calibri" w:cs="Calibri"/>
        </w:rPr>
        <w:t>As pointed out in [2], there may be additional</w:t>
      </w:r>
      <w:r w:rsidRPr="00F20F67">
        <w:rPr>
          <w:rFonts w:ascii="Calibri" w:hAnsi="Calibri" w:cs="Calibri"/>
        </w:rPr>
        <w:t xml:space="preserve"> benefit</w:t>
      </w:r>
      <w:r>
        <w:rPr>
          <w:rFonts w:ascii="Calibri" w:hAnsi="Calibri" w:cs="Calibri"/>
        </w:rPr>
        <w:t>s</w:t>
      </w:r>
      <w:r w:rsidRPr="00F20F67">
        <w:rPr>
          <w:rFonts w:ascii="Calibri" w:hAnsi="Calibri" w:cs="Calibri"/>
        </w:rPr>
        <w:t xml:space="preserve"> </w:t>
      </w:r>
      <w:r>
        <w:rPr>
          <w:rFonts w:ascii="Calibri" w:hAnsi="Calibri" w:cs="Calibri"/>
        </w:rPr>
        <w:t>to the</w:t>
      </w:r>
      <w:r w:rsidRPr="00F20F67">
        <w:rPr>
          <w:rFonts w:ascii="Calibri" w:hAnsi="Calibri" w:cs="Calibri"/>
        </w:rPr>
        <w:t xml:space="preserve"> network </w:t>
      </w:r>
      <w:r>
        <w:rPr>
          <w:rFonts w:ascii="Calibri" w:hAnsi="Calibri" w:cs="Calibri"/>
        </w:rPr>
        <w:t>by sharing knowledge</w:t>
      </w:r>
      <w:r w:rsidRPr="00F20F67">
        <w:rPr>
          <w:rFonts w:ascii="Calibri" w:hAnsi="Calibri" w:cs="Calibri"/>
        </w:rPr>
        <w:t xml:space="preserve"> </w:t>
      </w:r>
      <w:r>
        <w:rPr>
          <w:rFonts w:ascii="Calibri" w:hAnsi="Calibri" w:cs="Calibri"/>
        </w:rPr>
        <w:t>of the UE’s implementation.</w:t>
      </w:r>
    </w:p>
    <w:p w14:paraId="650F7A8A" w14:textId="19CD5E34" w:rsidR="001F4A5A" w:rsidRPr="00FC1B4B" w:rsidRDefault="001F4A5A" w:rsidP="001F4A5A">
      <w:pPr>
        <w:pStyle w:val="Heading2"/>
        <w:ind w:left="0" w:firstLine="0"/>
        <w:rPr>
          <w:rFonts w:asciiTheme="minorHAnsi" w:hAnsiTheme="minorHAnsi" w:cstheme="minorHAnsi"/>
        </w:rPr>
      </w:pPr>
      <w:r>
        <w:rPr>
          <w:rFonts w:asciiTheme="minorHAnsi" w:hAnsiTheme="minorHAnsi" w:cstheme="minorHAnsi"/>
        </w:rPr>
        <w:t>2.2</w:t>
      </w:r>
      <w:r>
        <w:rPr>
          <w:rFonts w:asciiTheme="minorHAnsi" w:hAnsiTheme="minorHAnsi" w:cstheme="minorHAnsi"/>
        </w:rPr>
        <w:tab/>
        <w:t>Proposed redirection clause</w:t>
      </w:r>
    </w:p>
    <w:p w14:paraId="1DDCE54A" w14:textId="24BBFC49" w:rsidR="001F4A5A" w:rsidRDefault="001F4A5A" w:rsidP="001F4A5A">
      <w:pPr>
        <w:rPr>
          <w:rFonts w:ascii="Calibri" w:hAnsi="Calibri" w:cs="Calibri"/>
        </w:rPr>
      </w:pPr>
      <w:r>
        <w:rPr>
          <w:rFonts w:ascii="Calibri" w:hAnsi="Calibri" w:cs="Calibri"/>
        </w:rPr>
        <w:t xml:space="preserve">It is understood the RAN4 need to include a redirection clause so UEs that use multiple antenna connectors while transmitting on one port are subject to the correct requirement set. Here is an example of how the existing </w:t>
      </w:r>
      <w:proofErr w:type="gramStart"/>
      <w:r>
        <w:rPr>
          <w:rFonts w:ascii="Calibri" w:hAnsi="Calibri" w:cs="Calibri"/>
        </w:rPr>
        <w:t>6.xD</w:t>
      </w:r>
      <w:proofErr w:type="gramEnd"/>
      <w:r>
        <w:rPr>
          <w:rFonts w:ascii="Calibri" w:hAnsi="Calibri" w:cs="Calibri"/>
        </w:rPr>
        <w:t xml:space="preserve"> can be modified to achieve this redirection (v16.8 excerpt included as cut and paste for reference):</w:t>
      </w:r>
    </w:p>
    <w:p w14:paraId="3E55039A" w14:textId="28526C42" w:rsidR="001F4A5A" w:rsidRDefault="001F4A5A" w:rsidP="001F4A5A">
      <w:pPr>
        <w:rPr>
          <w:rFonts w:ascii="Calibri" w:hAnsi="Calibri" w:cs="Calibri"/>
        </w:rPr>
      </w:pPr>
      <w:r w:rsidRPr="00A215D9">
        <w:rPr>
          <w:noProof/>
        </w:rPr>
        <w:drawing>
          <wp:inline distT="0" distB="0" distL="0" distR="0" wp14:anchorId="5B367D7E" wp14:editId="5479370B">
            <wp:extent cx="5286375" cy="414919"/>
            <wp:effectExtent l="152400" t="152400" r="352425" b="3663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79837" cy="422255"/>
                    </a:xfrm>
                    <a:prstGeom prst="rect">
                      <a:avLst/>
                    </a:prstGeom>
                    <a:ln>
                      <a:noFill/>
                    </a:ln>
                    <a:effectLst>
                      <a:outerShdw blurRad="292100" dist="139700" dir="2700000" algn="tl" rotWithShape="0">
                        <a:srgbClr val="333333">
                          <a:alpha val="65000"/>
                        </a:srgbClr>
                      </a:outerShdw>
                    </a:effectLst>
                  </pic:spPr>
                </pic:pic>
              </a:graphicData>
            </a:graphic>
          </wp:inline>
        </w:drawing>
      </w:r>
    </w:p>
    <w:p w14:paraId="7D0FDF96" w14:textId="62DE1527" w:rsidR="001F4A5A" w:rsidRPr="001F4A5A" w:rsidRDefault="001F4A5A" w:rsidP="001F4A5A">
      <w:pPr>
        <w:rPr>
          <w:rFonts w:ascii="Calibri" w:hAnsi="Calibri" w:cs="Calibri"/>
          <w:b/>
          <w:bCs/>
        </w:rPr>
      </w:pPr>
      <w:r w:rsidRPr="001F4A5A">
        <w:rPr>
          <w:rFonts w:ascii="Calibri" w:hAnsi="Calibri" w:cs="Calibri"/>
          <w:b/>
          <w:bCs/>
        </w:rPr>
        <w:t>Proposal 2:</w:t>
      </w:r>
      <w:r w:rsidR="00B36DD8">
        <w:rPr>
          <w:rFonts w:ascii="Calibri" w:hAnsi="Calibri" w:cs="Calibri"/>
          <w:b/>
          <w:bCs/>
        </w:rPr>
        <w:t xml:space="preserve"> Redirection clause for UEs that support </w:t>
      </w:r>
      <w:proofErr w:type="spellStart"/>
      <w:r w:rsidR="00B36DD8">
        <w:rPr>
          <w:rFonts w:ascii="Calibri" w:hAnsi="Calibri" w:cs="Calibri"/>
          <w:b/>
          <w:bCs/>
        </w:rPr>
        <w:t>ULFPTx</w:t>
      </w:r>
      <w:proofErr w:type="spellEnd"/>
      <w:r w:rsidR="00B36DD8">
        <w:rPr>
          <w:rFonts w:ascii="Calibri" w:hAnsi="Calibri" w:cs="Calibri"/>
          <w:b/>
          <w:bCs/>
        </w:rPr>
        <w:t xml:space="preserve"> and assert </w:t>
      </w:r>
      <w:proofErr w:type="spellStart"/>
      <w:r w:rsidR="00B36DD8">
        <w:rPr>
          <w:rFonts w:ascii="Calibri" w:hAnsi="Calibri" w:cs="Calibri"/>
          <w:b/>
          <w:bCs/>
        </w:rPr>
        <w:t>tTxD</w:t>
      </w:r>
      <w:proofErr w:type="spellEnd"/>
      <w:r w:rsidR="00B36DD8">
        <w:rPr>
          <w:rFonts w:ascii="Calibri" w:hAnsi="Calibri" w:cs="Calibri"/>
          <w:b/>
          <w:bCs/>
        </w:rPr>
        <w:t>:</w:t>
      </w:r>
    </w:p>
    <w:p w14:paraId="1F90BC48" w14:textId="45AC2A43" w:rsidR="00F6797D" w:rsidRDefault="001F4A5A" w:rsidP="001F4A5A">
      <w:pPr>
        <w:ind w:left="720"/>
        <w:rPr>
          <w:color w:val="FF0000"/>
          <w:u w:val="single"/>
        </w:rPr>
      </w:pPr>
      <w:r>
        <w:t xml:space="preserve">If UE </w:t>
      </w:r>
      <w:r>
        <w:rPr>
          <w:color w:val="FF0000"/>
          <w:u w:val="single"/>
        </w:rPr>
        <w:t>does not</w:t>
      </w:r>
      <w:r w:rsidRPr="00B529E9">
        <w:rPr>
          <w:color w:val="FF0000"/>
          <w:u w:val="single"/>
        </w:rPr>
        <w:t xml:space="preserve"> support Tx diversity</w:t>
      </w:r>
      <w:r>
        <w:rPr>
          <w:color w:val="FF0000"/>
          <w:u w:val="single"/>
        </w:rPr>
        <w:t xml:space="preserve"> or supports </w:t>
      </w:r>
      <w:proofErr w:type="spellStart"/>
      <w:r w:rsidRPr="001F4A5A">
        <w:rPr>
          <w:i/>
          <w:iCs/>
          <w:color w:val="FF0000"/>
          <w:u w:val="single"/>
        </w:rPr>
        <w:t>TxD_singleTxMPR</w:t>
      </w:r>
      <w:proofErr w:type="spellEnd"/>
      <w:r w:rsidRPr="001F4A5A">
        <w:rPr>
          <w:color w:val="FF0000"/>
          <w:u w:val="single"/>
        </w:rPr>
        <w:t xml:space="preserve"> </w:t>
      </w:r>
      <w:r>
        <w:rPr>
          <w:color w:val="FF0000"/>
          <w:u w:val="single"/>
        </w:rPr>
        <w:t>[xx, TS 38.306] and</w:t>
      </w:r>
      <w:r>
        <w:t xml:space="preserve"> is scheduled for single antenna-port PUSCH transmission by DCI format 0_0 or by DCI format 0_1 for single antenna port </w:t>
      </w:r>
      <w:proofErr w:type="gramStart"/>
      <w:r>
        <w:t>codebook based</w:t>
      </w:r>
      <w:proofErr w:type="gramEnd"/>
      <w:r>
        <w:t xml:space="preserve"> transmission, the requirements in clause 6.2.1/2 apply for the power class as indicated by the </w:t>
      </w:r>
      <w:proofErr w:type="spellStart"/>
      <w:r>
        <w:rPr>
          <w:i/>
          <w:iCs/>
        </w:rPr>
        <w:t>ue-PowerClass</w:t>
      </w:r>
      <w:proofErr w:type="spellEnd"/>
      <w:r>
        <w:t xml:space="preserve"> field in capability signalling.</w:t>
      </w:r>
      <w:r w:rsidR="00DD0CF2">
        <w:t xml:space="preserve"> </w:t>
      </w:r>
      <w:r w:rsidR="005F20D8">
        <w:rPr>
          <w:color w:val="FF0000"/>
          <w:u w:val="single"/>
        </w:rPr>
        <w:t>For a</w:t>
      </w:r>
      <w:r w:rsidR="00A565D5">
        <w:rPr>
          <w:color w:val="FF0000"/>
          <w:u w:val="single"/>
        </w:rPr>
        <w:t xml:space="preserve"> UE that supports </w:t>
      </w:r>
      <w:proofErr w:type="spellStart"/>
      <w:r w:rsidR="00A565D5" w:rsidRPr="001F4A5A">
        <w:rPr>
          <w:i/>
          <w:iCs/>
          <w:color w:val="FF0000"/>
          <w:u w:val="single"/>
        </w:rPr>
        <w:t>TxD_singleTxMPR</w:t>
      </w:r>
      <w:proofErr w:type="spellEnd"/>
      <w:r w:rsidR="00F56CA2" w:rsidRPr="00F56CA2">
        <w:t xml:space="preserve"> </w:t>
      </w:r>
      <w:r w:rsidR="00F56CA2" w:rsidRPr="005F20D8">
        <w:rPr>
          <w:color w:val="FF0000"/>
          <w:u w:val="single"/>
        </w:rPr>
        <w:t>the output power is defined as the sum of the output power from both UE antenna connectors</w:t>
      </w:r>
      <w:r w:rsidR="00F56CA2" w:rsidRPr="00F56CA2">
        <w:rPr>
          <w:i/>
          <w:iCs/>
          <w:color w:val="FF0000"/>
          <w:u w:val="single"/>
        </w:rPr>
        <w:t>.</w:t>
      </w:r>
      <w:r w:rsidR="00F56CA2">
        <w:rPr>
          <w:i/>
          <w:iCs/>
          <w:color w:val="FF0000"/>
          <w:u w:val="single"/>
        </w:rPr>
        <w:t xml:space="preserve"> </w:t>
      </w:r>
      <w:r w:rsidR="00A565D5">
        <w:rPr>
          <w:color w:val="FF0000"/>
          <w:u w:val="single"/>
        </w:rPr>
        <w:t xml:space="preserve"> </w:t>
      </w:r>
    </w:p>
    <w:p w14:paraId="5E77FBDE" w14:textId="76D33477" w:rsidR="001F4A5A" w:rsidRDefault="00A565D5" w:rsidP="001F4A5A">
      <w:pPr>
        <w:ind w:left="720"/>
        <w:rPr>
          <w:lang w:val="en-US" w:eastAsia="en-US"/>
        </w:rPr>
      </w:pPr>
      <w:r>
        <w:rPr>
          <w:color w:val="FF0000"/>
          <w:u w:val="single"/>
        </w:rPr>
        <w:t>I</w:t>
      </w:r>
      <w:r w:rsidR="001F4A5A">
        <w:rPr>
          <w:color w:val="FF0000"/>
          <w:u w:val="single"/>
        </w:rPr>
        <w:t xml:space="preserve">f a UE supports Tx diversity </w:t>
      </w:r>
      <w:r w:rsidR="00F20F67">
        <w:rPr>
          <w:color w:val="FF0000"/>
          <w:u w:val="single"/>
        </w:rPr>
        <w:t>and is</w:t>
      </w:r>
      <w:r w:rsidR="001F4A5A">
        <w:rPr>
          <w:color w:val="FF0000"/>
          <w:u w:val="single"/>
        </w:rPr>
        <w:t xml:space="preserve"> scheduled for single antenna-port PUSCH transmission by DCI format 0_0 or by DCI format 0_1 for single antenna port </w:t>
      </w:r>
      <w:proofErr w:type="gramStart"/>
      <w:r w:rsidR="001F4A5A">
        <w:rPr>
          <w:color w:val="FF0000"/>
          <w:u w:val="single"/>
        </w:rPr>
        <w:t>codebook based</w:t>
      </w:r>
      <w:proofErr w:type="gramEnd"/>
      <w:r w:rsidR="001F4A5A">
        <w:rPr>
          <w:color w:val="FF0000"/>
          <w:u w:val="single"/>
        </w:rPr>
        <w:t xml:space="preserve"> transmission, the requirements in clause 6.2G.1/2 apply for the power class as indicated by the </w:t>
      </w:r>
      <w:proofErr w:type="spellStart"/>
      <w:r w:rsidR="001F4A5A">
        <w:rPr>
          <w:i/>
          <w:iCs/>
          <w:color w:val="FF0000"/>
          <w:u w:val="single"/>
        </w:rPr>
        <w:t>ue-PowerClass</w:t>
      </w:r>
      <w:proofErr w:type="spellEnd"/>
      <w:r w:rsidR="001F4A5A">
        <w:rPr>
          <w:color w:val="FF0000"/>
          <w:u w:val="single"/>
        </w:rPr>
        <w:t xml:space="preserve"> field in capability signalling. </w:t>
      </w:r>
    </w:p>
    <w:p w14:paraId="59D47AB3" w14:textId="77777777" w:rsidR="001F4A5A" w:rsidRDefault="001F4A5A" w:rsidP="001F4A5A">
      <w:pPr>
        <w:pStyle w:val="Heading1"/>
      </w:pPr>
      <w:r>
        <w:t xml:space="preserve">3. </w:t>
      </w:r>
      <w:r>
        <w:tab/>
        <w:t>Conclusion</w:t>
      </w:r>
    </w:p>
    <w:p w14:paraId="57BDBD30" w14:textId="77777777" w:rsidR="001F4A5A" w:rsidRPr="0057648E" w:rsidRDefault="001F4A5A" w:rsidP="001F4A5A">
      <w:pPr>
        <w:rPr>
          <w:rFonts w:ascii="Calibri" w:hAnsi="Calibri" w:cs="Calibri"/>
          <w:b/>
          <w:bCs/>
        </w:rPr>
      </w:pPr>
      <w:r w:rsidRPr="0057648E">
        <w:rPr>
          <w:rFonts w:ascii="Calibri" w:hAnsi="Calibri" w:cs="Calibri"/>
          <w:b/>
          <w:bCs/>
        </w:rPr>
        <w:t xml:space="preserve">Observation 1: </w:t>
      </w:r>
      <w:r>
        <w:rPr>
          <w:rFonts w:ascii="Calibri" w:hAnsi="Calibri" w:cs="Calibri"/>
          <w:b/>
          <w:bCs/>
        </w:rPr>
        <w:t>I</w:t>
      </w:r>
      <w:r w:rsidRPr="006D0C65">
        <w:rPr>
          <w:rFonts w:ascii="Calibri" w:hAnsi="Calibri" w:cs="Calibri"/>
          <w:b/>
          <w:bCs/>
        </w:rPr>
        <w:t xml:space="preserve">n the case of </w:t>
      </w:r>
      <w:r>
        <w:rPr>
          <w:rFonts w:ascii="Calibri" w:hAnsi="Calibri" w:cs="Calibri"/>
          <w:b/>
          <w:bCs/>
        </w:rPr>
        <w:t xml:space="preserve">a </w:t>
      </w:r>
      <w:r w:rsidRPr="006D0C65">
        <w:rPr>
          <w:rFonts w:ascii="Calibri" w:hAnsi="Calibri" w:cs="Calibri"/>
          <w:b/>
          <w:bCs/>
        </w:rPr>
        <w:t>UE that declare</w:t>
      </w:r>
      <w:r>
        <w:rPr>
          <w:rFonts w:ascii="Calibri" w:hAnsi="Calibri" w:cs="Calibri"/>
          <w:b/>
          <w:bCs/>
        </w:rPr>
        <w:t xml:space="preserve">s a </w:t>
      </w:r>
      <w:r w:rsidRPr="006D0C65">
        <w:rPr>
          <w:rFonts w:ascii="Calibri" w:hAnsi="Calibri" w:cs="Calibri"/>
          <w:b/>
          <w:bCs/>
        </w:rPr>
        <w:t xml:space="preserve">full power TPMI, the network cannot presume existence of a full-power PA if the UE </w:t>
      </w:r>
      <w:r>
        <w:rPr>
          <w:rFonts w:ascii="Calibri" w:hAnsi="Calibri" w:cs="Calibri"/>
          <w:b/>
          <w:bCs/>
        </w:rPr>
        <w:t xml:space="preserve">also </w:t>
      </w:r>
      <w:r w:rsidRPr="006D0C65">
        <w:rPr>
          <w:rFonts w:ascii="Calibri" w:hAnsi="Calibri" w:cs="Calibri"/>
          <w:b/>
          <w:bCs/>
        </w:rPr>
        <w:t xml:space="preserve">asserts the </w:t>
      </w:r>
      <w:proofErr w:type="spellStart"/>
      <w:r w:rsidRPr="006D0C65">
        <w:rPr>
          <w:rFonts w:ascii="Calibri" w:hAnsi="Calibri" w:cs="Calibri"/>
          <w:b/>
          <w:bCs/>
        </w:rPr>
        <w:t>tTxD</w:t>
      </w:r>
      <w:proofErr w:type="spellEnd"/>
      <w:r w:rsidRPr="006D0C65">
        <w:rPr>
          <w:rFonts w:ascii="Calibri" w:hAnsi="Calibri" w:cs="Calibri"/>
          <w:b/>
          <w:bCs/>
        </w:rPr>
        <w:t xml:space="preserve"> flag</w:t>
      </w:r>
      <w:r>
        <w:rPr>
          <w:rFonts w:ascii="Calibri" w:hAnsi="Calibri" w:cs="Calibri"/>
          <w:b/>
          <w:bCs/>
        </w:rPr>
        <w:t>.</w:t>
      </w:r>
    </w:p>
    <w:p w14:paraId="69B154DD" w14:textId="77777777" w:rsidR="001F4A5A" w:rsidRPr="0057648E" w:rsidRDefault="001F4A5A" w:rsidP="001F4A5A">
      <w:pPr>
        <w:rPr>
          <w:rFonts w:ascii="Calibri" w:hAnsi="Calibri" w:cs="Calibri"/>
          <w:b/>
          <w:bCs/>
        </w:rPr>
      </w:pPr>
      <w:r w:rsidRPr="0057648E">
        <w:rPr>
          <w:rFonts w:ascii="Calibri" w:hAnsi="Calibri" w:cs="Calibri"/>
          <w:b/>
          <w:bCs/>
        </w:rPr>
        <w:t xml:space="preserve">Observation </w:t>
      </w:r>
      <w:r>
        <w:rPr>
          <w:rFonts w:ascii="Calibri" w:hAnsi="Calibri" w:cs="Calibri"/>
          <w:b/>
          <w:bCs/>
        </w:rPr>
        <w:t>2</w:t>
      </w:r>
      <w:r w:rsidRPr="0057648E">
        <w:rPr>
          <w:rFonts w:ascii="Calibri" w:hAnsi="Calibri" w:cs="Calibri"/>
          <w:b/>
          <w:bCs/>
        </w:rPr>
        <w:t xml:space="preserve">: A PC2 UE can avail of relaxed MPRs in 6.2G.2 V17.3 simply by asserting </w:t>
      </w:r>
      <w:proofErr w:type="spellStart"/>
      <w:r w:rsidRPr="0057648E">
        <w:rPr>
          <w:rFonts w:ascii="Calibri" w:hAnsi="Calibri" w:cs="Calibri"/>
          <w:b/>
          <w:bCs/>
        </w:rPr>
        <w:t>tTxD</w:t>
      </w:r>
      <w:proofErr w:type="spellEnd"/>
      <w:r w:rsidRPr="0057648E">
        <w:rPr>
          <w:rFonts w:ascii="Calibri" w:hAnsi="Calibri" w:cs="Calibri"/>
          <w:b/>
          <w:bCs/>
        </w:rPr>
        <w:t>, even if it possesses a full power PA.</w:t>
      </w:r>
    </w:p>
    <w:p w14:paraId="6434E25E" w14:textId="77777777" w:rsidR="001F4A5A" w:rsidRPr="003636F7" w:rsidRDefault="001F4A5A" w:rsidP="001F4A5A">
      <w:pPr>
        <w:rPr>
          <w:rFonts w:ascii="Calibri" w:hAnsi="Calibri" w:cs="Calibri"/>
          <w:b/>
          <w:bCs/>
        </w:rPr>
      </w:pPr>
      <w:r w:rsidRPr="003636F7">
        <w:rPr>
          <w:rFonts w:ascii="Calibri" w:hAnsi="Calibri" w:cs="Calibri"/>
          <w:b/>
          <w:bCs/>
        </w:rPr>
        <w:t xml:space="preserve">Observation 3: A PC2 UE may need to assert </w:t>
      </w:r>
      <w:proofErr w:type="spellStart"/>
      <w:r w:rsidRPr="003636F7">
        <w:rPr>
          <w:rFonts w:ascii="Calibri" w:hAnsi="Calibri" w:cs="Calibri"/>
          <w:b/>
          <w:bCs/>
        </w:rPr>
        <w:t>tTxD</w:t>
      </w:r>
      <w:proofErr w:type="spellEnd"/>
      <w:r w:rsidRPr="003636F7">
        <w:rPr>
          <w:rFonts w:ascii="Calibri" w:hAnsi="Calibri" w:cs="Calibri"/>
          <w:b/>
          <w:bCs/>
        </w:rPr>
        <w:t xml:space="preserve"> while at the same time being compliant with single Tx MPRs rather than the relaxed MPRs in 6.2G.2.  </w:t>
      </w:r>
    </w:p>
    <w:p w14:paraId="4D97F542" w14:textId="77777777" w:rsidR="001F4A5A" w:rsidRDefault="001F4A5A" w:rsidP="001F4A5A">
      <w:pPr>
        <w:rPr>
          <w:rFonts w:ascii="Calibri" w:hAnsi="Calibri" w:cs="Calibri"/>
          <w:b/>
          <w:bCs/>
        </w:rPr>
      </w:pPr>
      <w:r w:rsidRPr="001F4A5A">
        <w:rPr>
          <w:rFonts w:ascii="Calibri" w:hAnsi="Calibri" w:cs="Calibri"/>
          <w:b/>
          <w:bCs/>
        </w:rPr>
        <w:t>Proposal</w:t>
      </w:r>
      <w:r>
        <w:rPr>
          <w:rFonts w:ascii="Calibri" w:hAnsi="Calibri" w:cs="Calibri"/>
          <w:b/>
          <w:bCs/>
        </w:rPr>
        <w:t xml:space="preserve"> 1</w:t>
      </w:r>
      <w:r w:rsidRPr="001F4A5A">
        <w:rPr>
          <w:rFonts w:ascii="Calibri" w:hAnsi="Calibri" w:cs="Calibri"/>
          <w:b/>
          <w:bCs/>
        </w:rPr>
        <w:t xml:space="preserve">: The </w:t>
      </w:r>
      <w:proofErr w:type="spellStart"/>
      <w:r w:rsidRPr="001F4A5A">
        <w:rPr>
          <w:rFonts w:ascii="Calibri" w:hAnsi="Calibri" w:cs="Calibri"/>
          <w:b/>
          <w:bCs/>
        </w:rPr>
        <w:t>tTxD</w:t>
      </w:r>
      <w:proofErr w:type="spellEnd"/>
      <w:r w:rsidRPr="001F4A5A">
        <w:rPr>
          <w:rFonts w:ascii="Calibri" w:hAnsi="Calibri" w:cs="Calibri"/>
          <w:b/>
          <w:bCs/>
        </w:rPr>
        <w:t xml:space="preserve"> </w:t>
      </w:r>
      <w:r>
        <w:rPr>
          <w:rFonts w:ascii="Calibri" w:hAnsi="Calibri" w:cs="Calibri"/>
          <w:b/>
          <w:bCs/>
        </w:rPr>
        <w:t>c</w:t>
      </w:r>
      <w:r w:rsidRPr="001F4A5A">
        <w:rPr>
          <w:rFonts w:ascii="Calibri" w:hAnsi="Calibri" w:cs="Calibri"/>
          <w:b/>
          <w:bCs/>
        </w:rPr>
        <w:t>apability shall be extended to include a third type of UE</w:t>
      </w:r>
      <w:r>
        <w:rPr>
          <w:rFonts w:ascii="Calibri" w:hAnsi="Calibri" w:cs="Calibri"/>
          <w:b/>
          <w:bCs/>
        </w:rPr>
        <w:t xml:space="preserve"> (‘</w:t>
      </w:r>
      <w:proofErr w:type="spellStart"/>
      <w:r>
        <w:rPr>
          <w:rFonts w:ascii="Calibri" w:hAnsi="Calibri" w:cs="Calibri"/>
          <w:b/>
          <w:bCs/>
        </w:rPr>
        <w:t>TxD_singleTxMPR</w:t>
      </w:r>
      <w:proofErr w:type="spellEnd"/>
      <w:r>
        <w:rPr>
          <w:rFonts w:ascii="Calibri" w:hAnsi="Calibri" w:cs="Calibri"/>
          <w:b/>
          <w:bCs/>
        </w:rPr>
        <w:t>’)</w:t>
      </w:r>
      <w:r w:rsidRPr="001F4A5A">
        <w:rPr>
          <w:rFonts w:ascii="Calibri" w:hAnsi="Calibri" w:cs="Calibri"/>
          <w:b/>
          <w:bCs/>
        </w:rPr>
        <w:t xml:space="preserve"> that implements Tx diversity but complies with single Tx PC2 MPR of 6.2.2 of TS38.101-2. </w:t>
      </w:r>
    </w:p>
    <w:p w14:paraId="47741366" w14:textId="341259AB" w:rsidR="001F4A5A" w:rsidRDefault="001F4A5A" w:rsidP="001F4A5A">
      <w:pPr>
        <w:rPr>
          <w:rFonts w:ascii="Calibri" w:hAnsi="Calibri" w:cs="Calibri"/>
          <w:b/>
          <w:bCs/>
        </w:rPr>
      </w:pPr>
      <w:r w:rsidRPr="00FF64F7">
        <w:rPr>
          <w:rFonts w:ascii="Calibri" w:hAnsi="Calibri" w:cs="Calibri"/>
          <w:b/>
          <w:bCs/>
        </w:rPr>
        <w:t>Proposal</w:t>
      </w:r>
      <w:r>
        <w:rPr>
          <w:rFonts w:ascii="Calibri" w:hAnsi="Calibri" w:cs="Calibri"/>
          <w:b/>
          <w:bCs/>
        </w:rPr>
        <w:t xml:space="preserve"> 2</w:t>
      </w:r>
      <w:r w:rsidRPr="00FF64F7">
        <w:rPr>
          <w:rFonts w:ascii="Calibri" w:hAnsi="Calibri" w:cs="Calibri"/>
          <w:b/>
          <w:bCs/>
        </w:rPr>
        <w:t xml:space="preserve">: </w:t>
      </w:r>
      <w:r w:rsidR="00B36DD8">
        <w:rPr>
          <w:rFonts w:ascii="Calibri" w:hAnsi="Calibri" w:cs="Calibri"/>
          <w:b/>
          <w:bCs/>
        </w:rPr>
        <w:t xml:space="preserve">Redirection clause for UEs that support </w:t>
      </w:r>
      <w:proofErr w:type="spellStart"/>
      <w:r w:rsidR="00B36DD8">
        <w:rPr>
          <w:rFonts w:ascii="Calibri" w:hAnsi="Calibri" w:cs="Calibri"/>
          <w:b/>
          <w:bCs/>
        </w:rPr>
        <w:t>ULFPTx</w:t>
      </w:r>
      <w:proofErr w:type="spellEnd"/>
      <w:r w:rsidR="00B36DD8">
        <w:rPr>
          <w:rFonts w:ascii="Calibri" w:hAnsi="Calibri" w:cs="Calibri"/>
          <w:b/>
          <w:bCs/>
        </w:rPr>
        <w:t xml:space="preserve"> and assert </w:t>
      </w:r>
      <w:proofErr w:type="spellStart"/>
      <w:r w:rsidR="00B36DD8">
        <w:rPr>
          <w:rFonts w:ascii="Calibri" w:hAnsi="Calibri" w:cs="Calibri"/>
          <w:b/>
          <w:bCs/>
        </w:rPr>
        <w:t>tTxD</w:t>
      </w:r>
      <w:proofErr w:type="spellEnd"/>
      <w:r w:rsidR="00B36DD8">
        <w:rPr>
          <w:rFonts w:ascii="Calibri" w:hAnsi="Calibri" w:cs="Calibri"/>
          <w:b/>
          <w:bCs/>
        </w:rPr>
        <w:t>:</w:t>
      </w:r>
    </w:p>
    <w:p w14:paraId="2341CB18" w14:textId="77777777" w:rsidR="007B5CF7" w:rsidRDefault="007B5CF7" w:rsidP="007B5CF7">
      <w:pPr>
        <w:ind w:left="720"/>
        <w:rPr>
          <w:color w:val="FF0000"/>
          <w:u w:val="single"/>
        </w:rPr>
      </w:pPr>
      <w:r>
        <w:t xml:space="preserve">If UE </w:t>
      </w:r>
      <w:r>
        <w:rPr>
          <w:color w:val="FF0000"/>
          <w:u w:val="single"/>
        </w:rPr>
        <w:t>does not</w:t>
      </w:r>
      <w:r w:rsidRPr="00B529E9">
        <w:rPr>
          <w:color w:val="FF0000"/>
          <w:u w:val="single"/>
        </w:rPr>
        <w:t xml:space="preserve"> support Tx diversity</w:t>
      </w:r>
      <w:r>
        <w:rPr>
          <w:color w:val="FF0000"/>
          <w:u w:val="single"/>
        </w:rPr>
        <w:t xml:space="preserve"> or supports </w:t>
      </w:r>
      <w:proofErr w:type="spellStart"/>
      <w:r w:rsidRPr="001F4A5A">
        <w:rPr>
          <w:i/>
          <w:iCs/>
          <w:color w:val="FF0000"/>
          <w:u w:val="single"/>
        </w:rPr>
        <w:t>TxD_singleTxMPR</w:t>
      </w:r>
      <w:proofErr w:type="spellEnd"/>
      <w:r w:rsidRPr="001F4A5A">
        <w:rPr>
          <w:color w:val="FF0000"/>
          <w:u w:val="single"/>
        </w:rPr>
        <w:t xml:space="preserve"> </w:t>
      </w:r>
      <w:r>
        <w:rPr>
          <w:color w:val="FF0000"/>
          <w:u w:val="single"/>
        </w:rPr>
        <w:t>[xx, TS 38.306] and</w:t>
      </w:r>
      <w:r>
        <w:t xml:space="preserve"> is scheduled for single antenna-port PUSCH transmission by DCI format 0_0 or by DCI format 0_1 for single antenna port </w:t>
      </w:r>
      <w:proofErr w:type="gramStart"/>
      <w:r>
        <w:t>codebook based</w:t>
      </w:r>
      <w:proofErr w:type="gramEnd"/>
      <w:r>
        <w:t xml:space="preserve"> transmission, the requirements in clause 6.2.1/2 apply for the power class as indicated by the </w:t>
      </w:r>
      <w:proofErr w:type="spellStart"/>
      <w:r>
        <w:rPr>
          <w:i/>
          <w:iCs/>
        </w:rPr>
        <w:t>ue-PowerClass</w:t>
      </w:r>
      <w:proofErr w:type="spellEnd"/>
      <w:r>
        <w:t xml:space="preserve"> field in capability signalling. </w:t>
      </w:r>
      <w:r>
        <w:rPr>
          <w:color w:val="FF0000"/>
          <w:u w:val="single"/>
        </w:rPr>
        <w:t xml:space="preserve">For a UE that supports </w:t>
      </w:r>
      <w:proofErr w:type="spellStart"/>
      <w:r w:rsidRPr="001F4A5A">
        <w:rPr>
          <w:i/>
          <w:iCs/>
          <w:color w:val="FF0000"/>
          <w:u w:val="single"/>
        </w:rPr>
        <w:t>TxD_singleTxMPR</w:t>
      </w:r>
      <w:proofErr w:type="spellEnd"/>
      <w:r w:rsidRPr="00F56CA2">
        <w:t xml:space="preserve"> </w:t>
      </w:r>
      <w:r w:rsidRPr="005F20D8">
        <w:rPr>
          <w:color w:val="FF0000"/>
          <w:u w:val="single"/>
        </w:rPr>
        <w:t>the output power is defined as the sum of the output power from both UE antenna connectors</w:t>
      </w:r>
      <w:r w:rsidRPr="00F56CA2">
        <w:rPr>
          <w:i/>
          <w:iCs/>
          <w:color w:val="FF0000"/>
          <w:u w:val="single"/>
        </w:rPr>
        <w:t>.</w:t>
      </w:r>
      <w:r>
        <w:rPr>
          <w:i/>
          <w:iCs/>
          <w:color w:val="FF0000"/>
          <w:u w:val="single"/>
        </w:rPr>
        <w:t xml:space="preserve"> </w:t>
      </w:r>
      <w:r>
        <w:rPr>
          <w:color w:val="FF0000"/>
          <w:u w:val="single"/>
        </w:rPr>
        <w:t xml:space="preserve"> </w:t>
      </w:r>
    </w:p>
    <w:p w14:paraId="2E191576" w14:textId="77777777" w:rsidR="007B5CF7" w:rsidRDefault="007B5CF7" w:rsidP="007B5CF7">
      <w:pPr>
        <w:ind w:left="720"/>
        <w:rPr>
          <w:lang w:val="en-US" w:eastAsia="en-US"/>
        </w:rPr>
      </w:pPr>
      <w:r>
        <w:rPr>
          <w:color w:val="FF0000"/>
          <w:u w:val="single"/>
        </w:rPr>
        <w:lastRenderedPageBreak/>
        <w:t xml:space="preserve">If a UE supports Tx diversity and is scheduled for single antenna-port PUSCH transmission by DCI format 0_0 or by DCI format 0_1 for single antenna port </w:t>
      </w:r>
      <w:proofErr w:type="gramStart"/>
      <w:r>
        <w:rPr>
          <w:color w:val="FF0000"/>
          <w:u w:val="single"/>
        </w:rPr>
        <w:t>codebook based</w:t>
      </w:r>
      <w:proofErr w:type="gramEnd"/>
      <w:r>
        <w:rPr>
          <w:color w:val="FF0000"/>
          <w:u w:val="single"/>
        </w:rPr>
        <w:t xml:space="preserve"> transmission, the requirements in clause 6.2G.1/2 apply for the power class as indicated by the </w:t>
      </w:r>
      <w:proofErr w:type="spellStart"/>
      <w:r>
        <w:rPr>
          <w:i/>
          <w:iCs/>
          <w:color w:val="FF0000"/>
          <w:u w:val="single"/>
        </w:rPr>
        <w:t>ue-PowerClass</w:t>
      </w:r>
      <w:proofErr w:type="spellEnd"/>
      <w:r>
        <w:rPr>
          <w:color w:val="FF0000"/>
          <w:u w:val="single"/>
        </w:rPr>
        <w:t xml:space="preserve"> field in capability signalling. </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1287DAB" w14:textId="1CA83DF3"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54E83">
        <w:rPr>
          <w:rFonts w:ascii="Arial" w:eastAsia="SimSun" w:hAnsi="Arial" w:cs="Arial"/>
          <w:bCs/>
          <w:sz w:val="18"/>
          <w:szCs w:val="18"/>
          <w:lang w:val="en-US" w:eastAsia="en-GB"/>
        </w:rPr>
        <w:t>111904</w:t>
      </w:r>
      <w:r w:rsidRPr="000B036D">
        <w:rPr>
          <w:rFonts w:ascii="Arial" w:eastAsia="SimSun" w:hAnsi="Arial" w:cs="Arial"/>
          <w:bCs/>
          <w:sz w:val="18"/>
          <w:szCs w:val="18"/>
          <w:lang w:val="en-US" w:eastAsia="en-GB"/>
        </w:rPr>
        <w:t>, ‘</w:t>
      </w:r>
      <w:r w:rsidR="009046F3" w:rsidRPr="009046F3">
        <w:rPr>
          <w:rFonts w:ascii="Arial" w:eastAsia="SimSun" w:hAnsi="Arial" w:cs="Arial"/>
          <w:bCs/>
          <w:sz w:val="18"/>
          <w:szCs w:val="18"/>
          <w:lang w:val="en-US" w:eastAsia="en-GB"/>
        </w:rPr>
        <w:t xml:space="preserve">On enabling </w:t>
      </w:r>
      <w:proofErr w:type="spellStart"/>
      <w:r w:rsidR="009046F3" w:rsidRPr="009046F3">
        <w:rPr>
          <w:rFonts w:ascii="Arial" w:eastAsia="SimSun" w:hAnsi="Arial" w:cs="Arial"/>
          <w:bCs/>
          <w:sz w:val="18"/>
          <w:szCs w:val="18"/>
          <w:lang w:val="en-US" w:eastAsia="en-GB"/>
        </w:rPr>
        <w:t>ULFPTx</w:t>
      </w:r>
      <w:proofErr w:type="spellEnd"/>
      <w:r w:rsidR="009046F3" w:rsidRPr="009046F3">
        <w:rPr>
          <w:rFonts w:ascii="Arial" w:eastAsia="SimSun" w:hAnsi="Arial" w:cs="Arial"/>
          <w:bCs/>
          <w:sz w:val="18"/>
          <w:szCs w:val="18"/>
          <w:lang w:val="en-US" w:eastAsia="en-GB"/>
        </w:rPr>
        <w:t xml:space="preserve"> UEs to employ transparent </w:t>
      </w:r>
      <w:proofErr w:type="spellStart"/>
      <w:r w:rsidR="009046F3" w:rsidRPr="009046F3">
        <w:rPr>
          <w:rFonts w:ascii="Arial" w:eastAsia="SimSun" w:hAnsi="Arial" w:cs="Arial"/>
          <w:bCs/>
          <w:sz w:val="18"/>
          <w:szCs w:val="18"/>
          <w:lang w:val="en-US" w:eastAsia="en-GB"/>
        </w:rPr>
        <w:t>TxD</w:t>
      </w:r>
      <w:proofErr w:type="spellEnd"/>
      <w:r w:rsidRPr="000B036D">
        <w:rPr>
          <w:rFonts w:ascii="Arial" w:eastAsia="SimSun" w:hAnsi="Arial" w:cs="Arial"/>
          <w:bCs/>
          <w:sz w:val="18"/>
          <w:szCs w:val="18"/>
          <w:lang w:val="en-US" w:eastAsia="en-GB"/>
        </w:rPr>
        <w:t xml:space="preserve">’, </w:t>
      </w:r>
      <w:r w:rsidR="00554E83">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sidR="00554E83">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554E83">
        <w:rPr>
          <w:rFonts w:ascii="Arial" w:eastAsia="SimSun" w:hAnsi="Arial" w:cs="Arial"/>
          <w:bCs/>
          <w:sz w:val="18"/>
          <w:szCs w:val="18"/>
          <w:lang w:val="en-US" w:eastAsia="en-GB"/>
        </w:rPr>
        <w:t>Aug</w:t>
      </w:r>
      <w:r>
        <w:rPr>
          <w:rFonts w:ascii="Arial" w:eastAsia="SimSun" w:hAnsi="Arial" w:cs="Arial"/>
          <w:bCs/>
          <w:sz w:val="18"/>
          <w:szCs w:val="18"/>
          <w:lang w:val="en-US" w:eastAsia="en-GB"/>
        </w:rPr>
        <w:t>. 2021</w:t>
      </w:r>
    </w:p>
    <w:p w14:paraId="7D5D4CAB" w14:textId="4951FA84" w:rsidR="006D0C65" w:rsidRPr="000B036D" w:rsidRDefault="006D0C65"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2114553</w:t>
      </w:r>
      <w:r w:rsidRPr="000B036D">
        <w:rPr>
          <w:rFonts w:ascii="Arial" w:eastAsia="SimSun" w:hAnsi="Arial" w:cs="Arial"/>
          <w:bCs/>
          <w:sz w:val="18"/>
          <w:szCs w:val="18"/>
          <w:lang w:val="en-US" w:eastAsia="en-GB"/>
        </w:rPr>
        <w:t>, ‘</w:t>
      </w:r>
      <w:r w:rsidRPr="006D0C65">
        <w:rPr>
          <w:rFonts w:ascii="Arial" w:eastAsia="SimSun" w:hAnsi="Arial" w:cs="Arial"/>
          <w:bCs/>
          <w:sz w:val="18"/>
          <w:szCs w:val="18"/>
          <w:lang w:val="en-US" w:eastAsia="en-GB"/>
        </w:rPr>
        <w:t>Legacy UE type handling with TX Diversity</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2021</w:t>
      </w:r>
    </w:p>
    <w:sectPr w:rsidR="006D0C65"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3"/>
  </w:num>
  <w:num w:numId="3">
    <w:abstractNumId w:val="8"/>
  </w:num>
  <w:num w:numId="4">
    <w:abstractNumId w:val="2"/>
  </w:num>
  <w:num w:numId="5">
    <w:abstractNumId w:val="1"/>
  </w:num>
  <w:num w:numId="6">
    <w:abstractNumId w:val="0"/>
  </w:num>
  <w:num w:numId="7">
    <w:abstractNumId w:val="7"/>
  </w:num>
  <w:num w:numId="8">
    <w:abstractNumId w:val="6"/>
  </w:num>
  <w:num w:numId="9">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2F2E"/>
    <w:rsid w:val="000032E6"/>
    <w:rsid w:val="0000500B"/>
    <w:rsid w:val="000052ED"/>
    <w:rsid w:val="00005E2B"/>
    <w:rsid w:val="0000794D"/>
    <w:rsid w:val="00010893"/>
    <w:rsid w:val="00010918"/>
    <w:rsid w:val="00010A16"/>
    <w:rsid w:val="000114B2"/>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0E"/>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706"/>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210"/>
    <w:rsid w:val="00157EA2"/>
    <w:rsid w:val="001608E0"/>
    <w:rsid w:val="00161793"/>
    <w:rsid w:val="00161C73"/>
    <w:rsid w:val="00163844"/>
    <w:rsid w:val="00164505"/>
    <w:rsid w:val="00164571"/>
    <w:rsid w:val="00166DB4"/>
    <w:rsid w:val="00166E70"/>
    <w:rsid w:val="00167018"/>
    <w:rsid w:val="00171E66"/>
    <w:rsid w:val="00172EB5"/>
    <w:rsid w:val="001738E4"/>
    <w:rsid w:val="00173AB7"/>
    <w:rsid w:val="00174AE6"/>
    <w:rsid w:val="00176380"/>
    <w:rsid w:val="0017722C"/>
    <w:rsid w:val="00177423"/>
    <w:rsid w:val="00177687"/>
    <w:rsid w:val="001776CD"/>
    <w:rsid w:val="00180A92"/>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460"/>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4A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7CAA"/>
    <w:rsid w:val="00210FFD"/>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253D"/>
    <w:rsid w:val="00233A0E"/>
    <w:rsid w:val="00235081"/>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6F7"/>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579B"/>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655"/>
    <w:rsid w:val="00404E6B"/>
    <w:rsid w:val="00405503"/>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350"/>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68"/>
    <w:rsid w:val="005120D5"/>
    <w:rsid w:val="00514334"/>
    <w:rsid w:val="00514836"/>
    <w:rsid w:val="0051534D"/>
    <w:rsid w:val="00517ABC"/>
    <w:rsid w:val="00520026"/>
    <w:rsid w:val="0052004B"/>
    <w:rsid w:val="0052226D"/>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480"/>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4E83"/>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7648E"/>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0762"/>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115"/>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20D8"/>
    <w:rsid w:val="005F33D7"/>
    <w:rsid w:val="005F343C"/>
    <w:rsid w:val="005F35A7"/>
    <w:rsid w:val="005F35B6"/>
    <w:rsid w:val="005F65DE"/>
    <w:rsid w:val="005F699B"/>
    <w:rsid w:val="005F73ED"/>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4AB0"/>
    <w:rsid w:val="00615027"/>
    <w:rsid w:val="0061669D"/>
    <w:rsid w:val="00617238"/>
    <w:rsid w:val="00620B51"/>
    <w:rsid w:val="00621611"/>
    <w:rsid w:val="00621AF9"/>
    <w:rsid w:val="00622683"/>
    <w:rsid w:val="006246A2"/>
    <w:rsid w:val="00626D4A"/>
    <w:rsid w:val="00627680"/>
    <w:rsid w:val="00627ADB"/>
    <w:rsid w:val="00627AF4"/>
    <w:rsid w:val="00627E7E"/>
    <w:rsid w:val="0063092A"/>
    <w:rsid w:val="00631AC6"/>
    <w:rsid w:val="00633655"/>
    <w:rsid w:val="00634718"/>
    <w:rsid w:val="0063477F"/>
    <w:rsid w:val="00634A2A"/>
    <w:rsid w:val="00635D2A"/>
    <w:rsid w:val="00635D8A"/>
    <w:rsid w:val="00635DCB"/>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955"/>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6E81"/>
    <w:rsid w:val="00687BB4"/>
    <w:rsid w:val="006905B0"/>
    <w:rsid w:val="00690914"/>
    <w:rsid w:val="00690A02"/>
    <w:rsid w:val="00691155"/>
    <w:rsid w:val="00691500"/>
    <w:rsid w:val="00693267"/>
    <w:rsid w:val="00693F66"/>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0C65"/>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119A"/>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2A2"/>
    <w:rsid w:val="00783343"/>
    <w:rsid w:val="00784962"/>
    <w:rsid w:val="00785DF0"/>
    <w:rsid w:val="0079011C"/>
    <w:rsid w:val="007907C2"/>
    <w:rsid w:val="007912F9"/>
    <w:rsid w:val="00791A1D"/>
    <w:rsid w:val="00791CE3"/>
    <w:rsid w:val="00792165"/>
    <w:rsid w:val="00792F66"/>
    <w:rsid w:val="00792FC5"/>
    <w:rsid w:val="00795AC4"/>
    <w:rsid w:val="00796485"/>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CF7"/>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1226"/>
    <w:rsid w:val="00812B9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5D09"/>
    <w:rsid w:val="0083775C"/>
    <w:rsid w:val="0083797B"/>
    <w:rsid w:val="008404F5"/>
    <w:rsid w:val="00841F46"/>
    <w:rsid w:val="00841FD4"/>
    <w:rsid w:val="008433AB"/>
    <w:rsid w:val="00843564"/>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48F8"/>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966"/>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6F3"/>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5766E"/>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8F2"/>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22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07E"/>
    <w:rsid w:val="00A563F6"/>
    <w:rsid w:val="00A565D5"/>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267"/>
    <w:rsid w:val="00AD1CB4"/>
    <w:rsid w:val="00AD21B2"/>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3CD"/>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6DD8"/>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1CD8"/>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49B"/>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042"/>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7A0"/>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289"/>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27917"/>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0E"/>
    <w:rsid w:val="00DB4641"/>
    <w:rsid w:val="00DB47B1"/>
    <w:rsid w:val="00DB6B87"/>
    <w:rsid w:val="00DB6B91"/>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CF2"/>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2AB8"/>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6105"/>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3034"/>
    <w:rsid w:val="00F1493E"/>
    <w:rsid w:val="00F14AA4"/>
    <w:rsid w:val="00F15412"/>
    <w:rsid w:val="00F171D2"/>
    <w:rsid w:val="00F20F67"/>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21E"/>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CA2"/>
    <w:rsid w:val="00F56EBD"/>
    <w:rsid w:val="00F56F06"/>
    <w:rsid w:val="00F56F4E"/>
    <w:rsid w:val="00F6064F"/>
    <w:rsid w:val="00F60C6E"/>
    <w:rsid w:val="00F613E1"/>
    <w:rsid w:val="00F61A7B"/>
    <w:rsid w:val="00F62075"/>
    <w:rsid w:val="00F62A1B"/>
    <w:rsid w:val="00F6337A"/>
    <w:rsid w:val="00F636AB"/>
    <w:rsid w:val="00F641EA"/>
    <w:rsid w:val="00F65B2E"/>
    <w:rsid w:val="00F65FC1"/>
    <w:rsid w:val="00F66697"/>
    <w:rsid w:val="00F66F41"/>
    <w:rsid w:val="00F67502"/>
    <w:rsid w:val="00F6797D"/>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C0A3F"/>
    <w:rsid w:val="00FC1B4B"/>
    <w:rsid w:val="00FC1C17"/>
    <w:rsid w:val="00FC2093"/>
    <w:rsid w:val="00FC51FD"/>
    <w:rsid w:val="00FC5D45"/>
    <w:rsid w:val="00FC61A4"/>
    <w:rsid w:val="00FC7B97"/>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2.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41</cp:revision>
  <dcterms:created xsi:type="dcterms:W3CDTF">2021-10-12T18:00:00Z</dcterms:created>
  <dcterms:modified xsi:type="dcterms:W3CDTF">2021-10-22T16:48:00Z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