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E17C06" w:rsidRPr="00E17C06">
        <w:rPr>
          <w:rFonts w:ascii="Arial" w:hAnsi="Arial" w:cs="Arial"/>
          <w:b/>
          <w:sz w:val="24"/>
          <w:lang w:val="en-US" w:eastAsia="zh-CN"/>
        </w:rPr>
        <w:t>R4-2119352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15BB" w:rsidRPr="00DA15BB">
        <w:rPr>
          <w:rFonts w:ascii="Arial" w:eastAsia="宋体" w:hAnsi="Arial"/>
          <w:b/>
          <w:sz w:val="24"/>
          <w:lang w:val="en-US" w:eastAsia="zh-CN"/>
        </w:rPr>
        <w:t>Discussion on general issues for NTN 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31A29">
        <w:rPr>
          <w:rFonts w:ascii="Arial" w:eastAsia="宋体" w:hAnsi="Arial"/>
          <w:b/>
          <w:sz w:val="24"/>
          <w:lang w:val="en-US" w:eastAsia="zh-CN"/>
        </w:rPr>
        <w:t>8.13.5.1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DA15B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8C48EA" w:rsidRDefault="0079082E" w:rsidP="002A0F5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RAN4#100-e discussed the </w:t>
      </w:r>
      <w:r w:rsidR="009325BA">
        <w:rPr>
          <w:rFonts w:eastAsia="宋体"/>
          <w:lang w:eastAsia="zh-CN"/>
        </w:rPr>
        <w:t>general</w:t>
      </w:r>
      <w:r w:rsidR="00657756">
        <w:rPr>
          <w:rFonts w:eastAsia="宋体"/>
          <w:lang w:eastAsia="zh-CN"/>
        </w:rPr>
        <w:t xml:space="preserve"> issues for </w:t>
      </w:r>
      <w:r w:rsidR="00631A29">
        <w:rPr>
          <w:rFonts w:eastAsia="宋体"/>
          <w:lang w:eastAsia="zh-CN"/>
        </w:rPr>
        <w:t>NTN RRM</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w:t>
      </w:r>
      <w:r w:rsidR="00DA15BB">
        <w:rPr>
          <w:rFonts w:eastAsia="宋体"/>
          <w:lang w:eastAsia="zh-CN"/>
        </w:rPr>
        <w:t>Based on our understanding, the following issues need to be further discussed:</w:t>
      </w:r>
    </w:p>
    <w:p w:rsidR="008C48EA" w:rsidRDefault="008C48EA" w:rsidP="008C48EA">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N-NTN mobility</w:t>
      </w:r>
    </w:p>
    <w:p w:rsidR="008C48EA" w:rsidRDefault="008C48EA" w:rsidP="008C48EA">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conditions</w:t>
      </w:r>
    </w:p>
    <w:p w:rsidR="008C48EA" w:rsidRPr="00DA15BB" w:rsidRDefault="008C48EA" w:rsidP="008C48EA">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lang w:eastAsia="zh-CN"/>
        </w:rPr>
        <w:t>S</w:t>
      </w:r>
      <w:r w:rsidRPr="003738B0">
        <w:rPr>
          <w:lang w:eastAsia="zh-CN"/>
        </w:rPr>
        <w:t>atellite position prediction error</w:t>
      </w:r>
    </w:p>
    <w:p w:rsidR="00DA15BB" w:rsidRPr="00DA15BB" w:rsidRDefault="00DA15BB" w:rsidP="00DA15BB">
      <w:pPr>
        <w:overflowPunct w:val="0"/>
        <w:autoSpaceDE w:val="0"/>
        <w:autoSpaceDN w:val="0"/>
        <w:adjustRightInd w:val="0"/>
        <w:spacing w:beforeLines="0" w:before="120" w:afterLines="0" w:after="120"/>
        <w:textAlignment w:val="baseline"/>
        <w:rPr>
          <w:rFonts w:eastAsia="宋体"/>
          <w:lang w:eastAsia="zh-CN"/>
        </w:rPr>
      </w:pPr>
      <w:r w:rsidRPr="00DA15BB">
        <w:rPr>
          <w:rFonts w:eastAsia="宋体"/>
          <w:lang w:eastAsia="zh-CN"/>
        </w:rPr>
        <w:t xml:space="preserve">In this paper, we will provide our </w:t>
      </w:r>
      <w:r>
        <w:rPr>
          <w:rFonts w:eastAsia="宋体"/>
          <w:lang w:eastAsia="zh-CN"/>
        </w:rPr>
        <w:t>views on the general issues</w:t>
      </w:r>
      <w:r w:rsidRPr="00DA15BB">
        <w:rPr>
          <w:rFonts w:eastAsia="宋体"/>
          <w:lang w:eastAsia="zh-CN"/>
        </w:rPr>
        <w:t xml:space="preserve"> for NTN RRM. </w:t>
      </w:r>
    </w:p>
    <w:p w:rsidR="00754DE9" w:rsidRDefault="00B06084" w:rsidP="00754DE9">
      <w:pPr>
        <w:pStyle w:val="1"/>
        <w:jc w:val="both"/>
        <w:rPr>
          <w:lang w:val="en-US"/>
        </w:rPr>
      </w:pPr>
      <w:r>
        <w:rPr>
          <w:lang w:val="en-US"/>
        </w:rPr>
        <w:t>Discussion</w:t>
      </w:r>
    </w:p>
    <w:p w:rsidR="00DA15BB" w:rsidRDefault="00DA15BB" w:rsidP="00DA15BB">
      <w:pPr>
        <w:pStyle w:val="2"/>
        <w:rPr>
          <w:lang w:eastAsia="zh-CN"/>
        </w:rPr>
      </w:pPr>
      <w:r>
        <w:rPr>
          <w:rFonts w:hint="eastAsia"/>
          <w:lang w:eastAsia="zh-CN"/>
        </w:rPr>
        <w:t>T</w:t>
      </w:r>
      <w:r>
        <w:rPr>
          <w:lang w:eastAsia="zh-CN"/>
        </w:rPr>
        <w:t>N-NTN mobility</w:t>
      </w:r>
    </w:p>
    <w:tbl>
      <w:tblPr>
        <w:tblStyle w:val="af4"/>
        <w:tblW w:w="0" w:type="auto"/>
        <w:tblLook w:val="04A0" w:firstRow="1" w:lastRow="0" w:firstColumn="1" w:lastColumn="0" w:noHBand="0" w:noVBand="1"/>
      </w:tblPr>
      <w:tblGrid>
        <w:gridCol w:w="9621"/>
      </w:tblGrid>
      <w:tr w:rsidR="00DA15BB" w:rsidTr="00DA15BB">
        <w:tc>
          <w:tcPr>
            <w:tcW w:w="9621" w:type="dxa"/>
          </w:tcPr>
          <w:p w:rsidR="00DA15BB" w:rsidRPr="00DA15BB" w:rsidRDefault="00DA15BB" w:rsidP="00DA15BB">
            <w:pPr>
              <w:overflowPunct w:val="0"/>
              <w:autoSpaceDE w:val="0"/>
              <w:autoSpaceDN w:val="0"/>
              <w:adjustRightInd w:val="0"/>
              <w:spacing w:beforeLines="0" w:before="0" w:afterLines="0" w:after="180"/>
              <w:textAlignment w:val="baseline"/>
              <w:rPr>
                <w:b/>
                <w:sz w:val="20"/>
                <w:u w:val="single"/>
                <w:lang w:eastAsia="ko-KR"/>
              </w:rPr>
            </w:pPr>
            <w:r w:rsidRPr="00DA15BB">
              <w:rPr>
                <w:b/>
                <w:sz w:val="20"/>
                <w:highlight w:val="green"/>
                <w:u w:val="single"/>
                <w:lang w:eastAsia="ko-KR"/>
              </w:rPr>
              <w:t>Issue 1-1-4 TN-NTN</w:t>
            </w:r>
          </w:p>
          <w:p w:rsidR="00DA15BB" w:rsidRPr="00DA15BB" w:rsidRDefault="00DA15BB" w:rsidP="00DA15BB">
            <w:pPr>
              <w:numPr>
                <w:ilvl w:val="0"/>
                <w:numId w:val="19"/>
              </w:numPr>
              <w:overflowPunct w:val="0"/>
              <w:autoSpaceDE w:val="0"/>
              <w:autoSpaceDN w:val="0"/>
              <w:adjustRightInd w:val="0"/>
              <w:spacing w:beforeLines="0" w:before="0" w:afterLines="0" w:after="120" w:line="252" w:lineRule="auto"/>
              <w:textAlignment w:val="baseline"/>
              <w:rPr>
                <w:rFonts w:eastAsia="宋体"/>
                <w:bCs/>
                <w:snapToGrid w:val="0"/>
                <w:sz w:val="21"/>
                <w:szCs w:val="21"/>
                <w:highlight w:val="green"/>
                <w:lang w:val="x-none" w:eastAsia="x-none"/>
              </w:rPr>
            </w:pPr>
            <w:r w:rsidRPr="00DA15BB">
              <w:rPr>
                <w:rFonts w:eastAsia="宋体"/>
                <w:bCs/>
                <w:snapToGrid w:val="0"/>
                <w:sz w:val="21"/>
                <w:szCs w:val="21"/>
                <w:highlight w:val="green"/>
                <w:lang w:val="x-none" w:eastAsia="x-none"/>
              </w:rPr>
              <w:t>Agreements:</w:t>
            </w:r>
          </w:p>
          <w:p w:rsidR="00DA15BB" w:rsidRPr="00DA15BB" w:rsidRDefault="00DA15BB" w:rsidP="00DA15BB">
            <w:pPr>
              <w:numPr>
                <w:ilvl w:val="1"/>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For RRC Idle/Inactive mode</w:t>
            </w:r>
          </w:p>
          <w:p w:rsidR="00DA15BB" w:rsidRPr="00DA15BB" w:rsidRDefault="00DA15BB" w:rsidP="00DA15BB">
            <w:pPr>
              <w:numPr>
                <w:ilvl w:val="2"/>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Define measurement/mobility requirements within NTN</w:t>
            </w:r>
          </w:p>
          <w:p w:rsidR="00DA15BB" w:rsidRPr="00DA15BB" w:rsidRDefault="00DA15BB" w:rsidP="00DA15BB">
            <w:pPr>
              <w:numPr>
                <w:ilvl w:val="2"/>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Define measurement/mobility requirements for TN-NTN</w:t>
            </w:r>
          </w:p>
          <w:p w:rsidR="00DA15BB" w:rsidRPr="00DA15BB" w:rsidRDefault="00DA15BB" w:rsidP="00DA15BB">
            <w:pPr>
              <w:numPr>
                <w:ilvl w:val="2"/>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Note: Inactive mode decision can be revisited in case the use case is deprioritized in other WGs</w:t>
            </w:r>
          </w:p>
          <w:p w:rsidR="00DA15BB" w:rsidRPr="00DA15BB" w:rsidRDefault="00DA15BB" w:rsidP="00DA15BB">
            <w:pPr>
              <w:numPr>
                <w:ilvl w:val="1"/>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For RRC Connected</w:t>
            </w:r>
          </w:p>
          <w:p w:rsidR="00DA15BB" w:rsidRPr="00DA15BB" w:rsidRDefault="00DA15BB" w:rsidP="00DA15BB">
            <w:pPr>
              <w:numPr>
                <w:ilvl w:val="2"/>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Define measurement/mobility requirements within NTN</w:t>
            </w:r>
          </w:p>
          <w:p w:rsidR="00DA15BB" w:rsidRPr="00DA15BB" w:rsidRDefault="00DA15BB" w:rsidP="00DA15BB">
            <w:pPr>
              <w:numPr>
                <w:ilvl w:val="2"/>
                <w:numId w:val="19"/>
              </w:numPr>
              <w:overflowPunct w:val="0"/>
              <w:autoSpaceDE w:val="0"/>
              <w:autoSpaceDN w:val="0"/>
              <w:adjustRightInd w:val="0"/>
              <w:spacing w:beforeLines="0" w:before="0" w:afterLines="0" w:after="120"/>
              <w:textAlignment w:val="baseline"/>
              <w:rPr>
                <w:rFonts w:eastAsia="宋体"/>
                <w:snapToGrid w:val="0"/>
                <w:sz w:val="21"/>
                <w:szCs w:val="21"/>
                <w:highlight w:val="green"/>
                <w:lang w:val="x-none" w:eastAsia="x-none"/>
              </w:rPr>
            </w:pPr>
            <w:r w:rsidRPr="00DA15BB">
              <w:rPr>
                <w:rFonts w:eastAsia="宋体"/>
                <w:snapToGrid w:val="0"/>
                <w:sz w:val="21"/>
                <w:szCs w:val="21"/>
                <w:highlight w:val="green"/>
                <w:lang w:val="x-none" w:eastAsia="x-none"/>
              </w:rPr>
              <w:t>FFS whether to define measurement/mobility requirements for TN-NTN</w:t>
            </w:r>
          </w:p>
        </w:tc>
      </w:tr>
    </w:tbl>
    <w:p w:rsidR="00DA15BB" w:rsidRDefault="00DA15BB" w:rsidP="00DA15BB">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AN2#115-e has agreed to </w:t>
      </w:r>
      <w:r>
        <w:t>down priorities further enhancements for connected mode for Rel-17 for TN-NTN mobility. In our understanding, this means there is only basic support for the TN-NTN mobility for connected mode, and no spe</w:t>
      </w:r>
      <w:r w:rsidR="00655615">
        <w:t>cific enhancement will be introduced.</w:t>
      </w:r>
    </w:p>
    <w:tbl>
      <w:tblPr>
        <w:tblStyle w:val="af4"/>
        <w:tblW w:w="0" w:type="auto"/>
        <w:tblLook w:val="04A0" w:firstRow="1" w:lastRow="0" w:firstColumn="1" w:lastColumn="0" w:noHBand="0" w:noVBand="1"/>
      </w:tblPr>
      <w:tblGrid>
        <w:gridCol w:w="9621"/>
      </w:tblGrid>
      <w:tr w:rsidR="00DA15BB" w:rsidTr="00DA15BB">
        <w:tc>
          <w:tcPr>
            <w:tcW w:w="9621" w:type="dxa"/>
          </w:tcPr>
          <w:p w:rsidR="00DA15BB" w:rsidRDefault="00DA15BB" w:rsidP="00DA15BB">
            <w:pPr>
              <w:spacing w:before="120" w:after="120"/>
              <w:rPr>
                <w:rFonts w:eastAsiaTheme="minorEastAsia"/>
                <w:lang w:eastAsia="zh-CN"/>
              </w:rPr>
            </w:pPr>
            <w:r>
              <w:t>3.</w:t>
            </w:r>
            <w:r>
              <w:tab/>
              <w:t xml:space="preserve">RAN2 down priorities further </w:t>
            </w:r>
            <w:proofErr w:type="spellStart"/>
            <w:r>
              <w:t>enhacnements</w:t>
            </w:r>
            <w:proofErr w:type="spellEnd"/>
            <w:r>
              <w:t xml:space="preserve"> for connected mode for Rel-17 for TN-NTN mobility</w:t>
            </w:r>
          </w:p>
        </w:tc>
      </w:tr>
    </w:tbl>
    <w:p w:rsidR="00655615" w:rsidRDefault="00655615" w:rsidP="00816F95">
      <w:pPr>
        <w:spacing w:before="120" w:after="120"/>
        <w:rPr>
          <w:rFonts w:eastAsiaTheme="minorEastAsia"/>
          <w:lang w:eastAsia="zh-CN"/>
        </w:rPr>
      </w:pPr>
      <w:r>
        <w:rPr>
          <w:rFonts w:eastAsiaTheme="minorEastAsia"/>
          <w:lang w:eastAsia="zh-CN"/>
        </w:rPr>
        <w:t>Following the same principle, RAN4 may de-prioritize TN-NTN mobility in connected mode, including HO, re-establishment and re-direction from NTN to TN or vice versa.</w:t>
      </w:r>
      <w:r w:rsidR="00816F95">
        <w:rPr>
          <w:rFonts w:eastAsiaTheme="minorEastAsia" w:hint="eastAsia"/>
          <w:lang w:eastAsia="zh-CN"/>
        </w:rPr>
        <w:t xml:space="preserve"> </w:t>
      </w:r>
      <w:r>
        <w:rPr>
          <w:rFonts w:eastAsiaTheme="minorEastAsia"/>
          <w:lang w:eastAsia="zh-CN"/>
        </w:rPr>
        <w:t xml:space="preserve">For the measurement requirements, it means there will be no applicable requirements for </w:t>
      </w:r>
      <w:r>
        <w:rPr>
          <w:rFonts w:eastAsiaTheme="minorEastAsia" w:hint="eastAsia"/>
          <w:lang w:eastAsia="zh-CN"/>
        </w:rPr>
        <w:t>U</w:t>
      </w:r>
      <w:r>
        <w:rPr>
          <w:rFonts w:eastAsiaTheme="minorEastAsia"/>
          <w:lang w:eastAsia="zh-CN"/>
        </w:rPr>
        <w:t>E in TN and configured with NTN MO, or</w:t>
      </w:r>
      <w:r w:rsidR="00816F95">
        <w:rPr>
          <w:rFonts w:eastAsiaTheme="minorEastAsia"/>
          <w:lang w:eastAsia="zh-CN"/>
        </w:rPr>
        <w:t xml:space="preserve"> </w:t>
      </w:r>
      <w:r>
        <w:rPr>
          <w:rFonts w:eastAsiaTheme="minorEastAsia"/>
          <w:lang w:eastAsia="zh-CN"/>
        </w:rPr>
        <w:t>UE in NTN and configured with TN MO</w:t>
      </w:r>
      <w:r w:rsidR="00816F95">
        <w:rPr>
          <w:rFonts w:eastAsiaTheme="minorEastAsia"/>
          <w:lang w:eastAsia="zh-CN"/>
        </w:rPr>
        <w:t>.</w:t>
      </w:r>
    </w:p>
    <w:p w:rsidR="00816F95" w:rsidRDefault="00816F95" w:rsidP="00816F95">
      <w:pPr>
        <w:spacing w:before="120" w:after="120"/>
        <w:rPr>
          <w:rFonts w:eastAsiaTheme="minorEastAsia"/>
          <w:lang w:eastAsia="zh-CN"/>
        </w:rPr>
      </w:pPr>
      <w:r>
        <w:rPr>
          <w:rFonts w:eastAsiaTheme="minorEastAsia"/>
          <w:lang w:eastAsia="zh-CN"/>
        </w:rPr>
        <w:t xml:space="preserve">Defining mobility and measurement requirements for connected mode TN-NTN mobility would require RAN4 efforts, and considering that the RRM requirements for basic intra-NTN mobility and measurement are still pre-mature, we prefer to leave them to future releases. </w:t>
      </w:r>
    </w:p>
    <w:p w:rsidR="00816F95" w:rsidRPr="00816F95" w:rsidRDefault="00816F95" w:rsidP="00816F95">
      <w:pPr>
        <w:spacing w:before="120" w:after="120"/>
        <w:rPr>
          <w:rFonts w:eastAsiaTheme="minorEastAsia"/>
          <w:b/>
          <w:lang w:eastAsia="zh-CN"/>
        </w:rPr>
      </w:pPr>
      <w:r w:rsidRPr="00816F95">
        <w:rPr>
          <w:rFonts w:eastAsiaTheme="minorEastAsia" w:hint="eastAsia"/>
          <w:b/>
          <w:lang w:eastAsia="zh-CN"/>
        </w:rPr>
        <w:t>P</w:t>
      </w:r>
      <w:r w:rsidRPr="00816F95">
        <w:rPr>
          <w:rFonts w:eastAsiaTheme="minorEastAsia"/>
          <w:b/>
          <w:lang w:eastAsia="zh-CN"/>
        </w:rPr>
        <w:t>roposal 1: RAN4 not to define measurement/mobility requirements for TN-NTN in Rel-17.</w:t>
      </w:r>
    </w:p>
    <w:p w:rsidR="00DA15BB" w:rsidRDefault="00DA15BB" w:rsidP="00DA15BB">
      <w:pPr>
        <w:pStyle w:val="2"/>
        <w:rPr>
          <w:lang w:eastAsia="zh-CN"/>
        </w:rPr>
      </w:pPr>
      <w:r>
        <w:rPr>
          <w:lang w:eastAsia="zh-CN"/>
        </w:rPr>
        <w:lastRenderedPageBreak/>
        <w:t>Side conditions</w:t>
      </w:r>
    </w:p>
    <w:tbl>
      <w:tblPr>
        <w:tblStyle w:val="af4"/>
        <w:tblW w:w="0" w:type="auto"/>
        <w:tblLook w:val="04A0" w:firstRow="1" w:lastRow="0" w:firstColumn="1" w:lastColumn="0" w:noHBand="0" w:noVBand="1"/>
      </w:tblPr>
      <w:tblGrid>
        <w:gridCol w:w="9621"/>
      </w:tblGrid>
      <w:tr w:rsidR="00816F95" w:rsidTr="00816F95">
        <w:tc>
          <w:tcPr>
            <w:tcW w:w="9621" w:type="dxa"/>
          </w:tcPr>
          <w:p w:rsidR="00816F95" w:rsidRPr="00816F95" w:rsidRDefault="00816F95" w:rsidP="00816F95">
            <w:pPr>
              <w:overflowPunct w:val="0"/>
              <w:autoSpaceDE w:val="0"/>
              <w:autoSpaceDN w:val="0"/>
              <w:adjustRightInd w:val="0"/>
              <w:spacing w:beforeLines="0" w:before="0" w:afterLines="0" w:after="180"/>
              <w:textAlignment w:val="baseline"/>
              <w:rPr>
                <w:b/>
                <w:sz w:val="20"/>
                <w:u w:val="single"/>
                <w:lang w:eastAsia="ko-KR"/>
              </w:rPr>
            </w:pPr>
            <w:r w:rsidRPr="00816F95">
              <w:rPr>
                <w:b/>
                <w:sz w:val="20"/>
                <w:highlight w:val="cyan"/>
                <w:u w:val="single"/>
                <w:lang w:eastAsia="ko-KR"/>
              </w:rPr>
              <w:t>Issue 1-2-1 Side Condition</w:t>
            </w:r>
          </w:p>
          <w:p w:rsidR="00816F95" w:rsidRPr="00816F95" w:rsidRDefault="00816F95" w:rsidP="00816F95">
            <w:pPr>
              <w:overflowPunct w:val="0"/>
              <w:autoSpaceDE w:val="0"/>
              <w:autoSpaceDN w:val="0"/>
              <w:adjustRightInd w:val="0"/>
              <w:spacing w:beforeLines="0" w:before="0" w:afterLines="0" w:after="120"/>
              <w:ind w:firstLine="284"/>
              <w:textAlignment w:val="baseline"/>
              <w:rPr>
                <w:sz w:val="20"/>
                <w:szCs w:val="24"/>
                <w:lang w:eastAsia="zh-CN"/>
              </w:rPr>
            </w:pPr>
            <w:r w:rsidRPr="00816F95">
              <w:rPr>
                <w:sz w:val="20"/>
                <w:szCs w:val="24"/>
                <w:highlight w:val="green"/>
                <w:lang w:eastAsia="zh-CN"/>
              </w:rPr>
              <w:t>Agreement:</w:t>
            </w:r>
          </w:p>
          <w:p w:rsidR="00816F95" w:rsidRPr="00816F95" w:rsidRDefault="00816F95" w:rsidP="00816F95">
            <w:pPr>
              <w:numPr>
                <w:ilvl w:val="0"/>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宋体"/>
                <w:snapToGrid w:val="0"/>
                <w:sz w:val="21"/>
                <w:szCs w:val="24"/>
                <w:lang w:val="x-none" w:eastAsia="zh-CN"/>
              </w:rPr>
              <w:t>For non-LEO, reuse the same side conditions as legacy, i.e. Rel-15/16.</w:t>
            </w:r>
          </w:p>
          <w:p w:rsidR="00816F95" w:rsidRPr="00816F95" w:rsidRDefault="00816F95" w:rsidP="00816F95">
            <w:pPr>
              <w:numPr>
                <w:ilvl w:val="0"/>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宋体"/>
                <w:snapToGrid w:val="0"/>
                <w:sz w:val="21"/>
                <w:szCs w:val="24"/>
                <w:lang w:val="x-none" w:eastAsia="zh-CN"/>
              </w:rPr>
              <w:t>For LEO, RAN4 to further discuss the following options</w:t>
            </w:r>
          </w:p>
          <w:p w:rsidR="00816F95" w:rsidRPr="00816F95" w:rsidRDefault="00816F95" w:rsidP="00816F95">
            <w:pPr>
              <w:numPr>
                <w:ilvl w:val="1"/>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宋体"/>
                <w:snapToGrid w:val="0"/>
                <w:sz w:val="21"/>
                <w:szCs w:val="24"/>
                <w:lang w:val="x-none" w:eastAsia="zh-CN"/>
              </w:rPr>
              <w:t>Option 1: Keep the same side conditions as legacy</w:t>
            </w:r>
          </w:p>
          <w:p w:rsidR="00816F95" w:rsidRPr="00816F95" w:rsidRDefault="00816F95" w:rsidP="00816F95">
            <w:pPr>
              <w:numPr>
                <w:ilvl w:val="1"/>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PMingLiU"/>
                <w:snapToGrid w:val="0"/>
                <w:sz w:val="21"/>
                <w:szCs w:val="24"/>
                <w:lang w:val="x-none" w:eastAsia="zh-TW"/>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rsidR="00816F95" w:rsidRPr="00816F95" w:rsidRDefault="00816F95" w:rsidP="00816F95">
            <w:pPr>
              <w:numPr>
                <w:ilvl w:val="1"/>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宋体"/>
                <w:snapToGrid w:val="0"/>
                <w:sz w:val="21"/>
                <w:szCs w:val="24"/>
                <w:lang w:val="x-none" w:eastAsia="zh-CN"/>
              </w:rPr>
              <w:t>(Note) Different options can be selected depending on whether the cell is earth-(quasi)fixed or earth-moving cell.</w:t>
            </w:r>
          </w:p>
          <w:p w:rsidR="00816F95" w:rsidRPr="00816F95" w:rsidRDefault="00816F95" w:rsidP="00816F95">
            <w:pPr>
              <w:numPr>
                <w:ilvl w:val="1"/>
                <w:numId w:val="42"/>
              </w:numPr>
              <w:overflowPunct w:val="0"/>
              <w:autoSpaceDE w:val="0"/>
              <w:autoSpaceDN w:val="0"/>
              <w:adjustRightInd w:val="0"/>
              <w:spacing w:beforeLines="0" w:before="0" w:afterLines="0" w:after="120"/>
              <w:textAlignment w:val="baseline"/>
              <w:rPr>
                <w:rFonts w:eastAsia="宋体"/>
                <w:snapToGrid w:val="0"/>
                <w:sz w:val="21"/>
                <w:szCs w:val="24"/>
                <w:lang w:val="x-none" w:eastAsia="zh-CN"/>
              </w:rPr>
            </w:pPr>
            <w:r w:rsidRPr="00816F95">
              <w:rPr>
                <w:rFonts w:eastAsia="宋体"/>
                <w:snapToGrid w:val="0"/>
                <w:sz w:val="21"/>
                <w:szCs w:val="24"/>
                <w:lang w:val="x-none" w:eastAsia="zh-CN"/>
              </w:rPr>
              <w:t>(Note) Potential issues related to side condition and cell search/measurement period are presented in R4-2111935</w:t>
            </w:r>
          </w:p>
        </w:tc>
      </w:tr>
    </w:tbl>
    <w:p w:rsidR="00816F95" w:rsidRDefault="008A330E" w:rsidP="008A330E">
      <w:pPr>
        <w:spacing w:before="120" w:after="120"/>
        <w:rPr>
          <w:rFonts w:eastAsiaTheme="minorEastAsia"/>
          <w:lang w:eastAsia="zh-CN"/>
        </w:rPr>
      </w:pPr>
      <w:r>
        <w:rPr>
          <w:rFonts w:eastAsiaTheme="minorEastAsia"/>
          <w:lang w:eastAsia="zh-CN"/>
        </w:rPr>
        <w:t>Based on the link budget study in the TR 38.821, it is feasible to re-use the Rel-15/16 side conditions for all GEO/LEO scenarios. This is also confirmed by our system level simulation [2] where for all cases the SINR of the serving beam is larger than -6dB, and there is reasonable number of neighbour beams above -6dB.</w:t>
      </w:r>
    </w:p>
    <w:p w:rsidR="008A330E" w:rsidRDefault="00095785" w:rsidP="008A330E">
      <w:pPr>
        <w:spacing w:before="120" w:after="120"/>
        <w:rPr>
          <w:rFonts w:eastAsiaTheme="minorEastAsia"/>
          <w:lang w:eastAsia="zh-CN"/>
        </w:rPr>
      </w:pPr>
      <w:r>
        <w:rPr>
          <w:rFonts w:eastAsiaTheme="minorEastAsia"/>
          <w:lang w:eastAsia="zh-CN"/>
        </w:rPr>
        <w:t>One issue was raised in [3]:</w:t>
      </w:r>
    </w:p>
    <w:tbl>
      <w:tblPr>
        <w:tblStyle w:val="af4"/>
        <w:tblW w:w="0" w:type="auto"/>
        <w:tblLook w:val="04A0" w:firstRow="1" w:lastRow="0" w:firstColumn="1" w:lastColumn="0" w:noHBand="0" w:noVBand="1"/>
      </w:tblPr>
      <w:tblGrid>
        <w:gridCol w:w="9621"/>
      </w:tblGrid>
      <w:tr w:rsidR="008A330E" w:rsidTr="008A330E">
        <w:tc>
          <w:tcPr>
            <w:tcW w:w="9621" w:type="dxa"/>
          </w:tcPr>
          <w:p w:rsidR="008A330E" w:rsidRDefault="008A330E" w:rsidP="008A330E">
            <w:pPr>
              <w:spacing w:before="120" w:after="120"/>
              <w:rPr>
                <w:rFonts w:eastAsiaTheme="minorEastAsia"/>
                <w:lang w:eastAsia="zh-CN"/>
              </w:rPr>
            </w:pPr>
            <w:r>
              <w:rPr>
                <w:sz w:val="20"/>
              </w:rPr>
              <w:t xml:space="preserve">For LEO NTN system, the UE can stay in a cell only several ten seconds. The cell search and measurement period should be shorter. Based on the requirements in current RRM specification, 15 samples will be used for cell search in -6dB </w:t>
            </w:r>
            <w:proofErr w:type="spellStart"/>
            <w:r>
              <w:rPr>
                <w:sz w:val="20"/>
              </w:rPr>
              <w:t>Es</w:t>
            </w:r>
            <w:proofErr w:type="spellEnd"/>
            <w:r>
              <w:rPr>
                <w:sz w:val="20"/>
              </w:rPr>
              <w:t>/</w:t>
            </w:r>
            <w:proofErr w:type="spellStart"/>
            <w:r>
              <w:rPr>
                <w:sz w:val="20"/>
              </w:rPr>
              <w:t>Iot</w:t>
            </w:r>
            <w:proofErr w:type="spellEnd"/>
            <w:r>
              <w:rPr>
                <w:sz w:val="20"/>
              </w:rPr>
              <w:t xml:space="preserve"> side condition and one sample (one SMTC) will be used for cell search in -2dB </w:t>
            </w:r>
            <w:proofErr w:type="spellStart"/>
            <w:r>
              <w:rPr>
                <w:sz w:val="20"/>
              </w:rPr>
              <w:t>Es</w:t>
            </w:r>
            <w:proofErr w:type="spellEnd"/>
            <w:r>
              <w:rPr>
                <w:sz w:val="20"/>
              </w:rPr>
              <w:t>/</w:t>
            </w:r>
            <w:proofErr w:type="spellStart"/>
            <w:r>
              <w:rPr>
                <w:sz w:val="20"/>
              </w:rPr>
              <w:t>Iot</w:t>
            </w:r>
            <w:proofErr w:type="spellEnd"/>
            <w:r>
              <w:rPr>
                <w:sz w:val="20"/>
              </w:rPr>
              <w:t xml:space="preserve"> side condition. 15 samples in 640ms DRX cycle will be 9.6s, it is too long for measurement in LEO cell.</w:t>
            </w:r>
          </w:p>
        </w:tc>
      </w:tr>
    </w:tbl>
    <w:p w:rsidR="008A330E" w:rsidRDefault="00095785" w:rsidP="008A330E">
      <w:pPr>
        <w:spacing w:before="120" w:after="120"/>
        <w:rPr>
          <w:rFonts w:eastAsiaTheme="minorEastAsia"/>
          <w:lang w:eastAsia="zh-CN"/>
        </w:rPr>
      </w:pPr>
      <w:r>
        <w:rPr>
          <w:rFonts w:eastAsiaTheme="minorEastAsia"/>
          <w:lang w:eastAsia="zh-CN"/>
        </w:rPr>
        <w:t>Based on our simulation results [2] the dwell time for the serving beam should be on the order of several minutes, so in most cases the existing measurement requirements is sufficient even with long DRX cycle.</w:t>
      </w:r>
      <w:r w:rsidR="009A2DC9">
        <w:rPr>
          <w:rFonts w:eastAsiaTheme="minorEastAsia"/>
          <w:lang w:eastAsia="zh-CN"/>
        </w:rPr>
        <w:t xml:space="preserve"> We </w:t>
      </w:r>
      <w:r>
        <w:rPr>
          <w:rFonts w:eastAsiaTheme="minorEastAsia"/>
          <w:lang w:eastAsia="zh-CN"/>
        </w:rPr>
        <w:t xml:space="preserve">suggest to also re-use the Rel-15/16 side condition for LEO, which would </w:t>
      </w:r>
      <w:r w:rsidR="009A2DC9">
        <w:rPr>
          <w:rFonts w:eastAsiaTheme="minorEastAsia"/>
          <w:lang w:eastAsia="zh-CN"/>
        </w:rPr>
        <w:t>benefit the</w:t>
      </w:r>
      <w:r>
        <w:rPr>
          <w:rFonts w:eastAsiaTheme="minorEastAsia"/>
          <w:lang w:eastAsia="zh-CN"/>
        </w:rPr>
        <w:t xml:space="preserve"> coverage with reasonable performance. </w:t>
      </w:r>
      <w:r w:rsidR="009A2DC9">
        <w:rPr>
          <w:rFonts w:eastAsiaTheme="minorEastAsia"/>
          <w:lang w:eastAsia="zh-CN"/>
        </w:rPr>
        <w:t>Although our simulation is for earth fixed cell, we understand for earth moving cell, the dwell time is on the similar scale.</w:t>
      </w:r>
    </w:p>
    <w:p w:rsidR="009A2DC9" w:rsidRPr="009A2DC9" w:rsidRDefault="009A2DC9" w:rsidP="008A330E">
      <w:pPr>
        <w:spacing w:before="120" w:after="120"/>
        <w:rPr>
          <w:rFonts w:eastAsiaTheme="minorEastAsia"/>
          <w:b/>
          <w:lang w:eastAsia="zh-CN"/>
        </w:rPr>
      </w:pPr>
      <w:r w:rsidRPr="009A2DC9">
        <w:rPr>
          <w:rFonts w:eastAsiaTheme="minorEastAsia"/>
          <w:b/>
          <w:lang w:eastAsia="zh-CN"/>
        </w:rPr>
        <w:t xml:space="preserve">Proposal 2: </w:t>
      </w:r>
      <w:r>
        <w:rPr>
          <w:rFonts w:eastAsiaTheme="minorEastAsia"/>
          <w:b/>
          <w:lang w:eastAsia="zh-CN"/>
        </w:rPr>
        <w:t>R</w:t>
      </w:r>
      <w:r w:rsidRPr="009A2DC9">
        <w:rPr>
          <w:rFonts w:eastAsiaTheme="minorEastAsia"/>
          <w:b/>
          <w:lang w:eastAsia="zh-CN"/>
        </w:rPr>
        <w:t>euse the same side conditions as legacy</w:t>
      </w:r>
      <w:r>
        <w:rPr>
          <w:rFonts w:eastAsiaTheme="minorEastAsia"/>
          <w:b/>
          <w:lang w:eastAsia="zh-CN"/>
        </w:rPr>
        <w:t xml:space="preserve"> for LEO scenarios.</w:t>
      </w:r>
    </w:p>
    <w:p w:rsidR="00DA15BB" w:rsidRPr="00DA15BB" w:rsidRDefault="00DA15BB" w:rsidP="00DA15BB">
      <w:pPr>
        <w:pStyle w:val="2"/>
        <w:rPr>
          <w:lang w:eastAsia="zh-CN"/>
        </w:rPr>
      </w:pPr>
      <w:r>
        <w:rPr>
          <w:lang w:eastAsia="zh-CN"/>
        </w:rPr>
        <w:t>S</w:t>
      </w:r>
      <w:r w:rsidRPr="003738B0">
        <w:rPr>
          <w:lang w:eastAsia="zh-CN"/>
        </w:rPr>
        <w:t>atellite position prediction error</w:t>
      </w:r>
    </w:p>
    <w:tbl>
      <w:tblPr>
        <w:tblStyle w:val="af4"/>
        <w:tblW w:w="0" w:type="auto"/>
        <w:tblLook w:val="04A0" w:firstRow="1" w:lastRow="0" w:firstColumn="1" w:lastColumn="0" w:noHBand="0" w:noVBand="1"/>
      </w:tblPr>
      <w:tblGrid>
        <w:gridCol w:w="9621"/>
      </w:tblGrid>
      <w:tr w:rsidR="00175DE2" w:rsidTr="00175DE2">
        <w:tc>
          <w:tcPr>
            <w:tcW w:w="9621" w:type="dxa"/>
          </w:tcPr>
          <w:p w:rsidR="00175DE2" w:rsidRPr="00175DE2" w:rsidRDefault="00175DE2" w:rsidP="00175DE2">
            <w:pPr>
              <w:overflowPunct w:val="0"/>
              <w:autoSpaceDE w:val="0"/>
              <w:autoSpaceDN w:val="0"/>
              <w:adjustRightInd w:val="0"/>
              <w:spacing w:beforeLines="0" w:before="0" w:afterLines="0" w:after="180"/>
              <w:textAlignment w:val="baseline"/>
              <w:rPr>
                <w:b/>
                <w:sz w:val="20"/>
                <w:highlight w:val="cyan"/>
                <w:u w:val="single"/>
                <w:lang w:eastAsia="ko-KR"/>
              </w:rPr>
            </w:pPr>
            <w:r w:rsidRPr="00175DE2">
              <w:rPr>
                <w:b/>
                <w:sz w:val="20"/>
                <w:highlight w:val="cyan"/>
                <w:u w:val="single"/>
                <w:lang w:eastAsia="ko-KR"/>
              </w:rPr>
              <w:t>Issue 1-2-4 UE/Satellite Position Acquisition</w:t>
            </w:r>
          </w:p>
          <w:p w:rsidR="00175DE2" w:rsidRPr="00175DE2" w:rsidRDefault="00175DE2" w:rsidP="00175DE2">
            <w:pPr>
              <w:overflowPunct w:val="0"/>
              <w:autoSpaceDE w:val="0"/>
              <w:autoSpaceDN w:val="0"/>
              <w:adjustRightInd w:val="0"/>
              <w:spacing w:beforeLines="0" w:before="0" w:afterLines="0" w:after="120"/>
              <w:ind w:firstLine="284"/>
              <w:textAlignment w:val="baseline"/>
              <w:rPr>
                <w:sz w:val="20"/>
                <w:szCs w:val="24"/>
                <w:lang w:eastAsia="zh-CN"/>
              </w:rPr>
            </w:pPr>
            <w:r w:rsidRPr="00175DE2">
              <w:rPr>
                <w:sz w:val="20"/>
                <w:szCs w:val="24"/>
                <w:highlight w:val="green"/>
                <w:lang w:eastAsia="zh-CN"/>
              </w:rPr>
              <w:t>Agreement:</w:t>
            </w:r>
          </w:p>
          <w:p w:rsidR="00175DE2" w:rsidRPr="00175DE2" w:rsidRDefault="00175DE2" w:rsidP="00175DE2">
            <w:pPr>
              <w:numPr>
                <w:ilvl w:val="0"/>
                <w:numId w:val="35"/>
              </w:numPr>
              <w:overflowPunct w:val="0"/>
              <w:autoSpaceDE w:val="0"/>
              <w:autoSpaceDN w:val="0"/>
              <w:adjustRightInd w:val="0"/>
              <w:spacing w:beforeLines="0" w:before="0" w:afterLines="0" w:after="180"/>
              <w:textAlignment w:val="baseline"/>
              <w:rPr>
                <w:sz w:val="20"/>
                <w:lang w:eastAsia="zh-CN"/>
              </w:rPr>
            </w:pPr>
            <w:r w:rsidRPr="00175DE2">
              <w:rPr>
                <w:sz w:val="20"/>
                <w:lang w:val="x-none" w:eastAsia="zh-CN"/>
              </w:rPr>
              <w:t>GNSS validity (IDC issue) will be further discussed once the relevant agreements/observations are further made in RF session</w:t>
            </w:r>
            <w:r w:rsidRPr="00175DE2">
              <w:rPr>
                <w:sz w:val="20"/>
                <w:lang w:eastAsia="zh-CN"/>
              </w:rPr>
              <w:t>.</w:t>
            </w:r>
          </w:p>
          <w:p w:rsidR="00175DE2" w:rsidRPr="00175DE2" w:rsidRDefault="00175DE2" w:rsidP="00175DE2">
            <w:pPr>
              <w:numPr>
                <w:ilvl w:val="0"/>
                <w:numId w:val="35"/>
              </w:numPr>
              <w:overflowPunct w:val="0"/>
              <w:autoSpaceDE w:val="0"/>
              <w:autoSpaceDN w:val="0"/>
              <w:adjustRightInd w:val="0"/>
              <w:spacing w:beforeLines="0" w:before="0" w:afterLines="0" w:after="180"/>
              <w:textAlignment w:val="baseline"/>
              <w:rPr>
                <w:sz w:val="20"/>
                <w:lang w:eastAsia="zh-CN"/>
              </w:rPr>
            </w:pPr>
            <w:r w:rsidRPr="00175DE2">
              <w:rPr>
                <w:sz w:val="20"/>
                <w:lang w:eastAsia="zh-CN"/>
              </w:rPr>
              <w:t>If necessary, a satellite position prediction error can be modelled and counted into UE requirements. Here, the model of satellite position prediction error at least UE estimation inaccuracy.</w:t>
            </w:r>
          </w:p>
          <w:p w:rsidR="00175DE2" w:rsidRPr="00175DE2" w:rsidRDefault="00175DE2" w:rsidP="00175DE2">
            <w:pPr>
              <w:numPr>
                <w:ilvl w:val="1"/>
                <w:numId w:val="35"/>
              </w:numPr>
              <w:overflowPunct w:val="0"/>
              <w:autoSpaceDE w:val="0"/>
              <w:autoSpaceDN w:val="0"/>
              <w:adjustRightInd w:val="0"/>
              <w:spacing w:beforeLines="0" w:before="0" w:afterLines="0" w:after="180"/>
              <w:textAlignment w:val="baseline"/>
              <w:rPr>
                <w:sz w:val="20"/>
                <w:lang w:eastAsia="zh-CN"/>
              </w:rPr>
            </w:pPr>
            <w:r w:rsidRPr="00175DE2">
              <w:rPr>
                <w:sz w:val="20"/>
                <w:lang w:eastAsia="zh-CN"/>
              </w:rPr>
              <w:t>FFS on whether the model will also include ephemeris information inaccuracy from network.</w:t>
            </w:r>
          </w:p>
          <w:p w:rsidR="00175DE2" w:rsidRPr="00175DE2" w:rsidRDefault="00175DE2" w:rsidP="00175DE2">
            <w:pPr>
              <w:numPr>
                <w:ilvl w:val="1"/>
                <w:numId w:val="35"/>
              </w:numPr>
              <w:overflowPunct w:val="0"/>
              <w:autoSpaceDE w:val="0"/>
              <w:autoSpaceDN w:val="0"/>
              <w:adjustRightInd w:val="0"/>
              <w:spacing w:beforeLines="0" w:before="0" w:afterLines="0" w:after="180"/>
              <w:textAlignment w:val="baseline"/>
              <w:rPr>
                <w:sz w:val="20"/>
                <w:lang w:eastAsia="zh-CN"/>
              </w:rPr>
            </w:pPr>
            <w:r w:rsidRPr="00175DE2">
              <w:rPr>
                <w:sz w:val="20"/>
                <w:lang w:eastAsia="zh-CN"/>
              </w:rPr>
              <w:t>FFS on whether and how much impact are foreseen.</w:t>
            </w:r>
          </w:p>
        </w:tc>
      </w:tr>
    </w:tbl>
    <w:p w:rsidR="00AF0204" w:rsidRPr="00AF0204" w:rsidRDefault="00AF0204" w:rsidP="00AF0204">
      <w:pPr>
        <w:spacing w:before="120" w:after="120"/>
        <w:rPr>
          <w:rFonts w:eastAsia="Times New Roman"/>
          <w:szCs w:val="22"/>
          <w:lang w:val="en-US"/>
        </w:rPr>
      </w:pPr>
      <w:r w:rsidRPr="00AF0204">
        <w:rPr>
          <w:rFonts w:eastAsiaTheme="minorEastAsia"/>
          <w:lang w:val="en-US" w:eastAsia="zh-CN"/>
        </w:rPr>
        <w:t xml:space="preserve">In our understanding, RAN4 may need to determine assumption on the PV accuracy so that it can be used in defining specific RRM requirements. For example, in timing requirements, the accuracy of </w:t>
      </w:r>
      <w:r w:rsidRPr="00AF0204">
        <w:rPr>
          <w:rFonts w:eastAsia="Times New Roman"/>
          <w:szCs w:val="22"/>
          <w:lang w:val="en-US"/>
        </w:rPr>
        <w:t xml:space="preserve">self-estimated TA depends on how accurate UE can predict the location of the satellite. </w:t>
      </w:r>
    </w:p>
    <w:p w:rsidR="00AF0204" w:rsidRPr="00AF0204" w:rsidRDefault="00AF0204" w:rsidP="00AF0204">
      <w:pPr>
        <w:spacing w:before="120" w:after="120"/>
        <w:rPr>
          <w:rFonts w:eastAsiaTheme="minorEastAsia"/>
          <w:lang w:val="en-US" w:eastAsia="zh-CN"/>
        </w:rPr>
      </w:pPr>
      <w:r w:rsidRPr="00AF0204">
        <w:rPr>
          <w:rFonts w:eastAsiaTheme="minorEastAsia"/>
          <w:lang w:val="en-US" w:eastAsia="zh-CN"/>
        </w:rPr>
        <w:t>Based on our understanding, the PV accuracy depends on mainly two factors</w:t>
      </w:r>
    </w:p>
    <w:p w:rsidR="00AF0204" w:rsidRPr="00AF0204" w:rsidRDefault="00AF0204" w:rsidP="00AF0204">
      <w:pPr>
        <w:numPr>
          <w:ilvl w:val="0"/>
          <w:numId w:val="10"/>
        </w:numPr>
        <w:spacing w:before="120" w:after="120"/>
        <w:rPr>
          <w:rFonts w:eastAsiaTheme="minorEastAsia"/>
          <w:szCs w:val="24"/>
          <w:lang w:val="en-US" w:eastAsia="zh-CN"/>
        </w:rPr>
      </w:pPr>
      <w:r w:rsidRPr="00AF0204">
        <w:rPr>
          <w:rFonts w:eastAsiaTheme="minorEastAsia"/>
          <w:szCs w:val="24"/>
          <w:lang w:val="en-US" w:eastAsia="zh-CN"/>
        </w:rPr>
        <w:lastRenderedPageBreak/>
        <w:t xml:space="preserve">The precision of the ephemeris data </w:t>
      </w:r>
    </w:p>
    <w:p w:rsidR="00AF0204" w:rsidRPr="00AF0204" w:rsidRDefault="00AF0204" w:rsidP="00AF0204">
      <w:pPr>
        <w:numPr>
          <w:ilvl w:val="0"/>
          <w:numId w:val="10"/>
        </w:numPr>
        <w:spacing w:before="120" w:after="120"/>
        <w:rPr>
          <w:rFonts w:eastAsiaTheme="minorEastAsia"/>
          <w:szCs w:val="24"/>
          <w:lang w:val="en-US" w:eastAsia="zh-CN"/>
        </w:rPr>
      </w:pPr>
      <w:r w:rsidRPr="00AF0204">
        <w:rPr>
          <w:rFonts w:eastAsiaTheme="minorEastAsia"/>
          <w:szCs w:val="24"/>
          <w:lang w:val="en-US" w:eastAsia="zh-CN"/>
        </w:rPr>
        <w:t>The precision of the prediction based on the ephemeris data</w:t>
      </w:r>
    </w:p>
    <w:p w:rsidR="00AF0204" w:rsidRPr="00AF0204" w:rsidRDefault="00AF0204" w:rsidP="00AF0204">
      <w:pPr>
        <w:spacing w:before="120" w:after="120"/>
        <w:rPr>
          <w:rFonts w:eastAsiaTheme="minorEastAsia"/>
          <w:lang w:eastAsia="zh-CN"/>
        </w:rPr>
      </w:pPr>
      <w:r w:rsidRPr="00AF0204">
        <w:rPr>
          <w:rFonts w:eastAsiaTheme="minorEastAsia"/>
          <w:lang w:val="en-US" w:eastAsia="zh-CN"/>
        </w:rPr>
        <w:t xml:space="preserve">The </w:t>
      </w:r>
      <w:r w:rsidRPr="00AF0204">
        <w:rPr>
          <w:rFonts w:eastAsiaTheme="minorEastAsia"/>
          <w:lang w:eastAsia="zh-CN"/>
        </w:rPr>
        <w:t xml:space="preserve">precision of the ephemeris data is an issue for the satellite system. With inaccurate ephemeris data, even UE can perfectly predict, there may be large error in the PV that degrades the RRM performance. Therefore, the PV accuracy assumption will implicitly impose some requirements on the satellite system. </w:t>
      </w:r>
    </w:p>
    <w:p w:rsidR="00AF0204" w:rsidRPr="00AF0204" w:rsidRDefault="00AF0204" w:rsidP="00AF0204">
      <w:pPr>
        <w:spacing w:before="120" w:after="120"/>
        <w:rPr>
          <w:rFonts w:eastAsiaTheme="minorEastAsia"/>
          <w:lang w:eastAsia="zh-CN"/>
        </w:rPr>
      </w:pPr>
      <w:r w:rsidRPr="00AF0204">
        <w:rPr>
          <w:rFonts w:eastAsiaTheme="minorEastAsia"/>
          <w:lang w:eastAsia="zh-CN"/>
        </w:rPr>
        <w:t xml:space="preserve">The precision of the prediction based on the ephemeris data is an issue for the UE and the NW, and it comes from two parts: </w:t>
      </w:r>
      <w:r w:rsidRPr="00AF0204">
        <w:rPr>
          <w:rFonts w:cs="Arial"/>
        </w:rPr>
        <w:t xml:space="preserve">random quantization error and propagator error. The quantization error is depending on the ephemeris format that is under discussion in RAN1/2, and we understand that it may support a range of PV accuracy. The propagator error depends on the model used by the UE. </w:t>
      </w:r>
      <w:r w:rsidRPr="00AF0204">
        <w:rPr>
          <w:rFonts w:eastAsiaTheme="minorEastAsia"/>
          <w:lang w:eastAsia="zh-CN"/>
        </w:rPr>
        <w:t>Therefore, the PV accuracy assumption will implicitly impose some requirements on ephemeris signalling and UE propagation model.</w:t>
      </w:r>
    </w:p>
    <w:p w:rsidR="00AF0204" w:rsidRPr="00AF0204" w:rsidRDefault="00AF0204" w:rsidP="00AF0204">
      <w:pPr>
        <w:spacing w:before="120" w:after="120"/>
        <w:rPr>
          <w:rFonts w:eastAsiaTheme="minorEastAsia"/>
          <w:lang w:val="en-US" w:eastAsia="zh-CN"/>
        </w:rPr>
      </w:pPr>
      <w:r w:rsidRPr="00AF0204">
        <w:rPr>
          <w:rFonts w:eastAsiaTheme="minorEastAsia" w:hint="eastAsia"/>
          <w:lang w:val="en-US" w:eastAsia="zh-CN"/>
        </w:rPr>
        <w:t>T</w:t>
      </w:r>
      <w:r w:rsidRPr="00AF0204">
        <w:rPr>
          <w:rFonts w:eastAsiaTheme="minorEastAsia"/>
          <w:lang w:val="en-US" w:eastAsia="zh-CN"/>
        </w:rPr>
        <w:t xml:space="preserve">able </w:t>
      </w:r>
      <w:r w:rsidR="00772E1B">
        <w:rPr>
          <w:rFonts w:eastAsiaTheme="minorEastAsia"/>
          <w:lang w:val="en-US" w:eastAsia="zh-CN"/>
        </w:rPr>
        <w:t>1</w:t>
      </w:r>
      <w:r w:rsidRPr="00AF0204">
        <w:rPr>
          <w:rFonts w:eastAsiaTheme="minorEastAsia"/>
          <w:lang w:val="en-US" w:eastAsia="zh-CN"/>
        </w:rPr>
        <w:t xml:space="preserve"> from our RAN1 paper [3] shows an example of the prediction error based on </w:t>
      </w:r>
      <w:proofErr w:type="spellStart"/>
      <w:r w:rsidRPr="00AF0204">
        <w:rPr>
          <w:rFonts w:eastAsiaTheme="minorEastAsia"/>
          <w:lang w:val="en-US" w:eastAsia="zh-CN"/>
        </w:rPr>
        <w:t>Keplerian</w:t>
      </w:r>
      <w:proofErr w:type="spellEnd"/>
      <w:r w:rsidRPr="00AF0204">
        <w:rPr>
          <w:rFonts w:eastAsiaTheme="minorEastAsia"/>
          <w:lang w:val="en-US" w:eastAsia="zh-CN"/>
        </w:rPr>
        <w:t xml:space="preserve"> orbit elements format. It can be seen that the absolute location error can be ~10m.</w:t>
      </w:r>
    </w:p>
    <w:p w:rsidR="00AF0204" w:rsidRPr="00AF0204" w:rsidRDefault="00AF0204" w:rsidP="00AF0204">
      <w:pPr>
        <w:overflowPunct w:val="0"/>
        <w:autoSpaceDE w:val="0"/>
        <w:autoSpaceDN w:val="0"/>
        <w:adjustRightInd w:val="0"/>
        <w:spacing w:beforeLines="0" w:before="120" w:afterLines="0" w:after="120"/>
        <w:jc w:val="center"/>
        <w:textAlignment w:val="baseline"/>
        <w:rPr>
          <w:b/>
        </w:rPr>
      </w:pPr>
      <w:r w:rsidRPr="00AF0204">
        <w:rPr>
          <w:b/>
        </w:rPr>
        <w:t xml:space="preserve">Table </w:t>
      </w:r>
      <w:r w:rsidR="00772E1B">
        <w:rPr>
          <w:b/>
        </w:rPr>
        <w:t>1</w:t>
      </w:r>
      <w:r w:rsidRPr="00AF0204">
        <w:rPr>
          <w:b/>
        </w:rPr>
        <w:t xml:space="preserve">: Predication errors by </w:t>
      </w:r>
      <w:proofErr w:type="spellStart"/>
      <w:r w:rsidRPr="00AF0204">
        <w:rPr>
          <w:b/>
        </w:rPr>
        <w:t>Keplerian</w:t>
      </w:r>
      <w:proofErr w:type="spellEnd"/>
      <w:r w:rsidRPr="00AF0204">
        <w:rPr>
          <w:b/>
        </w:rPr>
        <w:t xml:space="preserve"> orbit elements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2112"/>
        <w:gridCol w:w="2238"/>
        <w:gridCol w:w="2217"/>
        <w:gridCol w:w="2343"/>
      </w:tblGrid>
      <w:tr w:rsidR="00AF0204" w:rsidRPr="00AF0204" w:rsidTr="00772E1B">
        <w:trPr>
          <w:trHeight w:val="293"/>
        </w:trPr>
        <w:tc>
          <w:tcPr>
            <w:tcW w:w="37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jc w:val="center"/>
              <w:rPr>
                <w:rFonts w:cs="Arial"/>
              </w:rPr>
            </w:pPr>
            <w:r w:rsidRPr="00AF0204">
              <w:rPr>
                <w:rFonts w:cs="Arial"/>
                <w:lang w:eastAsia="zh-CN"/>
              </w:rPr>
              <w:t>Period</w:t>
            </w:r>
          </w:p>
        </w:tc>
        <w:tc>
          <w:tcPr>
            <w:tcW w:w="10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jc w:val="center"/>
              <w:rPr>
                <w:rFonts w:cs="Arial"/>
              </w:rPr>
            </w:pPr>
            <w:r w:rsidRPr="00AF0204">
              <w:rPr>
                <w:rFonts w:cs="Arial"/>
              </w:rPr>
              <w:t>Radical position error, m</w:t>
            </w:r>
          </w:p>
        </w:tc>
        <w:tc>
          <w:tcPr>
            <w:tcW w:w="116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jc w:val="center"/>
              <w:rPr>
                <w:rFonts w:cs="Arial"/>
              </w:rPr>
            </w:pPr>
            <w:r w:rsidRPr="00AF0204">
              <w:rPr>
                <w:rFonts w:cs="Arial"/>
              </w:rPr>
              <w:t>Radical velocity error, m/s</w:t>
            </w:r>
          </w:p>
        </w:tc>
        <w:tc>
          <w:tcPr>
            <w:tcW w:w="115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jc w:val="center"/>
              <w:rPr>
                <w:rFonts w:cs="Arial"/>
              </w:rPr>
            </w:pPr>
            <w:r w:rsidRPr="00AF0204">
              <w:rPr>
                <w:rFonts w:cs="Arial"/>
              </w:rPr>
              <w:t>Absolute position error, m</w:t>
            </w:r>
          </w:p>
        </w:tc>
        <w:tc>
          <w:tcPr>
            <w:tcW w:w="121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jc w:val="center"/>
              <w:rPr>
                <w:rFonts w:cs="Arial"/>
              </w:rPr>
            </w:pPr>
            <w:r w:rsidRPr="00AF0204">
              <w:rPr>
                <w:rFonts w:cs="Arial"/>
              </w:rPr>
              <w:t>Absolute velocity error, m/s</w:t>
            </w:r>
          </w:p>
        </w:tc>
      </w:tr>
      <w:tr w:rsidR="00AF0204" w:rsidRPr="00AF0204" w:rsidTr="00772E1B">
        <w:trPr>
          <w:trHeight w:val="270"/>
        </w:trPr>
        <w:tc>
          <w:tcPr>
            <w:tcW w:w="37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rPr>
                <w:rFonts w:cs="Arial"/>
              </w:rPr>
            </w:pPr>
            <w:r w:rsidRPr="00AF0204">
              <w:rPr>
                <w:rFonts w:cs="Arial"/>
              </w:rPr>
              <w:t>10s</w:t>
            </w:r>
          </w:p>
        </w:tc>
        <w:tc>
          <w:tcPr>
            <w:tcW w:w="10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1.415243964</w:t>
            </w:r>
          </w:p>
        </w:tc>
        <w:tc>
          <w:tcPr>
            <w:tcW w:w="116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0.002064304</w:t>
            </w:r>
          </w:p>
        </w:tc>
        <w:tc>
          <w:tcPr>
            <w:tcW w:w="115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6.627862341</w:t>
            </w:r>
          </w:p>
        </w:tc>
        <w:tc>
          <w:tcPr>
            <w:tcW w:w="121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0.019901675</w:t>
            </w:r>
          </w:p>
        </w:tc>
      </w:tr>
      <w:tr w:rsidR="00AF0204" w:rsidRPr="00AF0204" w:rsidTr="00772E1B">
        <w:trPr>
          <w:trHeight w:val="270"/>
        </w:trPr>
        <w:tc>
          <w:tcPr>
            <w:tcW w:w="37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rPr>
                <w:rFonts w:cs="Arial"/>
              </w:rPr>
            </w:pPr>
            <w:r w:rsidRPr="00AF0204">
              <w:rPr>
                <w:rFonts w:cs="Arial"/>
              </w:rPr>
              <w:t>20s</w:t>
            </w:r>
          </w:p>
        </w:tc>
        <w:tc>
          <w:tcPr>
            <w:tcW w:w="10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2.556054744</w:t>
            </w:r>
          </w:p>
        </w:tc>
        <w:tc>
          <w:tcPr>
            <w:tcW w:w="116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0.004017807</w:t>
            </w:r>
          </w:p>
        </w:tc>
        <w:tc>
          <w:tcPr>
            <w:tcW w:w="115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8.887820108</w:t>
            </w:r>
          </w:p>
        </w:tc>
        <w:tc>
          <w:tcPr>
            <w:tcW w:w="121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0.032020696</w:t>
            </w:r>
          </w:p>
        </w:tc>
      </w:tr>
      <w:tr w:rsidR="00AF0204" w:rsidRPr="00AF0204" w:rsidTr="00772E1B">
        <w:trPr>
          <w:trHeight w:val="270"/>
        </w:trPr>
        <w:tc>
          <w:tcPr>
            <w:tcW w:w="370"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AF0204" w:rsidRPr="00AF0204" w:rsidRDefault="00AF0204" w:rsidP="00AF0204">
            <w:pPr>
              <w:spacing w:before="120" w:after="120"/>
              <w:rPr>
                <w:rFonts w:cs="Arial"/>
              </w:rPr>
            </w:pPr>
            <w:r w:rsidRPr="00AF0204">
              <w:rPr>
                <w:rFonts w:cs="Arial"/>
              </w:rPr>
              <w:t>30s</w:t>
            </w:r>
          </w:p>
        </w:tc>
        <w:tc>
          <w:tcPr>
            <w:tcW w:w="10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3.455422236</w:t>
            </w:r>
          </w:p>
        </w:tc>
        <w:tc>
          <w:tcPr>
            <w:tcW w:w="116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0.00582607</w:t>
            </w:r>
          </w:p>
        </w:tc>
        <w:tc>
          <w:tcPr>
            <w:tcW w:w="115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11.03350865</w:t>
            </w:r>
          </w:p>
        </w:tc>
        <w:tc>
          <w:tcPr>
            <w:tcW w:w="121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rsidR="00AF0204" w:rsidRPr="00AF0204" w:rsidRDefault="00AF0204" w:rsidP="00AF0204">
            <w:pPr>
              <w:spacing w:before="120" w:after="120"/>
              <w:rPr>
                <w:rFonts w:cs="Arial"/>
              </w:rPr>
            </w:pPr>
            <w:r w:rsidRPr="00AF0204">
              <w:t>0.042707769</w:t>
            </w:r>
          </w:p>
        </w:tc>
      </w:tr>
    </w:tbl>
    <w:p w:rsidR="00772E1B" w:rsidRDefault="00772E1B" w:rsidP="00772E1B">
      <w:pPr>
        <w:spacing w:before="120" w:after="120"/>
        <w:rPr>
          <w:rFonts w:eastAsiaTheme="minorEastAsia"/>
          <w:lang w:val="en-US" w:eastAsia="zh-CN"/>
        </w:rPr>
      </w:pPr>
      <w:r>
        <w:rPr>
          <w:rFonts w:eastAsiaTheme="minorEastAsia"/>
          <w:lang w:val="en-US" w:eastAsia="zh-CN"/>
        </w:rPr>
        <w:t xml:space="preserve">In RAN4#100-e, there was a discussion on whether </w:t>
      </w:r>
      <w:r w:rsidRPr="00772E1B">
        <w:rPr>
          <w:rFonts w:eastAsiaTheme="minorEastAsia"/>
          <w:lang w:val="en-US" w:eastAsia="zh-CN"/>
        </w:rPr>
        <w:t>ephemeris information inaccuracy</w:t>
      </w:r>
      <w:r>
        <w:rPr>
          <w:rFonts w:eastAsiaTheme="minorEastAsia"/>
          <w:lang w:val="en-US" w:eastAsia="zh-CN"/>
        </w:rPr>
        <w:t xml:space="preserve"> should be considered. We do agree that this inaccuracy has nothing to do with UE, but in our view, in real world the </w:t>
      </w:r>
      <w:r w:rsidRPr="00772E1B">
        <w:rPr>
          <w:rFonts w:eastAsiaTheme="minorEastAsia"/>
          <w:lang w:val="en-US" w:eastAsia="zh-CN"/>
        </w:rPr>
        <w:t>ephemeris information</w:t>
      </w:r>
      <w:r>
        <w:rPr>
          <w:rFonts w:eastAsiaTheme="minorEastAsia"/>
          <w:lang w:val="en-US" w:eastAsia="zh-CN"/>
        </w:rPr>
        <w:t xml:space="preserve"> cannot be perfectly accurate, so if we define RRM requirements without considering it, the assumption could be over optimistic compared to what is achievable in the real world, and the applicability of the requirements could be limited.</w:t>
      </w:r>
    </w:p>
    <w:p w:rsidR="00772E1B" w:rsidRPr="00772E1B" w:rsidRDefault="00772E1B" w:rsidP="00AF0204">
      <w:pPr>
        <w:spacing w:before="120" w:after="120"/>
        <w:rPr>
          <w:rFonts w:eastAsiaTheme="minorEastAsia"/>
          <w:lang w:val="en-US" w:eastAsia="zh-CN"/>
        </w:rPr>
      </w:pPr>
      <w:r>
        <w:rPr>
          <w:rFonts w:eastAsiaTheme="minorEastAsia"/>
          <w:lang w:val="en-US" w:eastAsia="zh-CN"/>
        </w:rPr>
        <w:t xml:space="preserve">The values in Table 1 are derived without considering the </w:t>
      </w:r>
      <w:r w:rsidRPr="00772E1B">
        <w:rPr>
          <w:rFonts w:eastAsiaTheme="minorEastAsia"/>
          <w:lang w:val="en-US" w:eastAsia="zh-CN"/>
        </w:rPr>
        <w:t>ephemeris information inaccuracy</w:t>
      </w:r>
      <w:r>
        <w:rPr>
          <w:rFonts w:eastAsiaTheme="minorEastAsia"/>
          <w:lang w:val="en-US" w:eastAsia="zh-CN"/>
        </w:rPr>
        <w:t xml:space="preserve">, and with the inaccuracy taken in to account, we suggest to define the assumption on the </w:t>
      </w:r>
      <w:r w:rsidRPr="00772E1B">
        <w:rPr>
          <w:rFonts w:eastAsiaTheme="minorEastAsia"/>
          <w:lang w:val="en-US" w:eastAsia="zh-CN"/>
        </w:rPr>
        <w:t>satellite position prediction error</w:t>
      </w:r>
      <w:r>
        <w:rPr>
          <w:rFonts w:eastAsiaTheme="minorEastAsia"/>
          <w:lang w:val="en-US" w:eastAsia="zh-CN"/>
        </w:rPr>
        <w:t xml:space="preserve"> as 30m.</w:t>
      </w:r>
    </w:p>
    <w:p w:rsidR="00AF0204" w:rsidRPr="00AF0204" w:rsidRDefault="00AF0204" w:rsidP="00AF0204">
      <w:pPr>
        <w:spacing w:before="120" w:after="120"/>
        <w:rPr>
          <w:rFonts w:eastAsiaTheme="minorEastAsia"/>
          <w:b/>
          <w:lang w:val="en-US" w:eastAsia="zh-CN"/>
        </w:rPr>
      </w:pPr>
      <w:r w:rsidRPr="00AF0204">
        <w:rPr>
          <w:rFonts w:eastAsiaTheme="minorEastAsia" w:hint="eastAsia"/>
          <w:b/>
          <w:lang w:val="en-US" w:eastAsia="zh-CN"/>
        </w:rPr>
        <w:t>P</w:t>
      </w:r>
      <w:r w:rsidRPr="00AF0204">
        <w:rPr>
          <w:rFonts w:eastAsiaTheme="minorEastAsia"/>
          <w:b/>
          <w:lang w:val="en-US" w:eastAsia="zh-CN"/>
        </w:rPr>
        <w:t xml:space="preserve">roposal </w:t>
      </w:r>
      <w:r w:rsidR="002E59FB">
        <w:rPr>
          <w:rFonts w:eastAsiaTheme="minorEastAsia"/>
          <w:b/>
          <w:lang w:val="en-US" w:eastAsia="zh-CN"/>
        </w:rPr>
        <w:t>3</w:t>
      </w:r>
      <w:r w:rsidRPr="00AF0204">
        <w:rPr>
          <w:rFonts w:eastAsiaTheme="minorEastAsia"/>
          <w:b/>
          <w:lang w:val="en-US" w:eastAsia="zh-CN"/>
        </w:rPr>
        <w:t xml:space="preserve">: </w:t>
      </w:r>
      <w:r w:rsidR="00772E1B">
        <w:rPr>
          <w:rFonts w:eastAsiaTheme="minorEastAsia"/>
          <w:b/>
          <w:lang w:val="en-US" w:eastAsia="zh-CN"/>
        </w:rPr>
        <w:t>D</w:t>
      </w:r>
      <w:r w:rsidR="00772E1B" w:rsidRPr="00772E1B">
        <w:rPr>
          <w:rFonts w:eastAsia="Times New Roman"/>
          <w:b/>
          <w:szCs w:val="22"/>
          <w:lang w:val="en-US"/>
        </w:rPr>
        <w:t>efine the assumption on the satellite position prediction error as 30m</w:t>
      </w:r>
      <w:r w:rsidR="00772E1B">
        <w:rPr>
          <w:rFonts w:eastAsia="Times New Roman"/>
          <w:b/>
          <w:szCs w:val="22"/>
          <w:lang w:val="en-US"/>
        </w:rPr>
        <w:t xml:space="preserve">, taking into account both </w:t>
      </w:r>
      <w:r w:rsidR="00772E1B" w:rsidRPr="00772E1B">
        <w:rPr>
          <w:rFonts w:eastAsia="Times New Roman"/>
          <w:b/>
          <w:szCs w:val="22"/>
          <w:lang w:val="en-US"/>
        </w:rPr>
        <w:t>UE estimation inaccuracy</w:t>
      </w:r>
      <w:r w:rsidR="00772E1B">
        <w:rPr>
          <w:rFonts w:eastAsia="Times New Roman"/>
          <w:b/>
          <w:szCs w:val="22"/>
          <w:lang w:val="en-US"/>
        </w:rPr>
        <w:t xml:space="preserve"> and </w:t>
      </w:r>
      <w:r w:rsidR="00772E1B" w:rsidRPr="00772E1B">
        <w:rPr>
          <w:rFonts w:eastAsia="Times New Roman"/>
          <w:b/>
          <w:szCs w:val="22"/>
          <w:lang w:val="en-US"/>
        </w:rPr>
        <w:t>ephemeris information inaccuracy</w:t>
      </w:r>
      <w:r w:rsidR="00772E1B">
        <w:rPr>
          <w:rFonts w:eastAsia="Times New Roman"/>
          <w:b/>
          <w:szCs w:val="22"/>
          <w:lang w:val="en-US"/>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A15BB" w:rsidRPr="00DA15BB">
        <w:rPr>
          <w:rFonts w:eastAsia="宋体"/>
          <w:lang w:eastAsia="zh-CN"/>
        </w:rPr>
        <w:t xml:space="preserve">our </w:t>
      </w:r>
      <w:r w:rsidR="00DA15BB">
        <w:rPr>
          <w:rFonts w:eastAsia="宋体"/>
          <w:lang w:eastAsia="zh-CN"/>
        </w:rPr>
        <w:t>views on the general issues</w:t>
      </w:r>
      <w:r w:rsidR="00DA15BB" w:rsidRPr="00DA15BB">
        <w:rPr>
          <w:rFonts w:eastAsia="宋体"/>
          <w:lang w:eastAsia="zh-CN"/>
        </w:rPr>
        <w:t xml:space="preserve"> for NTN RRM.</w:t>
      </w:r>
    </w:p>
    <w:p w:rsidR="00772E1B" w:rsidRPr="00816F95" w:rsidRDefault="00772E1B" w:rsidP="00772E1B">
      <w:pPr>
        <w:spacing w:before="120" w:after="120"/>
        <w:rPr>
          <w:rFonts w:eastAsiaTheme="minorEastAsia"/>
          <w:b/>
          <w:lang w:eastAsia="zh-CN"/>
        </w:rPr>
      </w:pPr>
      <w:r w:rsidRPr="00816F95">
        <w:rPr>
          <w:rFonts w:eastAsiaTheme="minorEastAsia" w:hint="eastAsia"/>
          <w:b/>
          <w:lang w:eastAsia="zh-CN"/>
        </w:rPr>
        <w:t>P</w:t>
      </w:r>
      <w:r w:rsidRPr="00816F95">
        <w:rPr>
          <w:rFonts w:eastAsiaTheme="minorEastAsia"/>
          <w:b/>
          <w:lang w:eastAsia="zh-CN"/>
        </w:rPr>
        <w:t>roposal 1: RAN4 not to define measurement/mobility requirements for TN-NTN in Rel-17.</w:t>
      </w:r>
    </w:p>
    <w:p w:rsidR="00772E1B" w:rsidRPr="009A2DC9" w:rsidRDefault="00772E1B" w:rsidP="00772E1B">
      <w:pPr>
        <w:spacing w:before="120" w:after="120"/>
        <w:rPr>
          <w:rFonts w:eastAsiaTheme="minorEastAsia"/>
          <w:b/>
          <w:lang w:eastAsia="zh-CN"/>
        </w:rPr>
      </w:pPr>
      <w:r w:rsidRPr="009A2DC9">
        <w:rPr>
          <w:rFonts w:eastAsiaTheme="minorEastAsia"/>
          <w:b/>
          <w:lang w:eastAsia="zh-CN"/>
        </w:rPr>
        <w:t xml:space="preserve">Proposal 2: </w:t>
      </w:r>
      <w:r>
        <w:rPr>
          <w:rFonts w:eastAsiaTheme="minorEastAsia"/>
          <w:b/>
          <w:lang w:eastAsia="zh-CN"/>
        </w:rPr>
        <w:t>R</w:t>
      </w:r>
      <w:r w:rsidRPr="009A2DC9">
        <w:rPr>
          <w:rFonts w:eastAsiaTheme="minorEastAsia"/>
          <w:b/>
          <w:lang w:eastAsia="zh-CN"/>
        </w:rPr>
        <w:t>euse the same side conditions as legacy</w:t>
      </w:r>
      <w:r>
        <w:rPr>
          <w:rFonts w:eastAsiaTheme="minorEastAsia"/>
          <w:b/>
          <w:lang w:eastAsia="zh-CN"/>
        </w:rPr>
        <w:t xml:space="preserve"> for LEO scenarios.</w:t>
      </w:r>
    </w:p>
    <w:p w:rsidR="00772E1B" w:rsidRPr="00772E1B" w:rsidRDefault="00772E1B" w:rsidP="00C3788F">
      <w:pPr>
        <w:spacing w:before="120" w:after="120"/>
        <w:rPr>
          <w:rFonts w:eastAsiaTheme="minorEastAsia"/>
          <w:b/>
          <w:lang w:val="en-US" w:eastAsia="zh-CN"/>
        </w:rPr>
      </w:pPr>
      <w:r w:rsidRPr="00AF0204">
        <w:rPr>
          <w:rFonts w:eastAsiaTheme="minorEastAsia" w:hint="eastAsia"/>
          <w:b/>
          <w:lang w:val="en-US" w:eastAsia="zh-CN"/>
        </w:rPr>
        <w:t>P</w:t>
      </w:r>
      <w:r w:rsidRPr="00AF0204">
        <w:rPr>
          <w:rFonts w:eastAsiaTheme="minorEastAsia"/>
          <w:b/>
          <w:lang w:val="en-US" w:eastAsia="zh-CN"/>
        </w:rPr>
        <w:t xml:space="preserve">roposal </w:t>
      </w:r>
      <w:r w:rsidR="002E59FB">
        <w:rPr>
          <w:rFonts w:eastAsiaTheme="minorEastAsia"/>
          <w:b/>
          <w:lang w:val="en-US" w:eastAsia="zh-CN"/>
        </w:rPr>
        <w:t>3</w:t>
      </w:r>
      <w:r w:rsidRPr="00AF0204">
        <w:rPr>
          <w:rFonts w:eastAsiaTheme="minorEastAsia"/>
          <w:b/>
          <w:lang w:val="en-US" w:eastAsia="zh-CN"/>
        </w:rPr>
        <w:t xml:space="preserve">: </w:t>
      </w:r>
      <w:r>
        <w:rPr>
          <w:rFonts w:eastAsiaTheme="minorEastAsia"/>
          <w:b/>
          <w:lang w:val="en-US" w:eastAsia="zh-CN"/>
        </w:rPr>
        <w:t>D</w:t>
      </w:r>
      <w:r w:rsidRPr="00772E1B">
        <w:rPr>
          <w:rFonts w:eastAsia="Times New Roman"/>
          <w:b/>
          <w:szCs w:val="22"/>
          <w:lang w:val="en-US"/>
        </w:rPr>
        <w:t>efine the assumption on the satellite position prediction error as 30m</w:t>
      </w:r>
      <w:r>
        <w:rPr>
          <w:rFonts w:eastAsia="Times New Roman"/>
          <w:b/>
          <w:szCs w:val="22"/>
          <w:lang w:val="en-US"/>
        </w:rPr>
        <w:t xml:space="preserve">, taking into account both </w:t>
      </w:r>
      <w:r w:rsidRPr="00772E1B">
        <w:rPr>
          <w:rFonts w:eastAsia="Times New Roman"/>
          <w:b/>
          <w:szCs w:val="22"/>
          <w:lang w:val="en-US"/>
        </w:rPr>
        <w:t>UE estimation inaccuracy</w:t>
      </w:r>
      <w:r>
        <w:rPr>
          <w:rFonts w:eastAsia="Times New Roman"/>
          <w:b/>
          <w:szCs w:val="22"/>
          <w:lang w:val="en-US"/>
        </w:rPr>
        <w:t xml:space="preserve"> and </w:t>
      </w:r>
      <w:r w:rsidRPr="00772E1B">
        <w:rPr>
          <w:rFonts w:eastAsia="Times New Roman"/>
          <w:b/>
          <w:szCs w:val="22"/>
          <w:lang w:val="en-US"/>
        </w:rPr>
        <w:t>ephemeris information inaccuracy</w:t>
      </w:r>
      <w:r>
        <w:rPr>
          <w:rFonts w:eastAsiaTheme="minorEastAsia" w:hint="eastAsia"/>
          <w:b/>
          <w:lang w:val="en-US" w:eastAsia="zh-CN"/>
        </w:rPr>
        <w:t>.</w:t>
      </w:r>
    </w:p>
    <w:p w:rsidR="00C0754F" w:rsidRDefault="00C0754F" w:rsidP="00C0754F">
      <w:pPr>
        <w:pStyle w:val="1"/>
        <w:jc w:val="both"/>
        <w:rPr>
          <w:lang w:val="en-US"/>
        </w:rPr>
      </w:pPr>
      <w:r w:rsidRPr="00C0754F">
        <w:rPr>
          <w:lang w:val="en-US"/>
        </w:rPr>
        <w:t>Reference</w:t>
      </w:r>
    </w:p>
    <w:p w:rsidR="00AA15C7" w:rsidRDefault="00631A29" w:rsidP="00631A29">
      <w:pPr>
        <w:numPr>
          <w:ilvl w:val="0"/>
          <w:numId w:val="5"/>
        </w:numPr>
        <w:spacing w:before="120" w:after="120"/>
        <w:rPr>
          <w:rFonts w:eastAsia="宋体"/>
          <w:lang w:val="en-US" w:eastAsia="zh-CN"/>
        </w:rPr>
      </w:pPr>
      <w:r w:rsidRPr="00631A29">
        <w:rPr>
          <w:rFonts w:eastAsia="宋体"/>
          <w:lang w:val="en-US" w:eastAsia="zh-CN"/>
        </w:rPr>
        <w:t>R4-2115345</w:t>
      </w:r>
      <w:r w:rsidR="00AA15C7">
        <w:rPr>
          <w:rFonts w:eastAsia="宋体"/>
          <w:lang w:val="en-US" w:eastAsia="zh-CN"/>
        </w:rPr>
        <w:t xml:space="preserve">, </w:t>
      </w:r>
      <w:r w:rsidRPr="00631A29">
        <w:rPr>
          <w:rFonts w:eastAsia="宋体"/>
          <w:lang w:val="en-US" w:eastAsia="zh-CN"/>
        </w:rPr>
        <w:t>WF on RRM requirements for NTN measurement and mobility</w:t>
      </w:r>
      <w:r w:rsidR="00AA15C7">
        <w:rPr>
          <w:rFonts w:eastAsia="宋体"/>
          <w:lang w:val="en-US" w:eastAsia="zh-CN"/>
        </w:rPr>
        <w:t xml:space="preserve">, </w:t>
      </w:r>
      <w:r w:rsidRPr="00631A29">
        <w:rPr>
          <w:rFonts w:eastAsia="宋体"/>
          <w:lang w:val="en-US" w:eastAsia="zh-CN"/>
        </w:rPr>
        <w:t>Qualcomm Incorporated</w:t>
      </w:r>
    </w:p>
    <w:p w:rsidR="00B529DD" w:rsidRDefault="00E17C06" w:rsidP="00E17C06">
      <w:pPr>
        <w:numPr>
          <w:ilvl w:val="0"/>
          <w:numId w:val="5"/>
        </w:numPr>
        <w:spacing w:before="120" w:after="120"/>
        <w:rPr>
          <w:rFonts w:eastAsia="宋体"/>
          <w:lang w:val="en-US" w:eastAsia="zh-CN"/>
        </w:rPr>
      </w:pPr>
      <w:r>
        <w:rPr>
          <w:rFonts w:eastAsia="宋体"/>
          <w:lang w:val="en-US" w:eastAsia="zh-CN"/>
        </w:rPr>
        <w:t>R4-2119353</w:t>
      </w:r>
      <w:bookmarkStart w:id="0" w:name="_GoBack"/>
      <w:bookmarkEnd w:id="0"/>
      <w:r w:rsidR="008A330E">
        <w:rPr>
          <w:rFonts w:eastAsia="宋体"/>
          <w:lang w:val="en-US" w:eastAsia="zh-CN"/>
        </w:rPr>
        <w:t xml:space="preserve">, </w:t>
      </w:r>
      <w:r w:rsidR="008A330E" w:rsidRPr="008A330E">
        <w:rPr>
          <w:rFonts w:eastAsia="宋体"/>
          <w:lang w:val="en-US" w:eastAsia="zh-CN"/>
        </w:rPr>
        <w:t>Simulation results for system level analysis for NTN RRM</w:t>
      </w:r>
      <w:r w:rsidR="008A330E">
        <w:rPr>
          <w:rFonts w:eastAsia="宋体"/>
          <w:lang w:val="en-US" w:eastAsia="zh-CN"/>
        </w:rPr>
        <w:t xml:space="preserve">, </w:t>
      </w:r>
      <w:r w:rsidR="008A330E" w:rsidRPr="008A330E">
        <w:rPr>
          <w:rFonts w:eastAsia="宋体"/>
          <w:lang w:val="en-US" w:eastAsia="zh-CN"/>
        </w:rPr>
        <w:t>Huawei, HiSilicon</w:t>
      </w:r>
    </w:p>
    <w:p w:rsidR="008A330E" w:rsidRDefault="008A330E" w:rsidP="008A330E">
      <w:pPr>
        <w:numPr>
          <w:ilvl w:val="0"/>
          <w:numId w:val="5"/>
        </w:numPr>
        <w:spacing w:before="120" w:after="120"/>
        <w:rPr>
          <w:rFonts w:eastAsia="宋体"/>
          <w:lang w:val="en-US" w:eastAsia="zh-CN"/>
        </w:rPr>
      </w:pPr>
      <w:r w:rsidRPr="008A330E">
        <w:rPr>
          <w:rFonts w:eastAsia="宋体"/>
          <w:lang w:val="en-US" w:eastAsia="zh-CN"/>
        </w:rPr>
        <w:t>R4-2111935</w:t>
      </w:r>
      <w:r>
        <w:rPr>
          <w:rFonts w:eastAsia="宋体"/>
          <w:lang w:val="en-US" w:eastAsia="zh-CN"/>
        </w:rPr>
        <w:t>,</w:t>
      </w:r>
      <w:r w:rsidRPr="008A330E">
        <w:t xml:space="preserve"> </w:t>
      </w:r>
      <w:r w:rsidRPr="008A330E">
        <w:rPr>
          <w:rFonts w:eastAsia="宋体"/>
          <w:lang w:val="en-US" w:eastAsia="zh-CN"/>
        </w:rPr>
        <w:t>Further discussion on RRM requirements for NTN</w:t>
      </w:r>
      <w:r>
        <w:rPr>
          <w:rFonts w:eastAsia="宋体"/>
          <w:lang w:val="en-US" w:eastAsia="zh-CN"/>
        </w:rPr>
        <w:t>, CATT</w:t>
      </w:r>
    </w:p>
    <w:p w:rsidR="00AF0204" w:rsidRDefault="00AF0204" w:rsidP="00AF0204">
      <w:pPr>
        <w:numPr>
          <w:ilvl w:val="0"/>
          <w:numId w:val="5"/>
        </w:numPr>
        <w:spacing w:before="120" w:after="120"/>
        <w:rPr>
          <w:rFonts w:eastAsia="宋体"/>
          <w:lang w:val="en-US" w:eastAsia="zh-CN"/>
        </w:rPr>
      </w:pPr>
      <w:r w:rsidRPr="00AF0204">
        <w:rPr>
          <w:rFonts w:eastAsia="宋体"/>
          <w:lang w:val="en-US" w:eastAsia="zh-CN"/>
        </w:rPr>
        <w:t>R1-2104256</w:t>
      </w:r>
      <w:r>
        <w:rPr>
          <w:rFonts w:eastAsia="宋体"/>
          <w:lang w:val="en-US" w:eastAsia="zh-CN"/>
        </w:rPr>
        <w:t xml:space="preserve">, </w:t>
      </w:r>
      <w:r w:rsidRPr="00AF0204">
        <w:rPr>
          <w:rFonts w:eastAsia="宋体"/>
          <w:lang w:val="en-US" w:eastAsia="zh-CN"/>
        </w:rPr>
        <w:t>Discussion on UL time and frequency synchronization enhancement for NTN</w:t>
      </w:r>
      <w:r>
        <w:rPr>
          <w:rFonts w:eastAsia="宋体"/>
          <w:lang w:val="en-US" w:eastAsia="zh-CN"/>
        </w:rPr>
        <w:t xml:space="preserve">, </w:t>
      </w:r>
      <w:r w:rsidRPr="00AF0204">
        <w:rPr>
          <w:rFonts w:eastAsia="宋体"/>
          <w:lang w:val="en-US" w:eastAsia="zh-CN"/>
        </w:rPr>
        <w:t>Huawei, HiSilicon</w:t>
      </w:r>
    </w:p>
    <w:sectPr w:rsidR="00AF020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B99" w:rsidRDefault="00A63B99">
      <w:pPr>
        <w:spacing w:before="120" w:after="120"/>
      </w:pPr>
      <w:r>
        <w:separator/>
      </w:r>
    </w:p>
  </w:endnote>
  <w:endnote w:type="continuationSeparator" w:id="0">
    <w:p w:rsidR="00A63B99" w:rsidRDefault="00A63B9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7C" w:rsidRDefault="005C007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5C007C" w:rsidRDefault="005C00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7C" w:rsidRDefault="005C007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17C06">
      <w:rPr>
        <w:rStyle w:val="af1"/>
      </w:rPr>
      <w:t>3</w:t>
    </w:r>
    <w:r>
      <w:rPr>
        <w:rStyle w:val="af1"/>
      </w:rPr>
      <w:fldChar w:fldCharType="end"/>
    </w:r>
  </w:p>
  <w:p w:rsidR="005C007C" w:rsidRDefault="005C007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B99" w:rsidRDefault="00A63B99">
      <w:pPr>
        <w:spacing w:before="120" w:after="120"/>
      </w:pPr>
      <w:r>
        <w:separator/>
      </w:r>
    </w:p>
  </w:footnote>
  <w:footnote w:type="continuationSeparator" w:id="0">
    <w:p w:rsidR="00A63B99" w:rsidRDefault="00A63B9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A95E76"/>
    <w:multiLevelType w:val="hybridMultilevel"/>
    <w:tmpl w:val="1D82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DD30149C"/>
    <w:lvl w:ilvl="0" w:tplc="2206886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387741"/>
    <w:multiLevelType w:val="hybridMultilevel"/>
    <w:tmpl w:val="89C6E3CC"/>
    <w:lvl w:ilvl="0" w:tplc="FD0EAB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FB3D96"/>
    <w:multiLevelType w:val="hybridMultilevel"/>
    <w:tmpl w:val="6D3AD71A"/>
    <w:lvl w:ilvl="0" w:tplc="AF2CCA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1"/>
  </w:num>
  <w:num w:numId="3">
    <w:abstractNumId w:val="35"/>
  </w:num>
  <w:num w:numId="4">
    <w:abstractNumId w:val="6"/>
  </w:num>
  <w:num w:numId="5">
    <w:abstractNumId w:val="16"/>
  </w:num>
  <w:num w:numId="6">
    <w:abstractNumId w:val="29"/>
  </w:num>
  <w:num w:numId="7">
    <w:abstractNumId w:val="23"/>
  </w:num>
  <w:num w:numId="8">
    <w:abstractNumId w:val="36"/>
    <w:lvlOverride w:ilvl="0">
      <w:startOverride w:val="1"/>
    </w:lvlOverride>
  </w:num>
  <w:num w:numId="9">
    <w:abstractNumId w:val="27"/>
  </w:num>
  <w:num w:numId="10">
    <w:abstractNumId w:val="17"/>
  </w:num>
  <w:num w:numId="11">
    <w:abstractNumId w:val="15"/>
  </w:num>
  <w:num w:numId="12">
    <w:abstractNumId w:val="37"/>
  </w:num>
  <w:num w:numId="13">
    <w:abstractNumId w:val="0"/>
  </w:num>
  <w:num w:numId="14">
    <w:abstractNumId w:val="22"/>
  </w:num>
  <w:num w:numId="15">
    <w:abstractNumId w:val="7"/>
  </w:num>
  <w:num w:numId="16">
    <w:abstractNumId w:val="20"/>
  </w:num>
  <w:num w:numId="17">
    <w:abstractNumId w:val="30"/>
  </w:num>
  <w:num w:numId="18">
    <w:abstractNumId w:val="9"/>
  </w:num>
  <w:num w:numId="19">
    <w:abstractNumId w:val="28"/>
  </w:num>
  <w:num w:numId="20">
    <w:abstractNumId w:val="19"/>
  </w:num>
  <w:num w:numId="21">
    <w:abstractNumId w:val="19"/>
  </w:num>
  <w:num w:numId="22">
    <w:abstractNumId w:val="24"/>
  </w:num>
  <w:num w:numId="23">
    <w:abstractNumId w:val="3"/>
  </w:num>
  <w:num w:numId="24">
    <w:abstractNumId w:val="19"/>
  </w:num>
  <w:num w:numId="25">
    <w:abstractNumId w:val="10"/>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
  </w:num>
  <w:num w:numId="29">
    <w:abstractNumId w:val="13"/>
  </w:num>
  <w:num w:numId="30">
    <w:abstractNumId w:val="8"/>
  </w:num>
  <w:num w:numId="31">
    <w:abstractNumId w:val="33"/>
  </w:num>
  <w:num w:numId="32">
    <w:abstractNumId w:val="26"/>
  </w:num>
  <w:num w:numId="33">
    <w:abstractNumId w:val="5"/>
  </w:num>
  <w:num w:numId="34">
    <w:abstractNumId w:val="14"/>
  </w:num>
  <w:num w:numId="35">
    <w:abstractNumId w:val="25"/>
  </w:num>
  <w:num w:numId="36">
    <w:abstractNumId w:val="18"/>
  </w:num>
  <w:num w:numId="37">
    <w:abstractNumId w:val="32"/>
  </w:num>
  <w:num w:numId="38">
    <w:abstractNumId w:val="4"/>
  </w:num>
  <w:num w:numId="39">
    <w:abstractNumId w:val="21"/>
  </w:num>
  <w:num w:numId="40">
    <w:abstractNumId w:val="34"/>
  </w:num>
  <w:num w:numId="41">
    <w:abstractNumId w:val="2"/>
  </w:num>
  <w:num w:numId="4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C39"/>
    <w:rsid w:val="00020E63"/>
    <w:rsid w:val="00021396"/>
    <w:rsid w:val="000215F8"/>
    <w:rsid w:val="000217CA"/>
    <w:rsid w:val="0002180A"/>
    <w:rsid w:val="00021E90"/>
    <w:rsid w:val="000223E8"/>
    <w:rsid w:val="00022625"/>
    <w:rsid w:val="0002276B"/>
    <w:rsid w:val="00022799"/>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4FC"/>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A91"/>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785"/>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D7"/>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230"/>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DE2"/>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89"/>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ED0"/>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69B"/>
    <w:rsid w:val="00270BDD"/>
    <w:rsid w:val="00270F79"/>
    <w:rsid w:val="0027102E"/>
    <w:rsid w:val="00271B1A"/>
    <w:rsid w:val="00272474"/>
    <w:rsid w:val="0027257D"/>
    <w:rsid w:val="00272622"/>
    <w:rsid w:val="0027283D"/>
    <w:rsid w:val="0027284E"/>
    <w:rsid w:val="002728B3"/>
    <w:rsid w:val="002728D8"/>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6CB6"/>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4D1"/>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15"/>
    <w:rsid w:val="002E55A2"/>
    <w:rsid w:val="002E566B"/>
    <w:rsid w:val="002E59FB"/>
    <w:rsid w:val="002E5B49"/>
    <w:rsid w:val="002E5D4E"/>
    <w:rsid w:val="002E5E7D"/>
    <w:rsid w:val="002E6749"/>
    <w:rsid w:val="002E674A"/>
    <w:rsid w:val="002E67E7"/>
    <w:rsid w:val="002E6FD0"/>
    <w:rsid w:val="002E70A5"/>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0AA7"/>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23"/>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59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77"/>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2D35"/>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60"/>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C6"/>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57A"/>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07C"/>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155"/>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96"/>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F94"/>
    <w:rsid w:val="00627166"/>
    <w:rsid w:val="0062731E"/>
    <w:rsid w:val="006273BD"/>
    <w:rsid w:val="006307AE"/>
    <w:rsid w:val="006311A3"/>
    <w:rsid w:val="006312FE"/>
    <w:rsid w:val="006318AA"/>
    <w:rsid w:val="0063190E"/>
    <w:rsid w:val="00631A29"/>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615"/>
    <w:rsid w:val="00656046"/>
    <w:rsid w:val="00656812"/>
    <w:rsid w:val="00656BB7"/>
    <w:rsid w:val="0065700C"/>
    <w:rsid w:val="00657083"/>
    <w:rsid w:val="0065711D"/>
    <w:rsid w:val="0065719F"/>
    <w:rsid w:val="0065760B"/>
    <w:rsid w:val="00657741"/>
    <w:rsid w:val="00657756"/>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446"/>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1B3"/>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95"/>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213"/>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1C5"/>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E1B"/>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27FC"/>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5FCE"/>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76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6F95"/>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536"/>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37E77"/>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30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8EA"/>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30"/>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5BA"/>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87AAC"/>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D1"/>
    <w:rsid w:val="009A1587"/>
    <w:rsid w:val="009A1ADF"/>
    <w:rsid w:val="009A1C33"/>
    <w:rsid w:val="009A2D3A"/>
    <w:rsid w:val="009A2DC9"/>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353"/>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B9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0F6"/>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204"/>
    <w:rsid w:val="00AF03D3"/>
    <w:rsid w:val="00AF0A88"/>
    <w:rsid w:val="00AF0B03"/>
    <w:rsid w:val="00AF16CC"/>
    <w:rsid w:val="00AF19D8"/>
    <w:rsid w:val="00AF2127"/>
    <w:rsid w:val="00AF25B8"/>
    <w:rsid w:val="00AF25CD"/>
    <w:rsid w:val="00AF2A89"/>
    <w:rsid w:val="00AF2F65"/>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DD"/>
    <w:rsid w:val="00B52AAD"/>
    <w:rsid w:val="00B52AB9"/>
    <w:rsid w:val="00B52B47"/>
    <w:rsid w:val="00B52E0D"/>
    <w:rsid w:val="00B53153"/>
    <w:rsid w:val="00B53267"/>
    <w:rsid w:val="00B53DBF"/>
    <w:rsid w:val="00B53E60"/>
    <w:rsid w:val="00B545F3"/>
    <w:rsid w:val="00B5471A"/>
    <w:rsid w:val="00B54954"/>
    <w:rsid w:val="00B55DC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4B2"/>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951"/>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0B22"/>
    <w:rsid w:val="00D31226"/>
    <w:rsid w:val="00D31643"/>
    <w:rsid w:val="00D31E5F"/>
    <w:rsid w:val="00D31F32"/>
    <w:rsid w:val="00D3265C"/>
    <w:rsid w:val="00D3268A"/>
    <w:rsid w:val="00D32DB0"/>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338"/>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A5E"/>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5BB"/>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5E8"/>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C06"/>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FA5"/>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65A"/>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1656"/>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59"/>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504330">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30E7581-17C3-40F7-9B50-7E929788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41912</TotalTime>
  <Pages>1</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2021-10-22T18:03:00Z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