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3A7DF8E3" w:rsidR="006C4650" w:rsidRPr="008B292E" w:rsidRDefault="006C4650"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8B292E">
        <w:rPr>
          <w:rFonts w:cs="Arial"/>
          <w:color w:val="000000" w:themeColor="text1"/>
          <w:sz w:val="24"/>
          <w:szCs w:val="24"/>
        </w:rPr>
        <w:t>3GPP TSG-RAN WG4 Meeting #</w:t>
      </w:r>
      <w:r w:rsidRPr="008B292E">
        <w:rPr>
          <w:rFonts w:cs="Arial"/>
          <w:color w:val="000000" w:themeColor="text1"/>
        </w:rPr>
        <w:t xml:space="preserve"> </w:t>
      </w:r>
      <w:r w:rsidRPr="008B292E">
        <w:rPr>
          <w:rFonts w:cs="Arial"/>
          <w:color w:val="000000" w:themeColor="text1"/>
          <w:sz w:val="24"/>
          <w:szCs w:val="24"/>
        </w:rPr>
        <w:t>100-e</w:t>
      </w:r>
      <w:r w:rsidRPr="008B292E">
        <w:rPr>
          <w:rFonts w:cs="Arial"/>
          <w:color w:val="000000" w:themeColor="text1"/>
          <w:sz w:val="24"/>
          <w:szCs w:val="24"/>
        </w:rPr>
        <w:tab/>
      </w:r>
      <w:r w:rsidR="00E722FF" w:rsidRPr="00E722FF">
        <w:rPr>
          <w:rFonts w:cs="Arial"/>
          <w:color w:val="000000" w:themeColor="text1"/>
          <w:sz w:val="24"/>
          <w:szCs w:val="24"/>
        </w:rPr>
        <w:t>R4-2119139</w:t>
      </w:r>
      <w:bookmarkStart w:id="5" w:name="_GoBack"/>
      <w:bookmarkEnd w:id="5"/>
    </w:p>
    <w:p w14:paraId="3F94F918" w14:textId="77777777" w:rsidR="006C4650" w:rsidRPr="008B292E"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8B292E">
        <w:rPr>
          <w:rFonts w:eastAsia="SimSun" w:cs="Arial"/>
          <w:color w:val="000000" w:themeColor="text1"/>
          <w:sz w:val="24"/>
          <w:szCs w:val="24"/>
          <w:lang w:eastAsia="zh-CN"/>
        </w:rPr>
        <w:t>Electronic Meeting, August 16-27,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1D704B" w:rsidRDefault="00D64225" w:rsidP="00D64225">
      <w:pPr>
        <w:tabs>
          <w:tab w:val="left" w:pos="1985"/>
        </w:tabs>
        <w:jc w:val="both"/>
        <w:rPr>
          <w:rFonts w:ascii="Arial" w:eastAsia="SimSun" w:hAnsi="Arial" w:cs="Arial"/>
          <w:b/>
          <w:color w:val="000000" w:themeColor="text1"/>
          <w:sz w:val="22"/>
          <w:lang w:eastAsia="zh-CN"/>
        </w:rPr>
      </w:pPr>
      <w:r w:rsidRPr="001D704B">
        <w:rPr>
          <w:rFonts w:ascii="Arial" w:hAnsi="Arial" w:cs="Arial"/>
          <w:b/>
          <w:color w:val="000000" w:themeColor="text1"/>
          <w:sz w:val="22"/>
        </w:rPr>
        <w:t xml:space="preserve">Source: </w:t>
      </w:r>
      <w:r w:rsidRPr="001D704B">
        <w:rPr>
          <w:rFonts w:ascii="Arial" w:hAnsi="Arial" w:cs="Arial"/>
          <w:b/>
          <w:color w:val="000000" w:themeColor="text1"/>
          <w:sz w:val="22"/>
        </w:rPr>
        <w:tab/>
      </w:r>
      <w:r w:rsidRPr="001D704B">
        <w:rPr>
          <w:rFonts w:ascii="Arial" w:hAnsi="Arial" w:cs="Arial"/>
          <w:color w:val="000000" w:themeColor="text1"/>
          <w:sz w:val="22"/>
        </w:rPr>
        <w:t>Huawei</w:t>
      </w:r>
    </w:p>
    <w:p w14:paraId="6418A75D" w14:textId="22E2405E" w:rsidR="003841C2" w:rsidRPr="001567B4" w:rsidRDefault="00D64225" w:rsidP="00902558">
      <w:pPr>
        <w:ind w:left="1985" w:hanging="1985"/>
        <w:rPr>
          <w:rFonts w:ascii="Arial" w:hAnsi="Arial" w:cs="Arial"/>
          <w:color w:val="000000" w:themeColor="text1"/>
          <w:sz w:val="22"/>
        </w:rPr>
      </w:pPr>
      <w:r w:rsidRPr="001D704B">
        <w:rPr>
          <w:rFonts w:ascii="Arial" w:hAnsi="Arial" w:cs="Arial"/>
          <w:b/>
          <w:color w:val="000000" w:themeColor="text1"/>
          <w:sz w:val="22"/>
        </w:rPr>
        <w:t>Title:</w:t>
      </w:r>
      <w:r w:rsidRPr="001D704B">
        <w:rPr>
          <w:rFonts w:ascii="Arial" w:hAnsi="Arial" w:cs="Arial"/>
          <w:color w:val="000000" w:themeColor="text1"/>
          <w:sz w:val="22"/>
        </w:rPr>
        <w:t xml:space="preserve"> </w:t>
      </w:r>
      <w:r w:rsidRPr="001D704B">
        <w:rPr>
          <w:rFonts w:ascii="Arial" w:hAnsi="Arial" w:cs="Arial"/>
          <w:color w:val="000000" w:themeColor="text1"/>
          <w:sz w:val="22"/>
        </w:rPr>
        <w:tab/>
      </w:r>
      <w:r w:rsidR="00767A3A" w:rsidRPr="00767A3A">
        <w:rPr>
          <w:rFonts w:ascii="Arial" w:hAnsi="Arial" w:cs="Arial"/>
          <w:color w:val="000000" w:themeColor="text1"/>
          <w:sz w:val="22"/>
        </w:rPr>
        <w:t xml:space="preserve">Further </w:t>
      </w:r>
      <w:r w:rsidR="00767A3A" w:rsidRPr="001567B4">
        <w:rPr>
          <w:rFonts w:ascii="Arial" w:hAnsi="Arial" w:cs="Arial"/>
          <w:color w:val="000000" w:themeColor="text1"/>
          <w:sz w:val="22"/>
        </w:rPr>
        <w:t>discussion on the BS RF requirements for RMR1900</w:t>
      </w:r>
    </w:p>
    <w:p w14:paraId="3ACA12DB" w14:textId="1B212AB9" w:rsidR="00D64225" w:rsidRPr="001567B4" w:rsidRDefault="00D64225" w:rsidP="00902558">
      <w:pPr>
        <w:ind w:left="1985" w:hanging="1985"/>
        <w:rPr>
          <w:rFonts w:ascii="Arial" w:eastAsia="SimSun" w:hAnsi="Arial" w:cs="Arial"/>
          <w:color w:val="000000" w:themeColor="text1"/>
          <w:sz w:val="22"/>
          <w:lang w:eastAsia="zh-CN"/>
        </w:rPr>
      </w:pPr>
      <w:r w:rsidRPr="001567B4">
        <w:rPr>
          <w:rFonts w:ascii="Arial" w:hAnsi="Arial" w:cs="Arial"/>
          <w:b/>
          <w:color w:val="000000" w:themeColor="text1"/>
          <w:sz w:val="22"/>
        </w:rPr>
        <w:t>Agen</w:t>
      </w:r>
      <w:r w:rsidRPr="001567B4">
        <w:rPr>
          <w:rFonts w:ascii="Arial" w:eastAsia="SimSun" w:hAnsi="Arial" w:cs="Arial" w:hint="eastAsia"/>
          <w:b/>
          <w:color w:val="000000" w:themeColor="text1"/>
          <w:sz w:val="22"/>
          <w:lang w:eastAsia="zh-CN"/>
        </w:rPr>
        <w:t>d</w:t>
      </w:r>
      <w:r w:rsidRPr="001567B4">
        <w:rPr>
          <w:rFonts w:ascii="Arial" w:hAnsi="Arial" w:cs="Arial"/>
          <w:b/>
          <w:color w:val="000000" w:themeColor="text1"/>
          <w:sz w:val="22"/>
        </w:rPr>
        <w:t>a Item:</w:t>
      </w:r>
      <w:r w:rsidRPr="001567B4">
        <w:rPr>
          <w:rFonts w:ascii="Arial" w:hAnsi="Arial" w:cs="Arial"/>
          <w:color w:val="000000" w:themeColor="text1"/>
          <w:sz w:val="22"/>
        </w:rPr>
        <w:tab/>
      </w:r>
      <w:r w:rsidR="00767A3A" w:rsidRPr="001567B4">
        <w:rPr>
          <w:rFonts w:ascii="Arial" w:hAnsi="Arial" w:cs="Arial"/>
          <w:color w:val="000000" w:themeColor="text1"/>
          <w:sz w:val="22"/>
        </w:rPr>
        <w:t>7.3.4</w:t>
      </w:r>
    </w:p>
    <w:p w14:paraId="754225A9" w14:textId="6BCF5947" w:rsidR="00D64225" w:rsidRPr="001567B4" w:rsidRDefault="00D64225" w:rsidP="00D64225">
      <w:pPr>
        <w:tabs>
          <w:tab w:val="left" w:pos="1985"/>
        </w:tabs>
        <w:jc w:val="both"/>
        <w:rPr>
          <w:rFonts w:ascii="Arial" w:eastAsia="SimSun" w:hAnsi="Arial" w:cs="Arial"/>
          <w:color w:val="000000" w:themeColor="text1"/>
          <w:sz w:val="22"/>
          <w:lang w:eastAsia="zh-CN"/>
        </w:rPr>
      </w:pPr>
      <w:r w:rsidRPr="001567B4">
        <w:rPr>
          <w:rFonts w:ascii="Arial" w:hAnsi="Arial" w:cs="Arial"/>
          <w:b/>
          <w:color w:val="000000" w:themeColor="text1"/>
          <w:sz w:val="22"/>
        </w:rPr>
        <w:t>Document for:</w:t>
      </w:r>
      <w:r w:rsidRPr="001567B4">
        <w:rPr>
          <w:rFonts w:ascii="Arial" w:hAnsi="Arial" w:cs="Arial"/>
          <w:color w:val="000000" w:themeColor="text1"/>
          <w:sz w:val="22"/>
        </w:rPr>
        <w:tab/>
      </w:r>
      <w:r w:rsidR="00575C92" w:rsidRPr="001567B4">
        <w:rPr>
          <w:rFonts w:ascii="Arial" w:hAnsi="Arial" w:cs="Arial"/>
          <w:color w:val="000000" w:themeColor="text1"/>
          <w:sz w:val="22"/>
        </w:rPr>
        <w:t xml:space="preserve">Discussion </w:t>
      </w:r>
    </w:p>
    <w:p w14:paraId="05ABB6E4" w14:textId="77777777" w:rsidR="00D64225" w:rsidRPr="001567B4" w:rsidRDefault="00D64225" w:rsidP="002867EC">
      <w:pPr>
        <w:pStyle w:val="Heading1"/>
        <w:numPr>
          <w:ilvl w:val="0"/>
          <w:numId w:val="2"/>
        </w:numPr>
        <w:overflowPunct w:val="0"/>
        <w:autoSpaceDE w:val="0"/>
        <w:autoSpaceDN w:val="0"/>
        <w:adjustRightInd w:val="0"/>
        <w:textAlignment w:val="baseline"/>
      </w:pPr>
      <w:r w:rsidRPr="001567B4">
        <w:t>Introduction</w:t>
      </w:r>
    </w:p>
    <w:bookmarkEnd w:id="3"/>
    <w:bookmarkEnd w:id="4"/>
    <w:p w14:paraId="6F39A54C" w14:textId="0D551DC4" w:rsidR="002E1216" w:rsidRPr="001567B4" w:rsidRDefault="002E1216" w:rsidP="0031533B">
      <w:r w:rsidRPr="001567B4">
        <w:t>Referring to the WF in [1], the following items were agreed for RMR 1900.</w:t>
      </w:r>
    </w:p>
    <w:tbl>
      <w:tblPr>
        <w:tblStyle w:val="TableGrid"/>
        <w:tblW w:w="0" w:type="auto"/>
        <w:tblLook w:val="04A0" w:firstRow="1" w:lastRow="0" w:firstColumn="1" w:lastColumn="0" w:noHBand="0" w:noVBand="1"/>
      </w:tblPr>
      <w:tblGrid>
        <w:gridCol w:w="9631"/>
      </w:tblGrid>
      <w:tr w:rsidR="002E1216" w:rsidRPr="001567B4" w14:paraId="0AC93D75" w14:textId="77777777" w:rsidTr="003324C1">
        <w:tc>
          <w:tcPr>
            <w:tcW w:w="9631" w:type="dxa"/>
          </w:tcPr>
          <w:p w14:paraId="4F795187" w14:textId="77777777" w:rsidR="002E1216" w:rsidRPr="001567B4" w:rsidRDefault="002E1216" w:rsidP="003324C1">
            <w:pPr>
              <w:rPr>
                <w:color w:val="000000" w:themeColor="text1"/>
              </w:rPr>
            </w:pPr>
            <w:r w:rsidRPr="001567B4">
              <w:rPr>
                <w:b/>
                <w:color w:val="000000" w:themeColor="text1"/>
              </w:rPr>
              <w:t>1. Way Forward 1 (Sub topic 1-1: EIRP requirements conversion to conducted requirements)</w:t>
            </w:r>
            <w:r w:rsidRPr="001567B4">
              <w:rPr>
                <w:color w:val="000000" w:themeColor="text1"/>
              </w:rPr>
              <w:t>:</w:t>
            </w:r>
          </w:p>
          <w:p w14:paraId="7C398D1E" w14:textId="77777777" w:rsidR="002E1216" w:rsidRPr="001567B4" w:rsidRDefault="002E1216" w:rsidP="003324C1">
            <w:pPr>
              <w:ind w:left="284"/>
              <w:rPr>
                <w:color w:val="000000" w:themeColor="text1"/>
                <w:lang w:val="en-US" w:eastAsia="zh-CN"/>
              </w:rPr>
            </w:pPr>
            <w:r w:rsidRPr="001567B4">
              <w:rPr>
                <w:color w:val="000000" w:themeColor="text1"/>
                <w:lang w:val="en-US" w:eastAsia="zh-CN"/>
              </w:rPr>
              <w:t>For the next meeting, provided pros and cons analyses for the following options for the EIRP</w:t>
            </w:r>
            <w:r w:rsidRPr="001567B4">
              <w:rPr>
                <w:color w:val="000000" w:themeColor="text1"/>
                <w:lang w:val="en-US" w:eastAsia="zh-CN"/>
              </w:rPr>
              <w:noBreakHyphen/>
              <w:t xml:space="preserve">based ECC requirements conversion to conducted requirements: </w:t>
            </w:r>
          </w:p>
          <w:p w14:paraId="46E7B960" w14:textId="77777777" w:rsidR="002E1216" w:rsidRPr="001567B4" w:rsidRDefault="002E1216" w:rsidP="002E1216">
            <w:pPr>
              <w:pStyle w:val="ListParagraph"/>
              <w:numPr>
                <w:ilvl w:val="0"/>
                <w:numId w:val="41"/>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1567B4">
              <w:rPr>
                <w:rFonts w:ascii="Times New Roman" w:hAnsi="Times New Roman" w:cs="Times New Roman"/>
                <w:color w:val="000000" w:themeColor="text1"/>
                <w:sz w:val="20"/>
                <w:szCs w:val="20"/>
              </w:rPr>
              <w:t>Manufacturer declaration based approach,</w:t>
            </w:r>
          </w:p>
          <w:p w14:paraId="42BF6CEB" w14:textId="77777777" w:rsidR="002E1216" w:rsidRPr="001567B4" w:rsidRDefault="002E1216" w:rsidP="002E1216">
            <w:pPr>
              <w:pStyle w:val="ListParagraph"/>
              <w:numPr>
                <w:ilvl w:val="0"/>
                <w:numId w:val="41"/>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1567B4">
              <w:rPr>
                <w:rFonts w:ascii="Times New Roman" w:hAnsi="Times New Roman" w:cs="Times New Roman"/>
                <w:color w:val="000000" w:themeColor="text1"/>
                <w:sz w:val="20"/>
                <w:szCs w:val="20"/>
              </w:rPr>
              <w:t>Fixed antenna gain approach.</w:t>
            </w:r>
          </w:p>
          <w:p w14:paraId="4E50BF57" w14:textId="73F36557" w:rsidR="002E1216" w:rsidRPr="001567B4" w:rsidRDefault="002E1216" w:rsidP="003324C1">
            <w:pPr>
              <w:rPr>
                <w:color w:val="000000" w:themeColor="text1"/>
                <w:lang w:val="en-US" w:eastAsia="zh-CN"/>
              </w:rPr>
            </w:pPr>
            <w:r w:rsidRPr="001567B4">
              <w:rPr>
                <w:color w:val="000000" w:themeColor="text1"/>
                <w:lang w:val="en-US" w:eastAsia="zh-CN"/>
              </w:rPr>
              <w:t>Other options are not precluded for the analysis next meeting</w:t>
            </w:r>
          </w:p>
        </w:tc>
      </w:tr>
      <w:tr w:rsidR="002E1216" w:rsidRPr="001567B4" w14:paraId="49B3AE8C" w14:textId="77777777" w:rsidTr="003324C1">
        <w:tc>
          <w:tcPr>
            <w:tcW w:w="9631" w:type="dxa"/>
          </w:tcPr>
          <w:p w14:paraId="5B83A5E7" w14:textId="77777777" w:rsidR="002E1216" w:rsidRPr="001567B4" w:rsidRDefault="002E1216" w:rsidP="002E1216">
            <w:pPr>
              <w:rPr>
                <w:b/>
                <w:color w:val="000000" w:themeColor="text1"/>
                <w:lang w:val="en-US" w:eastAsia="zh-CN"/>
              </w:rPr>
            </w:pPr>
            <w:r w:rsidRPr="001567B4">
              <w:rPr>
                <w:b/>
                <w:color w:val="000000" w:themeColor="text1"/>
              </w:rPr>
              <w:t>Way Forward 6</w:t>
            </w:r>
            <w:r w:rsidRPr="001567B4">
              <w:rPr>
                <w:color w:val="000000" w:themeColor="text1"/>
              </w:rPr>
              <w:t xml:space="preserve"> (</w:t>
            </w:r>
            <w:r w:rsidRPr="001567B4">
              <w:rPr>
                <w:b/>
                <w:bCs/>
                <w:color w:val="000000" w:themeColor="text1"/>
                <w:lang w:val="en-US" w:eastAsia="zh-CN"/>
              </w:rPr>
              <w:t xml:space="preserve">Sub-topic </w:t>
            </w:r>
            <w:r w:rsidRPr="001567B4">
              <w:rPr>
                <w:b/>
                <w:color w:val="000000" w:themeColor="text1"/>
                <w:lang w:val="en-US" w:eastAsia="zh-CN"/>
              </w:rPr>
              <w:t xml:space="preserve">4-2: consideration of BS enhanced selectivity for band n1): </w:t>
            </w:r>
          </w:p>
          <w:p w14:paraId="1D5E6775" w14:textId="15817A5C" w:rsidR="002E1216" w:rsidRPr="001567B4" w:rsidRDefault="002E1216" w:rsidP="002E1216">
            <w:pPr>
              <w:rPr>
                <w:color w:val="000000" w:themeColor="text1"/>
                <w:lang w:eastAsia="zh-CN"/>
              </w:rPr>
            </w:pPr>
            <w:r w:rsidRPr="001567B4">
              <w:rPr>
                <w:color w:val="000000" w:themeColor="text1"/>
                <w:lang w:eastAsia="zh-CN"/>
              </w:rPr>
              <w:t>RAN4 will not specify any requirement to capture the BS enhanced selectivity (band n1) assumption. A note should be added in TS 38.104 and/or in 1900MHz band TR to highlight this.</w:t>
            </w:r>
          </w:p>
        </w:tc>
      </w:tr>
      <w:tr w:rsidR="002E1216" w:rsidRPr="001567B4" w14:paraId="53203AFB" w14:textId="77777777" w:rsidTr="003324C1">
        <w:tc>
          <w:tcPr>
            <w:tcW w:w="9631" w:type="dxa"/>
          </w:tcPr>
          <w:p w14:paraId="233FD2A5" w14:textId="77777777" w:rsidR="002E1216" w:rsidRPr="001567B4" w:rsidRDefault="002E1216" w:rsidP="002E1216">
            <w:pPr>
              <w:rPr>
                <w:color w:val="000000" w:themeColor="text1"/>
              </w:rPr>
            </w:pPr>
            <w:r w:rsidRPr="001567B4">
              <w:rPr>
                <w:b/>
                <w:color w:val="000000" w:themeColor="text1"/>
              </w:rPr>
              <w:t>Way Forward 7 (</w:t>
            </w:r>
            <w:r w:rsidRPr="001567B4">
              <w:rPr>
                <w:b/>
                <w:bCs/>
                <w:color w:val="000000" w:themeColor="text1"/>
                <w:lang w:val="en-US" w:eastAsia="zh-CN"/>
              </w:rPr>
              <w:t>Sub-topic 5-3: consideration of RMR co-location with MFCN BSs</w:t>
            </w:r>
            <w:r w:rsidRPr="001567B4">
              <w:rPr>
                <w:b/>
                <w:color w:val="000000" w:themeColor="text1"/>
              </w:rPr>
              <w:t>)</w:t>
            </w:r>
            <w:r w:rsidRPr="001567B4">
              <w:rPr>
                <w:color w:val="000000" w:themeColor="text1"/>
              </w:rPr>
              <w:t xml:space="preserve">: </w:t>
            </w:r>
          </w:p>
          <w:p w14:paraId="5436BDE7" w14:textId="6280D8C2" w:rsidR="002E1216" w:rsidRPr="001567B4" w:rsidRDefault="002E1216" w:rsidP="002E1216">
            <w:pPr>
              <w:rPr>
                <w:b/>
                <w:color w:val="000000" w:themeColor="text1"/>
              </w:rPr>
            </w:pPr>
            <w:r w:rsidRPr="001567B4">
              <w:rPr>
                <w:color w:val="000000" w:themeColor="text1"/>
                <w:lang w:eastAsia="zh-CN"/>
              </w:rPr>
              <w:t>In principle, RMR BSs are not expected to be co-located with MFCN BSs. Nevertheless, in a coordinated approach co-location is of interest and need to be considered in 3GPP spec.</w:t>
            </w:r>
          </w:p>
        </w:tc>
      </w:tr>
    </w:tbl>
    <w:p w14:paraId="24403D38" w14:textId="77777777" w:rsidR="002E1216" w:rsidRPr="001567B4" w:rsidRDefault="002E1216" w:rsidP="0031533B"/>
    <w:p w14:paraId="11DBB675" w14:textId="0B9C9F07" w:rsidR="005A21CB" w:rsidRPr="001567B4" w:rsidRDefault="005A21CB" w:rsidP="0031533B">
      <w:r w:rsidRPr="001567B4">
        <w:t>On top of the above agreements, additional suggestions for further discussion topics were also listed in that WF in [1].</w:t>
      </w:r>
    </w:p>
    <w:p w14:paraId="0E42C450" w14:textId="097FE019" w:rsidR="003841C2" w:rsidRPr="001567B4" w:rsidRDefault="003841C2" w:rsidP="0031533B">
      <w:r w:rsidRPr="001567B4">
        <w:t>In this contribution,</w:t>
      </w:r>
      <w:r w:rsidR="00767A3A" w:rsidRPr="001567B4">
        <w:t xml:space="preserve"> we provide further analysis for the BS RF requirements for RMR1900</w:t>
      </w:r>
      <w:r w:rsidR="00CC782C" w:rsidRPr="001567B4">
        <w:t xml:space="preserve">. </w:t>
      </w:r>
    </w:p>
    <w:p w14:paraId="41FC58AF" w14:textId="0950B226" w:rsidR="002E1216" w:rsidRPr="00A12D06" w:rsidRDefault="002E1216" w:rsidP="003324C1">
      <w:pPr>
        <w:pStyle w:val="Heading1"/>
        <w:numPr>
          <w:ilvl w:val="0"/>
          <w:numId w:val="2"/>
        </w:numPr>
        <w:overflowPunct w:val="0"/>
        <w:autoSpaceDE w:val="0"/>
        <w:autoSpaceDN w:val="0"/>
        <w:adjustRightInd w:val="0"/>
        <w:textAlignment w:val="baseline"/>
      </w:pPr>
      <w:r w:rsidRPr="00767A3A">
        <w:t>Discussion</w:t>
      </w:r>
    </w:p>
    <w:p w14:paraId="159C9B2B" w14:textId="2DAC124A" w:rsidR="00A12D06" w:rsidRPr="00214F94" w:rsidRDefault="00A12D06" w:rsidP="00A12D06">
      <w:pPr>
        <w:pStyle w:val="Heading1"/>
        <w:numPr>
          <w:ilvl w:val="1"/>
          <w:numId w:val="2"/>
        </w:numPr>
        <w:overflowPunct w:val="0"/>
        <w:autoSpaceDE w:val="0"/>
        <w:autoSpaceDN w:val="0"/>
        <w:adjustRightInd w:val="0"/>
        <w:textAlignment w:val="baseline"/>
        <w:rPr>
          <w:color w:val="000000" w:themeColor="text1"/>
        </w:rPr>
      </w:pPr>
      <w:r w:rsidRPr="00A12D06">
        <w:rPr>
          <w:color w:val="000000" w:themeColor="text1"/>
        </w:rPr>
        <w:t xml:space="preserve">EIRP requirements </w:t>
      </w:r>
      <w:r w:rsidRPr="00214F94">
        <w:rPr>
          <w:color w:val="000000" w:themeColor="text1"/>
        </w:rPr>
        <w:t>conversion to conducted requirements</w:t>
      </w:r>
    </w:p>
    <w:p w14:paraId="33F97466" w14:textId="2294730F" w:rsidR="00A12D06" w:rsidRPr="00C23101" w:rsidRDefault="00214F94" w:rsidP="00214F94">
      <w:pPr>
        <w:rPr>
          <w:color w:val="000000" w:themeColor="text1"/>
          <w:lang w:val="en-US" w:eastAsia="zh-CN"/>
        </w:rPr>
      </w:pPr>
      <w:r w:rsidRPr="00214F94">
        <w:rPr>
          <w:color w:val="000000" w:themeColor="text1"/>
          <w:lang w:val="en-US" w:eastAsia="zh-CN"/>
        </w:rPr>
        <w:t>During last meeting, a WF was agreed to provide</w:t>
      </w:r>
      <w:r w:rsidR="00A12D06" w:rsidRPr="00214F94">
        <w:rPr>
          <w:color w:val="000000" w:themeColor="text1"/>
          <w:lang w:val="en-US" w:eastAsia="zh-CN"/>
        </w:rPr>
        <w:t xml:space="preserve"> </w:t>
      </w:r>
      <w:r w:rsidR="00A12D06" w:rsidRPr="00C23101">
        <w:rPr>
          <w:color w:val="000000" w:themeColor="text1"/>
          <w:lang w:val="en-US" w:eastAsia="zh-CN"/>
        </w:rPr>
        <w:t>pros and cons analyses for the following options for the EIRP</w:t>
      </w:r>
      <w:r w:rsidR="00A12D06" w:rsidRPr="00C23101">
        <w:rPr>
          <w:color w:val="000000" w:themeColor="text1"/>
          <w:lang w:val="en-US" w:eastAsia="zh-CN"/>
        </w:rPr>
        <w:noBreakHyphen/>
        <w:t xml:space="preserve">based ECC requirements conversion to conducted requirements: </w:t>
      </w:r>
    </w:p>
    <w:p w14:paraId="03F3343E" w14:textId="77777777" w:rsidR="00A12D06" w:rsidRPr="00C23101" w:rsidRDefault="00A12D06" w:rsidP="00A12D06">
      <w:pPr>
        <w:pStyle w:val="ListParagraph"/>
        <w:numPr>
          <w:ilvl w:val="0"/>
          <w:numId w:val="42"/>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C23101">
        <w:rPr>
          <w:rFonts w:ascii="Times New Roman" w:hAnsi="Times New Roman" w:cs="Times New Roman"/>
          <w:color w:val="000000" w:themeColor="text1"/>
          <w:sz w:val="20"/>
          <w:szCs w:val="20"/>
        </w:rPr>
        <w:t>Manufacturer declaration based approach,</w:t>
      </w:r>
    </w:p>
    <w:p w14:paraId="2427D111" w14:textId="77777777" w:rsidR="00A12D06" w:rsidRPr="00C23101" w:rsidRDefault="00A12D06" w:rsidP="00A12D06">
      <w:pPr>
        <w:pStyle w:val="ListParagraph"/>
        <w:numPr>
          <w:ilvl w:val="0"/>
          <w:numId w:val="42"/>
        </w:numPr>
        <w:overflowPunct w:val="0"/>
        <w:autoSpaceDE w:val="0"/>
        <w:autoSpaceDN w:val="0"/>
        <w:adjustRightInd w:val="0"/>
        <w:spacing w:after="180"/>
        <w:textAlignment w:val="baseline"/>
        <w:rPr>
          <w:rFonts w:ascii="Times New Roman" w:hAnsi="Times New Roman" w:cs="Times New Roman"/>
          <w:color w:val="000000" w:themeColor="text1"/>
          <w:sz w:val="20"/>
          <w:szCs w:val="20"/>
        </w:rPr>
      </w:pPr>
      <w:r w:rsidRPr="00C23101">
        <w:rPr>
          <w:rFonts w:ascii="Times New Roman" w:hAnsi="Times New Roman" w:cs="Times New Roman"/>
          <w:color w:val="000000" w:themeColor="text1"/>
          <w:sz w:val="20"/>
          <w:szCs w:val="20"/>
        </w:rPr>
        <w:t>Fixed antenna gain approach.</w:t>
      </w:r>
    </w:p>
    <w:p w14:paraId="0E7DEC4C" w14:textId="2FB7FBD4" w:rsidR="00214F94" w:rsidRDefault="00D9128E" w:rsidP="00441DBF">
      <w:r w:rsidRPr="00C23101">
        <w:t>The above issue arises from the fact that the source ECC decision</w:t>
      </w:r>
      <w:r w:rsidR="001F3F32">
        <w:t xml:space="preserve"> [7]</w:t>
      </w:r>
      <w:r w:rsidRPr="00C23101">
        <w:t xml:space="preserve"> </w:t>
      </w:r>
      <w:r w:rsidR="00630A11" w:rsidRPr="00C23101">
        <w:t>has defined</w:t>
      </w:r>
      <w:r w:rsidR="00630A11">
        <w:t xml:space="preserve"> the requirements based on EIRP (i.e. antenna gain and internal </w:t>
      </w:r>
      <w:r w:rsidR="001F3F32">
        <w:t xml:space="preserve">(feeder, etc.) </w:t>
      </w:r>
      <w:r w:rsidR="00630A11">
        <w:t xml:space="preserve">losses </w:t>
      </w:r>
      <w:r w:rsidR="001F3F32">
        <w:t xml:space="preserve">were </w:t>
      </w:r>
      <w:r w:rsidR="00630A11">
        <w:t xml:space="preserve">accounted), while the </w:t>
      </w:r>
      <w:r w:rsidR="001F3F32">
        <w:t xml:space="preserve">RMR </w:t>
      </w:r>
      <w:r w:rsidR="00630A11">
        <w:t>WID considers only non-AAS BS architecture, w</w:t>
      </w:r>
      <w:r w:rsidR="001F3F32">
        <w:t>ith the conducted requirements defined at the antenna port.</w:t>
      </w:r>
    </w:p>
    <w:p w14:paraId="017D76B8" w14:textId="1AF9F61D" w:rsidR="00214F94" w:rsidRPr="001567B4" w:rsidRDefault="00441DBF" w:rsidP="009D728B">
      <w:r w:rsidRPr="00441DBF">
        <w:lastRenderedPageBreak/>
        <w:t xml:space="preserve">Below we provide the </w:t>
      </w:r>
      <w:r w:rsidR="00C43A32">
        <w:t xml:space="preserve">pros and cons </w:t>
      </w:r>
      <w:r w:rsidR="00C43A32" w:rsidRPr="001567B4">
        <w:t xml:space="preserve">analysis for both options: </w:t>
      </w:r>
    </w:p>
    <w:p w14:paraId="2B4F443F" w14:textId="5C167DEA" w:rsidR="00C43A32" w:rsidRPr="001567B4" w:rsidRDefault="00C43A32" w:rsidP="009D728B">
      <w:pPr>
        <w:rPr>
          <w:b/>
        </w:rPr>
      </w:pPr>
      <w:r w:rsidRPr="001567B4">
        <w:rPr>
          <w:b/>
        </w:rPr>
        <w:t>Option 1: Manufacturer declaration based approach</w:t>
      </w:r>
    </w:p>
    <w:p w14:paraId="321F49A3" w14:textId="0F16865A" w:rsidR="00C43A32" w:rsidRDefault="00C43A32" w:rsidP="009D728B">
      <w:r w:rsidRPr="001567B4">
        <w:t xml:space="preserve">As the </w:t>
      </w:r>
      <w:r w:rsidR="001567B4" w:rsidRPr="001567B4">
        <w:t>RMR</w:t>
      </w:r>
      <w:r w:rsidRPr="001567B4">
        <w:t>1900 operation is intended for Europe, the related Rel</w:t>
      </w:r>
      <w:r w:rsidRPr="001567B4">
        <w:noBreakHyphen/>
        <w:t>17 RAN4 conformance testing specification will be transposed by the ETSI MSG TFES group into the updated version of so called ETSI Harmonized Standard.</w:t>
      </w:r>
      <w:r w:rsidR="001F3F32" w:rsidRPr="001567B4">
        <w:t xml:space="preserve"> </w:t>
      </w:r>
      <w:r w:rsidRPr="001567B4">
        <w:t xml:space="preserve">For NR BS, the </w:t>
      </w:r>
      <w:r w:rsidR="001567B4" w:rsidRPr="001567B4">
        <w:t>RMR</w:t>
      </w:r>
      <w:r w:rsidRPr="001567B4">
        <w:t xml:space="preserve">1900 is expected to be captured in future version of the ETSI EN 301 908-24 </w:t>
      </w:r>
      <w:r w:rsidR="001F3F32" w:rsidRPr="001567B4">
        <w:t xml:space="preserve">(NR BS) </w:t>
      </w:r>
      <w:r w:rsidRPr="001567B4">
        <w:t>specification</w:t>
      </w:r>
      <w:r w:rsidR="001F3F32" w:rsidRPr="001567B4">
        <w:t> </w:t>
      </w:r>
      <w:r w:rsidRPr="001567B4">
        <w:t>[2]. This speci</w:t>
      </w:r>
      <w:r w:rsidR="001F3F32" w:rsidRPr="001567B4">
        <w:t xml:space="preserve">fication is developed under </w:t>
      </w:r>
      <w:r w:rsidRPr="001567B4">
        <w:t>work</w:t>
      </w:r>
      <w:r>
        <w:t xml:space="preserve"> item </w:t>
      </w:r>
      <w:r w:rsidR="001F3F32">
        <w:t xml:space="preserve">in [3] </w:t>
      </w:r>
      <w:r>
        <w:t>by ETSI MSG TFES</w:t>
      </w:r>
      <w:r w:rsidR="001F3F32">
        <w:t xml:space="preserve"> group</w:t>
      </w:r>
      <w:r>
        <w:t xml:space="preserve">, with the following co-signing companies: </w:t>
      </w:r>
    </w:p>
    <w:p w14:paraId="7558B473" w14:textId="77777777" w:rsidR="00C43A32" w:rsidRDefault="00C43A32" w:rsidP="009D728B">
      <w:r>
        <w:t>Ericsson LM, Huawei Technologies Sweden AB, Nokia Germany, Qualcomm Wireless GmbH.</w:t>
      </w:r>
    </w:p>
    <w:p w14:paraId="22F0535D" w14:textId="77777777" w:rsidR="00F8373B" w:rsidRDefault="00F8373B" w:rsidP="009D728B"/>
    <w:p w14:paraId="06E062FE" w14:textId="043CB800" w:rsidR="009D728B" w:rsidRPr="00BB7AD6" w:rsidRDefault="00F8373B" w:rsidP="009D728B">
      <w:r>
        <w:t xml:space="preserve">During past MSG TFES work, multiple </w:t>
      </w:r>
      <w:r w:rsidR="001F3F32">
        <w:t xml:space="preserve">ETSI EN </w:t>
      </w:r>
      <w:r>
        <w:t xml:space="preserve">specification reviews were organized by the EC in order to allow an external Consultant to provide an independent technical review. </w:t>
      </w:r>
      <w:r w:rsidR="00733159">
        <w:t xml:space="preserve">Such reviews were organized by the EC for ETSI specifications from various technical fields. </w:t>
      </w:r>
      <w:r>
        <w:t xml:space="preserve">Base Station specifications were also </w:t>
      </w:r>
      <w:r w:rsidRPr="00BB7AD6">
        <w:t xml:space="preserve">undergoing (multiple rounds) of such reviews. </w:t>
      </w:r>
      <w:r w:rsidR="009D728B" w:rsidRPr="00BB7AD6">
        <w:t>Some of the recent comments to the BS specification can be found in the following references</w:t>
      </w:r>
      <w:r w:rsidR="002D73D5" w:rsidRPr="00BB7AD6">
        <w:t>, e.g.</w:t>
      </w:r>
      <w:r w:rsidR="009D728B" w:rsidRPr="00BB7AD6">
        <w:t xml:space="preserve">: </w:t>
      </w:r>
    </w:p>
    <w:p w14:paraId="13330E57" w14:textId="4BFBE9B0" w:rsidR="002D73D5" w:rsidRPr="00BB7AD6" w:rsidRDefault="00733159" w:rsidP="009D728B">
      <w:pPr>
        <w:pStyle w:val="ListParagraph"/>
        <w:numPr>
          <w:ilvl w:val="0"/>
          <w:numId w:val="45"/>
        </w:numPr>
        <w:rPr>
          <w:rFonts w:ascii="Times New Roman" w:hAnsi="Times New Roman" w:cs="Times New Roman"/>
          <w:sz w:val="20"/>
          <w:szCs w:val="20"/>
        </w:rPr>
      </w:pPr>
      <w:r>
        <w:rPr>
          <w:rFonts w:ascii="Times New Roman" w:hAnsi="Times New Roman" w:cs="Times New Roman"/>
          <w:sz w:val="20"/>
          <w:szCs w:val="20"/>
        </w:rPr>
        <w:t xml:space="preserve">NR UE: </w:t>
      </w:r>
      <w:r w:rsidR="009D728B" w:rsidRPr="00BB7AD6">
        <w:rPr>
          <w:rFonts w:ascii="Times New Roman" w:hAnsi="Times New Roman" w:cs="Times New Roman"/>
          <w:sz w:val="20"/>
          <w:szCs w:val="20"/>
        </w:rPr>
        <w:t>Review of the ETSI EN 301 908-13</w:t>
      </w:r>
      <w:r>
        <w:rPr>
          <w:rFonts w:ascii="Times New Roman" w:hAnsi="Times New Roman" w:cs="Times New Roman"/>
          <w:sz w:val="20"/>
          <w:szCs w:val="20"/>
        </w:rPr>
        <w:t xml:space="preserve"> </w:t>
      </w:r>
      <w:r w:rsidR="009D728B" w:rsidRPr="00BB7AD6">
        <w:rPr>
          <w:rFonts w:ascii="Times New Roman" w:hAnsi="Times New Roman" w:cs="Times New Roman"/>
          <w:sz w:val="20"/>
          <w:szCs w:val="20"/>
        </w:rPr>
        <w:t>V13.2.1 [4]</w:t>
      </w:r>
      <w:r w:rsidR="002D73D5" w:rsidRPr="00BB7AD6">
        <w:rPr>
          <w:rFonts w:ascii="Times New Roman" w:hAnsi="Times New Roman" w:cs="Times New Roman"/>
          <w:sz w:val="20"/>
          <w:szCs w:val="20"/>
        </w:rPr>
        <w:t xml:space="preserve"> </w:t>
      </w:r>
    </w:p>
    <w:p w14:paraId="118BD6E6" w14:textId="5157D775" w:rsidR="001621D7" w:rsidRDefault="00733159" w:rsidP="002D73D5">
      <w:pPr>
        <w:pStyle w:val="ListParagraph"/>
        <w:numPr>
          <w:ilvl w:val="0"/>
          <w:numId w:val="45"/>
        </w:numPr>
        <w:rPr>
          <w:rFonts w:ascii="Times New Roman" w:hAnsi="Times New Roman" w:cs="Times New Roman"/>
          <w:sz w:val="20"/>
          <w:szCs w:val="20"/>
        </w:rPr>
      </w:pPr>
      <w:r>
        <w:rPr>
          <w:rFonts w:ascii="Times New Roman" w:hAnsi="Times New Roman" w:cs="Times New Roman"/>
          <w:sz w:val="20"/>
          <w:szCs w:val="20"/>
        </w:rPr>
        <w:t xml:space="preserve">AAS BS: </w:t>
      </w:r>
      <w:r w:rsidR="002D73D5" w:rsidRPr="00BB7AD6">
        <w:rPr>
          <w:rFonts w:ascii="Times New Roman" w:hAnsi="Times New Roman" w:cs="Times New Roman"/>
          <w:sz w:val="20"/>
          <w:szCs w:val="20"/>
        </w:rPr>
        <w:t>EY Assessment of REN/MSG-TFES-13-23</w:t>
      </w:r>
      <w:r>
        <w:rPr>
          <w:rFonts w:ascii="Times New Roman" w:hAnsi="Times New Roman" w:cs="Times New Roman"/>
          <w:sz w:val="20"/>
          <w:szCs w:val="20"/>
        </w:rPr>
        <w:t xml:space="preserve"> </w:t>
      </w:r>
      <w:r w:rsidR="002D73D5" w:rsidRPr="00BB7AD6">
        <w:rPr>
          <w:rFonts w:ascii="Times New Roman" w:hAnsi="Times New Roman" w:cs="Times New Roman"/>
          <w:sz w:val="20"/>
          <w:szCs w:val="20"/>
        </w:rPr>
        <w:t>under the RED (Second Assessment) [5]</w:t>
      </w:r>
    </w:p>
    <w:p w14:paraId="074C959B" w14:textId="6BE781DD" w:rsidR="001F3F32" w:rsidRPr="00733159" w:rsidRDefault="00733159" w:rsidP="003324C1">
      <w:pPr>
        <w:pStyle w:val="ListParagraph"/>
        <w:numPr>
          <w:ilvl w:val="0"/>
          <w:numId w:val="45"/>
        </w:numPr>
        <w:rPr>
          <w:rFonts w:ascii="Times New Roman" w:hAnsi="Times New Roman" w:cs="Times New Roman"/>
          <w:sz w:val="20"/>
          <w:szCs w:val="20"/>
        </w:rPr>
      </w:pPr>
      <w:r>
        <w:rPr>
          <w:rFonts w:ascii="Times New Roman" w:hAnsi="Times New Roman" w:cs="Times New Roman"/>
          <w:sz w:val="20"/>
          <w:szCs w:val="20"/>
        </w:rPr>
        <w:t xml:space="preserve">NR BS: </w:t>
      </w:r>
      <w:r w:rsidR="001F3F32" w:rsidRPr="00733159">
        <w:rPr>
          <w:rFonts w:ascii="Times New Roman" w:hAnsi="Times New Roman" w:cs="Times New Roman"/>
          <w:sz w:val="20"/>
          <w:szCs w:val="20"/>
        </w:rPr>
        <w:t>EY Second Assessment of REN/MSG-TFES-13-24 under the RED [6]</w:t>
      </w:r>
    </w:p>
    <w:p w14:paraId="670F8F7E" w14:textId="77777777" w:rsidR="00C43A32" w:rsidRDefault="00C43A32" w:rsidP="009D728B">
      <w:pPr>
        <w:rPr>
          <w:lang w:val="en-US"/>
        </w:rPr>
      </w:pPr>
    </w:p>
    <w:p w14:paraId="25E41B1F" w14:textId="25817D86" w:rsidR="00BB7AD6" w:rsidRDefault="00BB7AD6" w:rsidP="009D728B">
      <w:pPr>
        <w:rPr>
          <w:color w:val="000000" w:themeColor="text1"/>
        </w:rPr>
      </w:pPr>
      <w:r w:rsidRPr="00BB7AD6">
        <w:t>In multiple cases, there were comments</w:t>
      </w:r>
      <w:r>
        <w:t xml:space="preserve"> stating that m</w:t>
      </w:r>
      <w:r w:rsidRPr="00BB7AD6">
        <w:t xml:space="preserve">anufacturer’s declarations are not allowed in </w:t>
      </w:r>
      <w:r w:rsidR="00D6766F">
        <w:t>Harmonized Standard (</w:t>
      </w:r>
      <w:r w:rsidRPr="00BB7AD6">
        <w:t>HS</w:t>
      </w:r>
      <w:r w:rsidR="00D6766F">
        <w:t>)</w:t>
      </w:r>
      <w:r w:rsidR="00733159">
        <w:t>, or that the use of manufacturer declarations may influence the test result (which shall not be allowed)</w:t>
      </w:r>
      <w:r>
        <w:t xml:space="preserve">. Even if some of the above </w:t>
      </w:r>
      <w:r w:rsidRPr="004A202D">
        <w:t xml:space="preserve">referred comments </w:t>
      </w:r>
      <w:r w:rsidR="007460CB" w:rsidRPr="004A202D">
        <w:t xml:space="preserve">could </w:t>
      </w:r>
      <w:r w:rsidRPr="004A202D">
        <w:t xml:space="preserve">be resolved by appropriate clarifications in ETSI TFES, it is still encouraged to avoid as much as possible any unnecessary manufacturer declaration to be introduced into for the BS products, especially those intended </w:t>
      </w:r>
      <w:r w:rsidRPr="001224D8">
        <w:rPr>
          <w:color w:val="000000" w:themeColor="text1"/>
        </w:rPr>
        <w:t xml:space="preserve">for EU market. </w:t>
      </w:r>
      <w:r w:rsidR="00733159" w:rsidRPr="001224D8">
        <w:rPr>
          <w:color w:val="000000" w:themeColor="text1"/>
        </w:rPr>
        <w:t xml:space="preserve">In multiple cases, those comments were marked as critical. </w:t>
      </w:r>
    </w:p>
    <w:p w14:paraId="05A5405B" w14:textId="564ED2FE" w:rsidR="0026581D" w:rsidRPr="001224D8" w:rsidRDefault="0026581D" w:rsidP="009D728B">
      <w:pPr>
        <w:rPr>
          <w:color w:val="000000" w:themeColor="text1"/>
        </w:rPr>
      </w:pPr>
      <w:r>
        <w:rPr>
          <w:color w:val="000000" w:themeColor="text1"/>
        </w:rPr>
        <w:t xml:space="preserve">With the above feedback on the ETSI TFES discussions, interested companies are encouraged to double-check with their respective TFES delegates, in order to identify an agreeable compromise on the MR requirements definition. </w:t>
      </w:r>
    </w:p>
    <w:p w14:paraId="65E9721E" w14:textId="2E5B933F" w:rsidR="00C43A32" w:rsidRPr="001224D8" w:rsidRDefault="00015E49" w:rsidP="001224D8">
      <w:pPr>
        <w:rPr>
          <w:b/>
          <w:color w:val="000000" w:themeColor="text1"/>
        </w:rPr>
      </w:pPr>
      <w:r w:rsidRPr="001224D8">
        <w:rPr>
          <w:b/>
          <w:color w:val="000000" w:themeColor="text1"/>
        </w:rPr>
        <w:t>Option 2: Fixed antenna gain approach</w:t>
      </w:r>
    </w:p>
    <w:p w14:paraId="2BB161F8" w14:textId="77777777" w:rsidR="00015E49" w:rsidRPr="001224D8" w:rsidRDefault="00015E49" w:rsidP="001224D8">
      <w:pPr>
        <w:rPr>
          <w:color w:val="000000" w:themeColor="text1"/>
        </w:rPr>
      </w:pPr>
      <w:r w:rsidRPr="001224D8">
        <w:rPr>
          <w:color w:val="000000" w:themeColor="text1"/>
        </w:rPr>
        <w:t xml:space="preserve">It shall be noted, that the concept of converting conducted-to-radiated (or radiated-to-conducted) requirements based on the fixed antenna gain, is not new. Examples of such approach can be found in, e.g.: </w:t>
      </w:r>
    </w:p>
    <w:p w14:paraId="4F0843A1" w14:textId="47E479B9" w:rsidR="00015E49" w:rsidRPr="001224D8" w:rsidRDefault="00015E49" w:rsidP="002C2331">
      <w:pPr>
        <w:pStyle w:val="ListParagraph"/>
        <w:numPr>
          <w:ilvl w:val="0"/>
          <w:numId w:val="46"/>
        </w:numPr>
        <w:rPr>
          <w:rFonts w:ascii="Times New Roman" w:hAnsi="Times New Roman" w:cs="Times New Roman"/>
          <w:color w:val="000000" w:themeColor="text1"/>
          <w:sz w:val="20"/>
          <w:szCs w:val="20"/>
        </w:rPr>
      </w:pPr>
      <w:r w:rsidRPr="001224D8">
        <w:rPr>
          <w:rFonts w:ascii="Times New Roman" w:hAnsi="Times New Roman" w:cs="Times New Roman"/>
          <w:color w:val="000000" w:themeColor="text1"/>
          <w:sz w:val="20"/>
          <w:szCs w:val="20"/>
        </w:rPr>
        <w:t>TS 36.104 (EUTRA BS)</w:t>
      </w:r>
    </w:p>
    <w:p w14:paraId="7BB7E550" w14:textId="77777777" w:rsidR="005228D8" w:rsidRDefault="005228D8" w:rsidP="005228D8">
      <w:pPr>
        <w:pStyle w:val="ListParagraph"/>
        <w:numPr>
          <w:ilvl w:val="1"/>
          <w:numId w:val="45"/>
        </w:numPr>
        <w:rPr>
          <w:rFonts w:ascii="Times New Roman" w:hAnsi="Times New Roman" w:cs="Times New Roman"/>
          <w:sz w:val="20"/>
          <w:szCs w:val="20"/>
        </w:rPr>
      </w:pPr>
      <w:r w:rsidRPr="005228D8">
        <w:rPr>
          <w:rFonts w:ascii="Times New Roman" w:hAnsi="Times New Roman" w:cs="Times New Roman"/>
          <w:sz w:val="20"/>
          <w:szCs w:val="20"/>
        </w:rPr>
        <w:t xml:space="preserve">Home BS output power for adjacent E-UTRA channel protection </w:t>
      </w:r>
    </w:p>
    <w:p w14:paraId="1A77DF98" w14:textId="58E53B73" w:rsidR="00015E49" w:rsidRPr="002C2331" w:rsidRDefault="00015E49" w:rsidP="005228D8">
      <w:pPr>
        <w:pStyle w:val="ListParagraph"/>
        <w:numPr>
          <w:ilvl w:val="1"/>
          <w:numId w:val="45"/>
        </w:numPr>
        <w:rPr>
          <w:rFonts w:ascii="Times New Roman" w:hAnsi="Times New Roman" w:cs="Times New Roman"/>
          <w:sz w:val="20"/>
          <w:szCs w:val="20"/>
        </w:rPr>
      </w:pPr>
      <w:r w:rsidRPr="002C2331">
        <w:rPr>
          <w:rFonts w:ascii="Times New Roman" w:hAnsi="Times New Roman" w:cs="Times New Roman"/>
          <w:sz w:val="20"/>
          <w:szCs w:val="20"/>
        </w:rPr>
        <w:t>annex H.1 (Calculation of EIRP based on manufacturer declarations and site specific conditions)</w:t>
      </w:r>
    </w:p>
    <w:p w14:paraId="0DAFB66E" w14:textId="0AEE07F1" w:rsidR="00EC1FB2" w:rsidRDefault="00EC1FB2" w:rsidP="004A202D">
      <w:pPr>
        <w:pStyle w:val="ListParagraph"/>
        <w:numPr>
          <w:ilvl w:val="0"/>
          <w:numId w:val="46"/>
        </w:numPr>
        <w:rPr>
          <w:rFonts w:ascii="Times New Roman" w:hAnsi="Times New Roman" w:cs="Times New Roman"/>
          <w:sz w:val="20"/>
          <w:szCs w:val="20"/>
        </w:rPr>
      </w:pPr>
      <w:r>
        <w:rPr>
          <w:rFonts w:ascii="Times New Roman" w:hAnsi="Times New Roman" w:cs="Times New Roman"/>
          <w:sz w:val="20"/>
          <w:szCs w:val="20"/>
        </w:rPr>
        <w:t>TS 37.105 (AAS BS)</w:t>
      </w:r>
    </w:p>
    <w:p w14:paraId="1C5A0F18" w14:textId="6D26A1B0" w:rsidR="00EC1FB2" w:rsidRPr="004A202D" w:rsidRDefault="00EC1FB2" w:rsidP="00EC1FB2">
      <w:pPr>
        <w:pStyle w:val="ListParagraph"/>
        <w:numPr>
          <w:ilvl w:val="1"/>
          <w:numId w:val="46"/>
        </w:numPr>
        <w:rPr>
          <w:rFonts w:ascii="Times New Roman" w:hAnsi="Times New Roman" w:cs="Times New Roman"/>
          <w:sz w:val="20"/>
          <w:szCs w:val="20"/>
        </w:rPr>
      </w:pPr>
      <w:r w:rsidRPr="004A202D">
        <w:rPr>
          <w:rFonts w:ascii="Times New Roman" w:hAnsi="Times New Roman" w:cs="Times New Roman"/>
          <w:sz w:val="20"/>
          <w:szCs w:val="20"/>
        </w:rPr>
        <w:t xml:space="preserve">Additional </w:t>
      </w:r>
      <w:r>
        <w:rPr>
          <w:rFonts w:ascii="Times New Roman" w:hAnsi="Times New Roman" w:cs="Times New Roman"/>
          <w:sz w:val="20"/>
          <w:szCs w:val="20"/>
        </w:rPr>
        <w:t xml:space="preserve">SEM and </w:t>
      </w:r>
      <w:r w:rsidRPr="004A202D">
        <w:rPr>
          <w:rFonts w:ascii="Times New Roman" w:hAnsi="Times New Roman" w:cs="Times New Roman"/>
          <w:sz w:val="20"/>
          <w:szCs w:val="20"/>
        </w:rPr>
        <w:t xml:space="preserve">OBUE requirements: </w:t>
      </w:r>
      <w:r w:rsidRPr="004A202D">
        <w:rPr>
          <w:rFonts w:ascii="Times New Roman" w:hAnsi="Times New Roman" w:cs="Times New Roman"/>
          <w:sz w:val="20"/>
          <w:szCs w:val="20"/>
          <w:lang w:eastAsia="ko-KR"/>
        </w:rPr>
        <w:t>470-790 MHz, antennal gain</w:t>
      </w:r>
      <w:r w:rsidR="005228D8">
        <w:rPr>
          <w:rFonts w:ascii="Times New Roman" w:hAnsi="Times New Roman" w:cs="Times New Roman"/>
          <w:sz w:val="20"/>
          <w:szCs w:val="20"/>
          <w:lang w:eastAsia="ko-KR"/>
        </w:rPr>
        <w:t xml:space="preserve"> assumed</w:t>
      </w:r>
      <w:r w:rsidRPr="004A202D">
        <w:rPr>
          <w:rFonts w:ascii="Times New Roman" w:hAnsi="Times New Roman" w:cs="Times New Roman"/>
          <w:sz w:val="20"/>
          <w:szCs w:val="20"/>
          <w:lang w:eastAsia="ko-KR"/>
        </w:rPr>
        <w:t>: 17 dBi,</w:t>
      </w:r>
    </w:p>
    <w:p w14:paraId="3C33F4E5" w14:textId="77777777" w:rsidR="004A202D" w:rsidRPr="004A202D" w:rsidRDefault="004A202D" w:rsidP="004A202D">
      <w:pPr>
        <w:pStyle w:val="ListParagraph"/>
        <w:numPr>
          <w:ilvl w:val="0"/>
          <w:numId w:val="46"/>
        </w:numPr>
        <w:rPr>
          <w:rFonts w:ascii="Times New Roman" w:hAnsi="Times New Roman" w:cs="Times New Roman"/>
          <w:sz w:val="20"/>
          <w:szCs w:val="20"/>
        </w:rPr>
      </w:pPr>
      <w:r w:rsidRPr="004A202D">
        <w:rPr>
          <w:rFonts w:ascii="Times New Roman" w:hAnsi="Times New Roman" w:cs="Times New Roman"/>
          <w:sz w:val="20"/>
          <w:szCs w:val="20"/>
        </w:rPr>
        <w:t>TS 38.104 (NR BS)</w:t>
      </w:r>
    </w:p>
    <w:p w14:paraId="28EFA14A" w14:textId="57384483" w:rsidR="004A202D" w:rsidRPr="004A202D" w:rsidRDefault="004A202D" w:rsidP="004A202D">
      <w:pPr>
        <w:pStyle w:val="ListParagraph"/>
        <w:numPr>
          <w:ilvl w:val="1"/>
          <w:numId w:val="46"/>
        </w:numPr>
        <w:rPr>
          <w:rFonts w:ascii="Times New Roman" w:hAnsi="Times New Roman" w:cs="Times New Roman"/>
          <w:sz w:val="20"/>
          <w:szCs w:val="20"/>
        </w:rPr>
      </w:pPr>
      <w:r w:rsidRPr="004A202D">
        <w:rPr>
          <w:rFonts w:ascii="Times New Roman" w:hAnsi="Times New Roman" w:cs="Times New Roman"/>
          <w:sz w:val="20"/>
          <w:szCs w:val="20"/>
        </w:rPr>
        <w:t xml:space="preserve">Additional OBUE requirements: </w:t>
      </w:r>
      <w:r w:rsidRPr="004A202D">
        <w:rPr>
          <w:rFonts w:ascii="Times New Roman" w:hAnsi="Times New Roman" w:cs="Times New Roman"/>
          <w:sz w:val="20"/>
          <w:szCs w:val="20"/>
          <w:lang w:eastAsia="ko-KR"/>
        </w:rPr>
        <w:t>470-790 MHz, antennal gain</w:t>
      </w:r>
      <w:r w:rsidR="005228D8">
        <w:rPr>
          <w:rFonts w:ascii="Times New Roman" w:hAnsi="Times New Roman" w:cs="Times New Roman"/>
          <w:sz w:val="20"/>
          <w:szCs w:val="20"/>
          <w:lang w:eastAsia="ko-KR"/>
        </w:rPr>
        <w:t xml:space="preserve"> assumed</w:t>
      </w:r>
      <w:r w:rsidRPr="004A202D">
        <w:rPr>
          <w:rFonts w:ascii="Times New Roman" w:hAnsi="Times New Roman" w:cs="Times New Roman"/>
          <w:sz w:val="20"/>
          <w:szCs w:val="20"/>
          <w:lang w:eastAsia="ko-KR"/>
        </w:rPr>
        <w:t>: 17 dBi,</w:t>
      </w:r>
    </w:p>
    <w:p w14:paraId="47CBC942" w14:textId="77777777" w:rsidR="00C43A32" w:rsidRPr="004A202D" w:rsidRDefault="00C43A32" w:rsidP="00441DBF">
      <w:pPr>
        <w:rPr>
          <w:lang w:val="en-US"/>
        </w:rPr>
      </w:pPr>
    </w:p>
    <w:tbl>
      <w:tblPr>
        <w:tblStyle w:val="TableGrid"/>
        <w:tblW w:w="0" w:type="auto"/>
        <w:tblLook w:val="04A0" w:firstRow="1" w:lastRow="0" w:firstColumn="1" w:lastColumn="0" w:noHBand="0" w:noVBand="1"/>
      </w:tblPr>
      <w:tblGrid>
        <w:gridCol w:w="3210"/>
        <w:gridCol w:w="3210"/>
        <w:gridCol w:w="3211"/>
      </w:tblGrid>
      <w:tr w:rsidR="00214F94" w14:paraId="24A27F08" w14:textId="77777777" w:rsidTr="00214F94">
        <w:tc>
          <w:tcPr>
            <w:tcW w:w="3210" w:type="dxa"/>
          </w:tcPr>
          <w:p w14:paraId="0C36DCCF" w14:textId="77777777" w:rsidR="00214F94" w:rsidRDefault="00214F94" w:rsidP="00214F94">
            <w:pPr>
              <w:pStyle w:val="TAH"/>
              <w:rPr>
                <w:highlight w:val="yellow"/>
              </w:rPr>
            </w:pPr>
          </w:p>
        </w:tc>
        <w:tc>
          <w:tcPr>
            <w:tcW w:w="3210" w:type="dxa"/>
          </w:tcPr>
          <w:p w14:paraId="2FC1B6F5" w14:textId="44E4A68F" w:rsidR="00214F94" w:rsidRPr="00214F94" w:rsidRDefault="00214F94" w:rsidP="00214F94">
            <w:pPr>
              <w:pStyle w:val="TAH"/>
            </w:pPr>
            <w:r w:rsidRPr="00214F94">
              <w:t xml:space="preserve">Pros </w:t>
            </w:r>
          </w:p>
        </w:tc>
        <w:tc>
          <w:tcPr>
            <w:tcW w:w="3211" w:type="dxa"/>
          </w:tcPr>
          <w:p w14:paraId="3594B2F7" w14:textId="12D6835C" w:rsidR="00214F94" w:rsidRPr="00214F94" w:rsidRDefault="00214F94" w:rsidP="00214F94">
            <w:pPr>
              <w:pStyle w:val="TAH"/>
            </w:pPr>
            <w:r w:rsidRPr="00214F94">
              <w:t>Cons</w:t>
            </w:r>
          </w:p>
        </w:tc>
      </w:tr>
      <w:tr w:rsidR="00214F94" w14:paraId="6530D2FA" w14:textId="77777777" w:rsidTr="00214F94">
        <w:tc>
          <w:tcPr>
            <w:tcW w:w="3210" w:type="dxa"/>
          </w:tcPr>
          <w:p w14:paraId="08F00C75" w14:textId="4FAC2EAF" w:rsidR="00214F94" w:rsidRPr="00015E49" w:rsidRDefault="00214F94" w:rsidP="00015E49">
            <w:pPr>
              <w:pStyle w:val="TAC"/>
              <w:jc w:val="left"/>
            </w:pPr>
            <w:r w:rsidRPr="00015E49">
              <w:t>Option 1: Manufacturer declaration based approach</w:t>
            </w:r>
          </w:p>
        </w:tc>
        <w:tc>
          <w:tcPr>
            <w:tcW w:w="3210" w:type="dxa"/>
          </w:tcPr>
          <w:p w14:paraId="7C1AA0F8" w14:textId="7F424C4E" w:rsidR="00F831B6" w:rsidRPr="00015E49" w:rsidRDefault="00F831B6" w:rsidP="00F831B6">
            <w:pPr>
              <w:pStyle w:val="TAL"/>
            </w:pPr>
            <w:r w:rsidRPr="00015E49">
              <w:t xml:space="preserve">Declaration based approach </w:t>
            </w:r>
            <w:r>
              <w:t>allows high degree of freedom in the NR BS product specification.</w:t>
            </w:r>
          </w:p>
        </w:tc>
        <w:tc>
          <w:tcPr>
            <w:tcW w:w="3211" w:type="dxa"/>
          </w:tcPr>
          <w:p w14:paraId="249E3A57" w14:textId="2D764CFD" w:rsidR="001C19EB" w:rsidRPr="00015E49" w:rsidRDefault="001C19EB" w:rsidP="00015E49">
            <w:pPr>
              <w:pStyle w:val="TAL"/>
              <w:rPr>
                <w:color w:val="000000" w:themeColor="text1"/>
                <w:lang w:val="en-US" w:eastAsia="zh-CN"/>
              </w:rPr>
            </w:pPr>
            <w:r w:rsidRPr="00015E49">
              <w:rPr>
                <w:color w:val="000000" w:themeColor="text1"/>
                <w:lang w:val="en-US" w:eastAsia="zh-CN"/>
              </w:rPr>
              <w:t>High risk of blocking the whole NR BS Harmonized Standard ETSI EN 301 908-24 for NR BS, due to EC comments on the manufacturer self-declared requirements.</w:t>
            </w:r>
          </w:p>
        </w:tc>
      </w:tr>
      <w:tr w:rsidR="00214F94" w14:paraId="1E4A9108" w14:textId="77777777" w:rsidTr="00214F94">
        <w:tc>
          <w:tcPr>
            <w:tcW w:w="3210" w:type="dxa"/>
          </w:tcPr>
          <w:p w14:paraId="1D1AA394" w14:textId="49E76C9F" w:rsidR="00214F94" w:rsidRPr="00015E49" w:rsidRDefault="00214F94" w:rsidP="00015E49">
            <w:pPr>
              <w:pStyle w:val="TAC"/>
              <w:jc w:val="left"/>
              <w:rPr>
                <w:b/>
                <w:color w:val="FF0000"/>
              </w:rPr>
            </w:pPr>
            <w:r w:rsidRPr="00015E49">
              <w:t>Option 2: Fixed antenna gain approach</w:t>
            </w:r>
          </w:p>
        </w:tc>
        <w:tc>
          <w:tcPr>
            <w:tcW w:w="3210" w:type="dxa"/>
          </w:tcPr>
          <w:p w14:paraId="286B845C" w14:textId="77777777" w:rsidR="00214F94" w:rsidRPr="00015E49" w:rsidRDefault="00C43A32" w:rsidP="00015E49">
            <w:pPr>
              <w:pStyle w:val="TAL"/>
            </w:pPr>
            <w:r w:rsidRPr="00015E49">
              <w:t xml:space="preserve">No risk of the EC blocking such specification. </w:t>
            </w:r>
          </w:p>
          <w:p w14:paraId="220227AE" w14:textId="1F9AED23" w:rsidR="00733159" w:rsidRPr="00015E49" w:rsidRDefault="00733159" w:rsidP="00F831B6">
            <w:pPr>
              <w:pStyle w:val="TAL"/>
            </w:pPr>
            <w:r w:rsidRPr="00015E49">
              <w:t xml:space="preserve">“Fixed antenna gain” approach was already used in the past in RAN4 </w:t>
            </w:r>
            <w:r w:rsidR="00F831B6">
              <w:t xml:space="preserve">in multiple BS specifications to define </w:t>
            </w:r>
            <w:r w:rsidRPr="00015E49">
              <w:t>RF requirements</w:t>
            </w:r>
            <w:r w:rsidR="00F831B6">
              <w:t xml:space="preserve"> conversion (conducted </w:t>
            </w:r>
            <w:r w:rsidR="00F831B6">
              <w:sym w:font="Wingdings" w:char="F0DF"/>
            </w:r>
            <w:r w:rsidR="00F831B6">
              <w:sym w:font="Wingdings" w:char="F0E0"/>
            </w:r>
            <w:r w:rsidR="00F831B6">
              <w:t xml:space="preserve"> radiated)</w:t>
            </w:r>
            <w:r w:rsidRPr="00015E49">
              <w:t xml:space="preserve">. </w:t>
            </w:r>
          </w:p>
        </w:tc>
        <w:tc>
          <w:tcPr>
            <w:tcW w:w="3211" w:type="dxa"/>
          </w:tcPr>
          <w:p w14:paraId="47B8F98E" w14:textId="68D4B586" w:rsidR="00214F94" w:rsidRPr="00015E49" w:rsidRDefault="001C19EB" w:rsidP="001F28D7">
            <w:pPr>
              <w:pStyle w:val="TAL"/>
            </w:pPr>
            <w:r w:rsidRPr="00015E49">
              <w:t>May be seen as limiting deploy</w:t>
            </w:r>
            <w:r w:rsidR="001F28D7">
              <w:t xml:space="preserve">ments, or </w:t>
            </w:r>
            <w:r w:rsidRPr="00015E49">
              <w:t xml:space="preserve">products </w:t>
            </w:r>
            <w:r w:rsidR="001F28D7">
              <w:t>specification flexibility</w:t>
            </w:r>
            <w:r w:rsidRPr="00015E49">
              <w:t>.</w:t>
            </w:r>
          </w:p>
        </w:tc>
      </w:tr>
    </w:tbl>
    <w:p w14:paraId="6C8A0315" w14:textId="77777777" w:rsidR="0026581D" w:rsidRDefault="0026581D" w:rsidP="001C19EB">
      <w:pPr>
        <w:spacing w:after="120"/>
        <w:rPr>
          <w:b/>
          <w:color w:val="000000" w:themeColor="text1"/>
          <w:highlight w:val="yellow"/>
          <w:lang w:val="en-US" w:eastAsia="zh-CN"/>
        </w:rPr>
      </w:pPr>
    </w:p>
    <w:p w14:paraId="3D9A15D3" w14:textId="2451ADEC" w:rsidR="0026581D" w:rsidRPr="00123289" w:rsidRDefault="0026581D" w:rsidP="001C19EB">
      <w:pPr>
        <w:spacing w:after="120"/>
        <w:rPr>
          <w:color w:val="000000" w:themeColor="text1"/>
          <w:lang w:val="en-US" w:eastAsia="zh-CN"/>
        </w:rPr>
      </w:pPr>
      <w:r w:rsidRPr="00123289">
        <w:rPr>
          <w:color w:val="000000" w:themeColor="text1"/>
          <w:lang w:val="en-US" w:eastAsia="zh-CN"/>
        </w:rPr>
        <w:t xml:space="preserve">Based on the above analysis, the following is proposed: </w:t>
      </w:r>
    </w:p>
    <w:p w14:paraId="1FF3435B" w14:textId="1E04C243" w:rsidR="004A202D" w:rsidRPr="00123289" w:rsidRDefault="004A202D" w:rsidP="001C19EB">
      <w:pPr>
        <w:spacing w:after="120"/>
        <w:rPr>
          <w:color w:val="000000" w:themeColor="text1"/>
          <w:lang w:val="en-US" w:eastAsia="zh-CN"/>
        </w:rPr>
      </w:pPr>
      <w:r w:rsidRPr="00123289">
        <w:rPr>
          <w:b/>
          <w:color w:val="000000" w:themeColor="text1"/>
          <w:lang w:val="en-US" w:eastAsia="zh-CN"/>
        </w:rPr>
        <w:t>Proposal 1</w:t>
      </w:r>
      <w:r w:rsidRPr="00123289">
        <w:rPr>
          <w:color w:val="000000" w:themeColor="text1"/>
          <w:lang w:val="en-US" w:eastAsia="zh-CN"/>
        </w:rPr>
        <w:t xml:space="preserve">: </w:t>
      </w:r>
      <w:r w:rsidR="00123289" w:rsidRPr="00123289">
        <w:rPr>
          <w:color w:val="000000" w:themeColor="text1"/>
          <w:lang w:val="en-US" w:eastAsia="zh-CN"/>
        </w:rPr>
        <w:t xml:space="preserve">in order to avoid risk of the ETSI Harmonized Standard progress blocking, it is proposed to proceed with the Option 2, i.e. </w:t>
      </w:r>
      <w:r w:rsidR="00ED41CC">
        <w:t>f</w:t>
      </w:r>
      <w:r w:rsidR="00123289" w:rsidRPr="00123289">
        <w:t xml:space="preserve">ixed antenna gain approach for the EIRP-to-conducted requirements conversion. </w:t>
      </w:r>
    </w:p>
    <w:p w14:paraId="18DFA276" w14:textId="6EABAF4A" w:rsidR="0026581D" w:rsidRPr="001567B4" w:rsidRDefault="00DB71ED" w:rsidP="0026581D">
      <w:pPr>
        <w:spacing w:after="120"/>
        <w:rPr>
          <w:color w:val="000000" w:themeColor="text1"/>
          <w:lang w:val="en-US" w:eastAsia="zh-CN"/>
        </w:rPr>
      </w:pPr>
      <w:r w:rsidRPr="00DB71ED">
        <w:rPr>
          <w:color w:val="000000" w:themeColor="text1"/>
          <w:lang w:val="en-US" w:eastAsia="zh-CN"/>
        </w:rPr>
        <w:t>I</w:t>
      </w:r>
      <w:r w:rsidR="0026581D" w:rsidRPr="00DB71ED">
        <w:rPr>
          <w:color w:val="000000" w:themeColor="text1"/>
          <w:lang w:val="en-US" w:eastAsia="zh-CN"/>
        </w:rPr>
        <w:t>t shall be cla</w:t>
      </w:r>
      <w:r w:rsidR="0026581D" w:rsidRPr="00123289">
        <w:rPr>
          <w:color w:val="000000" w:themeColor="text1"/>
          <w:lang w:val="en-US" w:eastAsia="zh-CN"/>
        </w:rPr>
        <w:t xml:space="preserve">rified, </w:t>
      </w:r>
      <w:r w:rsidR="00805E3A">
        <w:rPr>
          <w:color w:val="000000" w:themeColor="text1"/>
          <w:lang w:val="en-US" w:eastAsia="zh-CN"/>
        </w:rPr>
        <w:t>the for the purpose of the requirements derivation</w:t>
      </w:r>
      <w:r w:rsidR="0026581D" w:rsidRPr="00123289">
        <w:rPr>
          <w:color w:val="000000" w:themeColor="text1"/>
          <w:lang w:val="en-US" w:eastAsia="zh-CN"/>
        </w:rPr>
        <w:t xml:space="preserve">, internal antenna losses for the conducted/OTA conversion are assumed to be 0 dB. </w:t>
      </w:r>
      <w:r w:rsidR="00805E3A">
        <w:rPr>
          <w:color w:val="000000" w:themeColor="text1"/>
          <w:lang w:val="en-US" w:eastAsia="zh-CN"/>
        </w:rPr>
        <w:t xml:space="preserve">Such assumption </w:t>
      </w:r>
      <w:r w:rsidR="0026581D" w:rsidRPr="00123289">
        <w:rPr>
          <w:color w:val="000000" w:themeColor="text1"/>
          <w:lang w:val="en-US" w:eastAsia="zh-CN"/>
        </w:rPr>
        <w:t xml:space="preserve">shall be </w:t>
      </w:r>
      <w:r w:rsidR="0026581D" w:rsidRPr="001567B4">
        <w:rPr>
          <w:color w:val="000000" w:themeColor="text1"/>
          <w:lang w:val="en-US" w:eastAsia="zh-CN"/>
        </w:rPr>
        <w:t>captured in the TR.</w:t>
      </w:r>
    </w:p>
    <w:p w14:paraId="5DC9917F" w14:textId="60DFB8AC" w:rsidR="0026581D" w:rsidRPr="001567B4" w:rsidRDefault="00123289" w:rsidP="0026581D">
      <w:pPr>
        <w:spacing w:after="120"/>
        <w:rPr>
          <w:color w:val="000000" w:themeColor="text1"/>
          <w:lang w:val="en-US" w:eastAsia="zh-CN"/>
        </w:rPr>
      </w:pPr>
      <w:r w:rsidRPr="001567B4">
        <w:rPr>
          <w:b/>
          <w:color w:val="000000" w:themeColor="text1"/>
          <w:lang w:val="en-US" w:eastAsia="zh-CN"/>
        </w:rPr>
        <w:t>Proposal 2</w:t>
      </w:r>
      <w:r w:rsidRPr="001567B4">
        <w:rPr>
          <w:color w:val="000000" w:themeColor="text1"/>
          <w:lang w:val="en-US" w:eastAsia="zh-CN"/>
        </w:rPr>
        <w:t xml:space="preserve">: </w:t>
      </w:r>
      <w:r w:rsidR="00DB71ED" w:rsidRPr="001567B4">
        <w:t>I</w:t>
      </w:r>
      <w:r w:rsidRPr="001567B4">
        <w:t>t is assumed that the internal losses (</w:t>
      </w:r>
      <w:r w:rsidR="002810D4" w:rsidRPr="001567B4">
        <w:t>feeder</w:t>
      </w:r>
      <w:r w:rsidRPr="001567B4">
        <w:t>, etc.)</w:t>
      </w:r>
      <w:r w:rsidR="00F72C4C" w:rsidRPr="001567B4">
        <w:t xml:space="preserve"> are assumed to be 0 </w:t>
      </w:r>
      <w:r w:rsidRPr="001567B4">
        <w:t>dB</w:t>
      </w:r>
      <w:r w:rsidR="00F72C4C" w:rsidRPr="001567B4">
        <w:t>, for the purpose of requirements derivation</w:t>
      </w:r>
      <w:r w:rsidRPr="001567B4">
        <w:t xml:space="preserve">. </w:t>
      </w:r>
    </w:p>
    <w:p w14:paraId="42A5706C" w14:textId="73E0BCD6" w:rsidR="0026581D" w:rsidRPr="001567B4" w:rsidRDefault="0026581D" w:rsidP="0026581D">
      <w:pPr>
        <w:spacing w:after="120"/>
        <w:rPr>
          <w:color w:val="000000" w:themeColor="text1"/>
          <w:lang w:val="en-US" w:eastAsia="zh-CN"/>
        </w:rPr>
      </w:pPr>
      <w:r w:rsidRPr="001567B4">
        <w:rPr>
          <w:color w:val="000000" w:themeColor="text1"/>
          <w:lang w:val="en-US" w:eastAsia="zh-CN"/>
        </w:rPr>
        <w:t xml:space="preserve">For </w:t>
      </w:r>
      <w:r w:rsidR="003E6EF2" w:rsidRPr="001567B4">
        <w:rPr>
          <w:color w:val="000000" w:themeColor="text1"/>
          <w:lang w:val="en-US" w:eastAsia="zh-CN"/>
        </w:rPr>
        <w:t xml:space="preserve">the RMR deployment flexibility, </w:t>
      </w:r>
      <w:r w:rsidRPr="001567B4">
        <w:rPr>
          <w:color w:val="000000" w:themeColor="text1"/>
          <w:lang w:val="en-US" w:eastAsia="zh-CN"/>
        </w:rPr>
        <w:t xml:space="preserve">we may </w:t>
      </w:r>
      <w:r w:rsidR="003E6EF2" w:rsidRPr="001567B4">
        <w:rPr>
          <w:color w:val="000000" w:themeColor="text1"/>
          <w:lang w:val="en-US" w:eastAsia="zh-CN"/>
        </w:rPr>
        <w:t xml:space="preserve">further </w:t>
      </w:r>
      <w:r w:rsidRPr="001567B4">
        <w:rPr>
          <w:color w:val="000000" w:themeColor="text1"/>
          <w:lang w:val="en-US" w:eastAsia="zh-CN"/>
        </w:rPr>
        <w:t xml:space="preserve">look into the range of antenna gain values that </w:t>
      </w:r>
      <w:r w:rsidR="003E6EF2" w:rsidRPr="001567B4">
        <w:rPr>
          <w:color w:val="000000" w:themeColor="text1"/>
          <w:lang w:val="en-US" w:eastAsia="zh-CN"/>
        </w:rPr>
        <w:t xml:space="preserve">are </w:t>
      </w:r>
      <w:r w:rsidRPr="001567B4">
        <w:rPr>
          <w:color w:val="000000" w:themeColor="text1"/>
          <w:lang w:val="en-US" w:eastAsia="zh-CN"/>
        </w:rPr>
        <w:t xml:space="preserve">envisioned for </w:t>
      </w:r>
      <w:r w:rsidR="003E6EF2" w:rsidRPr="001567B4">
        <w:rPr>
          <w:color w:val="000000" w:themeColor="text1"/>
          <w:lang w:val="en-US" w:eastAsia="zh-CN"/>
        </w:rPr>
        <w:t>RMR1900</w:t>
      </w:r>
      <w:r w:rsidR="00EC42F4" w:rsidRPr="001567B4">
        <w:rPr>
          <w:color w:val="000000" w:themeColor="text1"/>
          <w:lang w:val="en-US" w:eastAsia="zh-CN"/>
        </w:rPr>
        <w:t xml:space="preserve">. Last meeting antenna gain values were proposed in </w:t>
      </w:r>
      <w:r w:rsidR="001567B4" w:rsidRPr="001567B4">
        <w:rPr>
          <w:color w:val="000000" w:themeColor="text1"/>
          <w:lang w:val="en-US" w:eastAsia="zh-CN"/>
        </w:rPr>
        <w:t>[</w:t>
      </w:r>
      <w:r w:rsidR="00EC42F4" w:rsidRPr="001567B4">
        <w:rPr>
          <w:color w:val="000000" w:themeColor="text1"/>
          <w:lang w:val="en-US" w:eastAsia="zh-CN"/>
        </w:rPr>
        <w:t xml:space="preserve">9]: </w:t>
      </w:r>
    </w:p>
    <w:p w14:paraId="4D4606E9" w14:textId="3FE3E32B" w:rsidR="003E6EF2" w:rsidRPr="001567B4" w:rsidRDefault="003E6EF2" w:rsidP="001642D5">
      <w:pPr>
        <w:pStyle w:val="ListParagraph"/>
        <w:numPr>
          <w:ilvl w:val="0"/>
          <w:numId w:val="46"/>
        </w:numPr>
        <w:spacing w:after="120"/>
        <w:rPr>
          <w:rFonts w:ascii="Times New Roman" w:hAnsi="Times New Roman" w:cs="Times New Roman"/>
          <w:color w:val="000000" w:themeColor="text1"/>
          <w:sz w:val="20"/>
          <w:szCs w:val="20"/>
        </w:rPr>
      </w:pPr>
      <w:r w:rsidRPr="001567B4">
        <w:rPr>
          <w:rFonts w:ascii="Times New Roman" w:hAnsi="Times New Roman" w:cs="Times New Roman"/>
          <w:color w:val="000000" w:themeColor="text1"/>
          <w:sz w:val="20"/>
          <w:szCs w:val="20"/>
        </w:rPr>
        <w:t xml:space="preserve">For RMR1900: </w:t>
      </w:r>
      <w:r w:rsidR="001642D5" w:rsidRPr="001567B4">
        <w:rPr>
          <w:rFonts w:ascii="Times New Roman" w:hAnsi="Times New Roman" w:cs="Times New Roman"/>
          <w:color w:val="000000" w:themeColor="text1"/>
          <w:sz w:val="20"/>
          <w:szCs w:val="20"/>
        </w:rPr>
        <w:t>value of [</w:t>
      </w:r>
      <w:r w:rsidR="00A10F77" w:rsidRPr="001567B4">
        <w:rPr>
          <w:rFonts w:ascii="Times New Roman" w:hAnsi="Times New Roman" w:cs="Times New Roman"/>
          <w:color w:val="000000" w:themeColor="text1"/>
          <w:sz w:val="20"/>
          <w:szCs w:val="20"/>
        </w:rPr>
        <w:t>18</w:t>
      </w:r>
      <w:r w:rsidR="001642D5" w:rsidRPr="001567B4">
        <w:rPr>
          <w:rFonts w:ascii="Times New Roman" w:hAnsi="Times New Roman" w:cs="Times New Roman"/>
          <w:color w:val="000000" w:themeColor="text1"/>
          <w:sz w:val="20"/>
          <w:szCs w:val="20"/>
        </w:rPr>
        <w:t>]</w:t>
      </w:r>
      <w:r w:rsidR="00A10F77" w:rsidRPr="001567B4">
        <w:rPr>
          <w:rFonts w:ascii="Times New Roman" w:hAnsi="Times New Roman" w:cs="Times New Roman"/>
          <w:color w:val="000000" w:themeColor="text1"/>
          <w:sz w:val="20"/>
          <w:szCs w:val="20"/>
        </w:rPr>
        <w:t xml:space="preserve"> </w:t>
      </w:r>
      <w:r w:rsidR="001642D5" w:rsidRPr="001567B4">
        <w:rPr>
          <w:rFonts w:ascii="Times New Roman" w:hAnsi="Times New Roman" w:cs="Times New Roman"/>
          <w:color w:val="000000" w:themeColor="text1"/>
          <w:sz w:val="20"/>
          <w:szCs w:val="20"/>
        </w:rPr>
        <w:t>dBi may be considered as the starting point</w:t>
      </w:r>
    </w:p>
    <w:p w14:paraId="04DDCBD4" w14:textId="531418BB" w:rsidR="003E6EF2" w:rsidRPr="001642D5" w:rsidRDefault="001F28D7" w:rsidP="001F28D7">
      <w:pPr>
        <w:spacing w:after="120"/>
        <w:rPr>
          <w:color w:val="000000" w:themeColor="text1"/>
          <w:lang w:val="en-US" w:eastAsia="zh-CN"/>
        </w:rPr>
      </w:pPr>
      <w:r w:rsidRPr="001567B4">
        <w:rPr>
          <w:b/>
          <w:color w:val="000000" w:themeColor="text1"/>
          <w:lang w:val="en-US" w:eastAsia="zh-CN"/>
        </w:rPr>
        <w:t xml:space="preserve">Proposal </w:t>
      </w:r>
      <w:r w:rsidR="00C63652" w:rsidRPr="001567B4">
        <w:rPr>
          <w:b/>
          <w:color w:val="000000" w:themeColor="text1"/>
          <w:lang w:val="en-US" w:eastAsia="zh-CN"/>
        </w:rPr>
        <w:t>3</w:t>
      </w:r>
      <w:r w:rsidRPr="001567B4">
        <w:rPr>
          <w:color w:val="000000" w:themeColor="text1"/>
          <w:lang w:val="en-US" w:eastAsia="zh-CN"/>
        </w:rPr>
        <w:t>: based on Proposal 1, further discuss on the feasible antenna gain value for RMR 1900</w:t>
      </w:r>
      <w:r w:rsidR="001642D5" w:rsidRPr="001567B4">
        <w:rPr>
          <w:color w:val="000000" w:themeColor="text1"/>
          <w:lang w:val="en-US" w:eastAsia="zh-CN"/>
        </w:rPr>
        <w:t>, with the [</w:t>
      </w:r>
      <w:r w:rsidR="00EB679D" w:rsidRPr="001567B4">
        <w:rPr>
          <w:color w:val="000000" w:themeColor="text1"/>
          <w:lang w:val="en-US" w:eastAsia="zh-CN"/>
        </w:rPr>
        <w:t>18</w:t>
      </w:r>
      <w:r w:rsidR="001642D5" w:rsidRPr="001567B4">
        <w:rPr>
          <w:color w:val="000000" w:themeColor="text1"/>
          <w:lang w:val="en-US" w:eastAsia="zh-CN"/>
        </w:rPr>
        <w:t>] dBi being the starting point</w:t>
      </w:r>
      <w:r w:rsidRPr="001567B4">
        <w:rPr>
          <w:color w:val="000000" w:themeColor="text1"/>
          <w:lang w:val="en-US" w:eastAsia="zh-CN"/>
        </w:rPr>
        <w:t>.</w:t>
      </w:r>
      <w:r w:rsidRPr="001642D5">
        <w:rPr>
          <w:color w:val="000000" w:themeColor="text1"/>
          <w:lang w:val="en-US" w:eastAsia="zh-CN"/>
        </w:rPr>
        <w:t xml:space="preserve"> </w:t>
      </w:r>
    </w:p>
    <w:p w14:paraId="1025D7C7" w14:textId="7B94E802" w:rsidR="00A12D06" w:rsidRDefault="00A12D06" w:rsidP="00A12D06">
      <w:pPr>
        <w:pStyle w:val="Heading1"/>
        <w:numPr>
          <w:ilvl w:val="1"/>
          <w:numId w:val="2"/>
        </w:numPr>
        <w:overflowPunct w:val="0"/>
        <w:autoSpaceDE w:val="0"/>
        <w:autoSpaceDN w:val="0"/>
        <w:adjustRightInd w:val="0"/>
        <w:textAlignment w:val="baseline"/>
        <w:rPr>
          <w:color w:val="000000" w:themeColor="text1"/>
        </w:rPr>
      </w:pPr>
      <w:r w:rsidRPr="001642D5">
        <w:rPr>
          <w:color w:val="000000" w:themeColor="text1"/>
        </w:rPr>
        <w:t>BS rated output power</w:t>
      </w:r>
    </w:p>
    <w:p w14:paraId="16D3AF75" w14:textId="36174B46" w:rsidR="00A12D06" w:rsidRPr="001567B4" w:rsidRDefault="00D25A82" w:rsidP="00D25A82">
      <w:pPr>
        <w:rPr>
          <w:rFonts w:eastAsia="SimSun"/>
          <w:color w:val="000000" w:themeColor="text1"/>
          <w:szCs w:val="24"/>
          <w:lang w:eastAsia="zh-CN"/>
        </w:rPr>
      </w:pPr>
      <w:r w:rsidRPr="00D25A82">
        <w:rPr>
          <w:lang w:val="en-US"/>
        </w:rPr>
        <w:t xml:space="preserve">During last meeting, a WF </w:t>
      </w:r>
      <w:r>
        <w:rPr>
          <w:lang w:val="en-US"/>
        </w:rPr>
        <w:t xml:space="preserve">in [1] </w:t>
      </w:r>
      <w:r w:rsidRPr="006C2918">
        <w:rPr>
          <w:color w:val="000000" w:themeColor="text1"/>
          <w:lang w:val="en-US"/>
        </w:rPr>
        <w:t>suggested to c</w:t>
      </w:r>
      <w:r w:rsidR="00A12D06" w:rsidRPr="006C2918">
        <w:rPr>
          <w:rFonts w:eastAsia="SimSun"/>
          <w:color w:val="000000" w:themeColor="text1"/>
          <w:szCs w:val="24"/>
          <w:lang w:eastAsia="zh-CN"/>
        </w:rPr>
        <w:t xml:space="preserve">ontinue </w:t>
      </w:r>
      <w:r w:rsidR="00A12D06" w:rsidRPr="001567B4">
        <w:rPr>
          <w:rFonts w:eastAsia="SimSun"/>
          <w:color w:val="000000" w:themeColor="text1"/>
          <w:szCs w:val="24"/>
          <w:lang w:eastAsia="zh-CN"/>
        </w:rPr>
        <w:t xml:space="preserve">the discussion </w:t>
      </w:r>
      <w:r w:rsidRPr="001567B4">
        <w:rPr>
          <w:rFonts w:eastAsia="SimSun"/>
          <w:color w:val="000000" w:themeColor="text1"/>
          <w:szCs w:val="24"/>
          <w:lang w:eastAsia="zh-CN"/>
        </w:rPr>
        <w:t>on the BS rated output power</w:t>
      </w:r>
      <w:r w:rsidR="00A12D06" w:rsidRPr="001567B4">
        <w:rPr>
          <w:rFonts w:eastAsia="SimSun"/>
          <w:color w:val="000000" w:themeColor="text1"/>
          <w:szCs w:val="24"/>
          <w:lang w:eastAsia="zh-CN"/>
        </w:rPr>
        <w:t>, including consideration of the following items:</w:t>
      </w:r>
    </w:p>
    <w:p w14:paraId="51FEDDE4" w14:textId="4505E681" w:rsidR="00A12D06" w:rsidRPr="001567B4" w:rsidRDefault="00A12D06" w:rsidP="006C2918">
      <w:pPr>
        <w:pStyle w:val="ListParagraph"/>
        <w:numPr>
          <w:ilvl w:val="0"/>
          <w:numId w:val="46"/>
        </w:numPr>
        <w:spacing w:after="120"/>
        <w:rPr>
          <w:rFonts w:ascii="Times New Roman" w:hAnsi="Times New Roman" w:cs="Times New Roman"/>
          <w:color w:val="000000" w:themeColor="text1"/>
          <w:sz w:val="20"/>
          <w:szCs w:val="20"/>
        </w:rPr>
      </w:pPr>
      <w:r w:rsidRPr="001567B4">
        <w:rPr>
          <w:rFonts w:ascii="Times New Roman" w:hAnsi="Times New Roman" w:cs="Times New Roman"/>
          <w:color w:val="000000" w:themeColor="text1"/>
          <w:sz w:val="20"/>
          <w:szCs w:val="20"/>
        </w:rPr>
        <w:t>ECC rated power limit translation (based on based on table 9 of ECC decision (20)02 for RMR1900),</w:t>
      </w:r>
    </w:p>
    <w:p w14:paraId="73400A1A" w14:textId="1AF0DD8A" w:rsidR="006C2918" w:rsidRPr="001567B4" w:rsidRDefault="006C2918" w:rsidP="006C2918">
      <w:pPr>
        <w:pStyle w:val="ListParagraph"/>
        <w:numPr>
          <w:ilvl w:val="0"/>
          <w:numId w:val="46"/>
        </w:numPr>
        <w:spacing w:after="120"/>
        <w:rPr>
          <w:rFonts w:ascii="Times New Roman" w:hAnsi="Times New Roman" w:cs="Times New Roman"/>
          <w:color w:val="000000" w:themeColor="text1"/>
          <w:sz w:val="20"/>
          <w:szCs w:val="20"/>
        </w:rPr>
      </w:pPr>
      <w:r w:rsidRPr="001567B4">
        <w:rPr>
          <w:rFonts w:ascii="Times New Roman" w:hAnsi="Times New Roman" w:cs="Times New Roman"/>
          <w:color w:val="000000" w:themeColor="text1"/>
          <w:sz w:val="20"/>
          <w:szCs w:val="20"/>
        </w:rPr>
        <w:t>Manufacturer declarations of the rated output power (BS product capability).</w:t>
      </w:r>
    </w:p>
    <w:p w14:paraId="5932219B" w14:textId="77777777" w:rsidR="006C2918" w:rsidRPr="001567B4" w:rsidRDefault="006C2918" w:rsidP="00A12D06">
      <w:pPr>
        <w:spacing w:after="120"/>
        <w:rPr>
          <w:rFonts w:eastAsia="SimSun"/>
          <w:color w:val="000000" w:themeColor="text1"/>
          <w:szCs w:val="24"/>
          <w:lang w:val="en-US" w:eastAsia="zh-CN"/>
        </w:rPr>
      </w:pPr>
    </w:p>
    <w:tbl>
      <w:tblPr>
        <w:tblStyle w:val="TableGrid"/>
        <w:tblW w:w="0" w:type="auto"/>
        <w:tblLook w:val="04A0" w:firstRow="1" w:lastRow="0" w:firstColumn="1" w:lastColumn="0" w:noHBand="0" w:noVBand="1"/>
      </w:tblPr>
      <w:tblGrid>
        <w:gridCol w:w="9631"/>
      </w:tblGrid>
      <w:tr w:rsidR="006C2918" w:rsidRPr="001567B4" w14:paraId="56B598CC" w14:textId="77777777" w:rsidTr="00D25A82">
        <w:tc>
          <w:tcPr>
            <w:tcW w:w="9631" w:type="dxa"/>
          </w:tcPr>
          <w:p w14:paraId="6BEF4EF9" w14:textId="24492D33" w:rsidR="00D25A82" w:rsidRPr="001567B4" w:rsidRDefault="00D25A82" w:rsidP="00D25A82">
            <w:pPr>
              <w:spacing w:after="120"/>
              <w:jc w:val="center"/>
              <w:rPr>
                <w:noProof/>
                <w:color w:val="000000" w:themeColor="text1"/>
                <w:lang w:val="en-US" w:eastAsia="zh-CN"/>
              </w:rPr>
            </w:pPr>
            <w:r w:rsidRPr="001567B4">
              <w:rPr>
                <w:noProof/>
                <w:color w:val="000000" w:themeColor="text1"/>
                <w:lang w:val="en-US" w:eastAsia="zh-CN"/>
              </w:rPr>
              <w:drawing>
                <wp:inline distT="0" distB="0" distL="0" distR="0" wp14:anchorId="2657C1A4" wp14:editId="0FAC6854">
                  <wp:extent cx="4752975" cy="2047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52975" cy="2047875"/>
                          </a:xfrm>
                          <a:prstGeom prst="rect">
                            <a:avLst/>
                          </a:prstGeom>
                        </pic:spPr>
                      </pic:pic>
                    </a:graphicData>
                  </a:graphic>
                </wp:inline>
              </w:drawing>
            </w:r>
          </w:p>
        </w:tc>
      </w:tr>
    </w:tbl>
    <w:p w14:paraId="628534C8" w14:textId="77777777" w:rsidR="00D25A82" w:rsidRPr="001567B4" w:rsidRDefault="00D25A82" w:rsidP="00A12D06">
      <w:pPr>
        <w:spacing w:after="120"/>
        <w:rPr>
          <w:rFonts w:eastAsia="SimSun"/>
          <w:color w:val="FF0000"/>
          <w:szCs w:val="24"/>
          <w:lang w:eastAsia="zh-CN"/>
        </w:rPr>
      </w:pPr>
    </w:p>
    <w:p w14:paraId="2E1EA9D8" w14:textId="15FCF578" w:rsidR="00330F93" w:rsidRDefault="00330F93" w:rsidP="008003EE">
      <w:pPr>
        <w:spacing w:after="120"/>
        <w:rPr>
          <w:color w:val="000000" w:themeColor="text1"/>
          <w:lang w:val="en-US" w:eastAsia="zh-CN"/>
        </w:rPr>
      </w:pPr>
      <w:r w:rsidRPr="001567B4">
        <w:rPr>
          <w:color w:val="000000" w:themeColor="text1"/>
          <w:lang w:val="en-US" w:eastAsia="zh-CN"/>
        </w:rPr>
        <w:t>Referring to the above table from ECC decision, one can notice t</w:t>
      </w:r>
      <w:r w:rsidR="009D5421" w:rsidRPr="001567B4">
        <w:rPr>
          <w:color w:val="000000" w:themeColor="text1"/>
          <w:lang w:val="en-US" w:eastAsia="zh-CN"/>
        </w:rPr>
        <w:t>hat there are in-block requirements defined in terms on the maximum EIRP levels allowed for the uncoordinated deployments. One can envision</w:t>
      </w:r>
      <w:r w:rsidR="009D5421">
        <w:rPr>
          <w:color w:val="000000" w:themeColor="text1"/>
          <w:lang w:val="en-US" w:eastAsia="zh-CN"/>
        </w:rPr>
        <w:t xml:space="preserve"> that in case of coordinated deployments and the use of some interference mitigation techniques, one would be able to allow for higher EIRP values.  </w:t>
      </w:r>
    </w:p>
    <w:p w14:paraId="2F7A0BF5" w14:textId="1B066F3F" w:rsidR="008003EE" w:rsidRPr="001567B4" w:rsidRDefault="0039031F" w:rsidP="008003EE">
      <w:pPr>
        <w:spacing w:after="120"/>
        <w:rPr>
          <w:color w:val="000000" w:themeColor="text1"/>
          <w:lang w:val="en-US" w:eastAsia="zh-CN"/>
        </w:rPr>
      </w:pPr>
      <w:r w:rsidRPr="0039031F">
        <w:rPr>
          <w:color w:val="000000" w:themeColor="text1"/>
          <w:lang w:val="en-US" w:eastAsia="zh-CN"/>
        </w:rPr>
        <w:t xml:space="preserve">As already commented last </w:t>
      </w:r>
      <w:r w:rsidRPr="001567B4">
        <w:rPr>
          <w:color w:val="000000" w:themeColor="text1"/>
          <w:lang w:val="en-US" w:eastAsia="zh-CN"/>
        </w:rPr>
        <w:t xml:space="preserve">meeting in [10], it is proposed to </w:t>
      </w:r>
      <w:r w:rsidR="008003EE" w:rsidRPr="001567B4">
        <w:rPr>
          <w:color w:val="000000" w:themeColor="text1"/>
          <w:lang w:val="en-US" w:eastAsia="zh-CN"/>
        </w:rPr>
        <w:t xml:space="preserve">proceed with the following </w:t>
      </w:r>
      <w:r w:rsidRPr="001567B4">
        <w:rPr>
          <w:color w:val="000000" w:themeColor="text1"/>
          <w:lang w:val="en-US" w:eastAsia="zh-CN"/>
        </w:rPr>
        <w:t xml:space="preserve">way to specify the </w:t>
      </w:r>
      <w:r w:rsidR="008003EE" w:rsidRPr="001567B4">
        <w:rPr>
          <w:color w:val="000000" w:themeColor="text1"/>
          <w:lang w:val="en-US" w:eastAsia="zh-CN"/>
        </w:rPr>
        <w:t xml:space="preserve">maximum rated power </w:t>
      </w:r>
      <w:r w:rsidR="00B85BEC" w:rsidRPr="001567B4">
        <w:rPr>
          <w:color w:val="000000" w:themeColor="text1"/>
          <w:lang w:val="en-US" w:eastAsia="zh-CN"/>
        </w:rPr>
        <w:t xml:space="preserve">limit </w:t>
      </w:r>
      <w:r w:rsidR="008003EE" w:rsidRPr="001567B4">
        <w:rPr>
          <w:color w:val="000000" w:themeColor="text1"/>
          <w:lang w:val="en-US" w:eastAsia="zh-CN"/>
        </w:rPr>
        <w:t xml:space="preserve">for RMR BS, based on the </w:t>
      </w:r>
      <w:r w:rsidRPr="001567B4">
        <w:rPr>
          <w:color w:val="000000" w:themeColor="text1"/>
          <w:lang w:val="en-US" w:eastAsia="zh-CN"/>
        </w:rPr>
        <w:t xml:space="preserve">above extracted </w:t>
      </w:r>
      <w:r w:rsidR="008003EE" w:rsidRPr="001567B4">
        <w:rPr>
          <w:color w:val="000000" w:themeColor="text1"/>
          <w:lang w:val="en-US" w:eastAsia="zh-CN"/>
        </w:rPr>
        <w:t xml:space="preserve">ECC limit: </w:t>
      </w:r>
    </w:p>
    <w:p w14:paraId="7B9AE005" w14:textId="74D08433" w:rsidR="007244A4" w:rsidRPr="001567B4" w:rsidRDefault="007244A4" w:rsidP="0039031F">
      <w:pPr>
        <w:spacing w:after="120"/>
        <w:jc w:val="center"/>
        <w:rPr>
          <w:rFonts w:eastAsia="SimSun"/>
          <w:color w:val="000000" w:themeColor="text1"/>
          <w:szCs w:val="24"/>
          <w:lang w:eastAsia="zh-CN"/>
        </w:rPr>
      </w:pPr>
      <w:r w:rsidRPr="001567B4">
        <w:rPr>
          <w:rFonts w:eastAsia="SimSun"/>
          <w:color w:val="000000" w:themeColor="text1"/>
          <w:szCs w:val="24"/>
          <w:lang w:eastAsia="zh-CN"/>
        </w:rPr>
        <w:t xml:space="preserve">RMR1900: </w:t>
      </w:r>
      <w:r w:rsidR="003E1618" w:rsidRPr="001567B4">
        <w:rPr>
          <w:rFonts w:eastAsia="SimSun"/>
          <w:color w:val="000000" w:themeColor="text1"/>
          <w:szCs w:val="24"/>
          <w:lang w:eastAsia="zh-CN"/>
        </w:rPr>
        <w:t>(65 - G</w:t>
      </w:r>
      <w:r w:rsidR="003E1618" w:rsidRPr="001567B4">
        <w:rPr>
          <w:rFonts w:eastAsia="SimSun"/>
          <w:color w:val="000000" w:themeColor="text1"/>
          <w:szCs w:val="24"/>
          <w:vertAlign w:val="subscript"/>
          <w:lang w:eastAsia="zh-CN"/>
        </w:rPr>
        <w:t>antRMR1900</w:t>
      </w:r>
      <w:r w:rsidR="003E1618" w:rsidRPr="001567B4">
        <w:rPr>
          <w:rFonts w:eastAsia="SimSun"/>
          <w:color w:val="000000" w:themeColor="text1"/>
          <w:szCs w:val="24"/>
          <w:lang w:eastAsia="zh-CN"/>
        </w:rPr>
        <w:t>) dBm / 10MHz</w:t>
      </w:r>
    </w:p>
    <w:p w14:paraId="0C5478AA" w14:textId="260F2963" w:rsidR="0039031F" w:rsidRPr="001567B4" w:rsidRDefault="008003EE" w:rsidP="008003EE">
      <w:pPr>
        <w:spacing w:after="120"/>
        <w:rPr>
          <w:rFonts w:eastAsia="SimSun"/>
          <w:color w:val="000000" w:themeColor="text1"/>
          <w:szCs w:val="24"/>
          <w:lang w:eastAsia="zh-CN"/>
        </w:rPr>
      </w:pPr>
      <w:r w:rsidRPr="001567B4">
        <w:rPr>
          <w:rFonts w:eastAsia="SimSun"/>
          <w:color w:val="000000" w:themeColor="text1"/>
          <w:szCs w:val="24"/>
          <w:lang w:eastAsia="zh-CN"/>
        </w:rPr>
        <w:t>where</w:t>
      </w:r>
      <w:r w:rsidR="0039031F" w:rsidRPr="001567B4">
        <w:rPr>
          <w:rFonts w:eastAsia="SimSun"/>
          <w:color w:val="000000" w:themeColor="text1"/>
          <w:szCs w:val="24"/>
          <w:lang w:eastAsia="zh-CN"/>
        </w:rPr>
        <w:t xml:space="preserve"> </w:t>
      </w:r>
      <w:r w:rsidR="003E1618" w:rsidRPr="001567B4">
        <w:rPr>
          <w:rFonts w:eastAsia="SimSun"/>
          <w:color w:val="000000" w:themeColor="text1"/>
          <w:szCs w:val="24"/>
          <w:lang w:eastAsia="zh-CN"/>
        </w:rPr>
        <w:t>G</w:t>
      </w:r>
      <w:r w:rsidR="003E1618" w:rsidRPr="001567B4">
        <w:rPr>
          <w:rFonts w:eastAsia="SimSun"/>
          <w:color w:val="000000" w:themeColor="text1"/>
          <w:szCs w:val="24"/>
          <w:vertAlign w:val="subscript"/>
          <w:lang w:eastAsia="zh-CN"/>
        </w:rPr>
        <w:t xml:space="preserve">antRMR1900 </w:t>
      </w:r>
      <w:r w:rsidRPr="001567B4">
        <w:rPr>
          <w:rFonts w:eastAsia="SimSun"/>
          <w:color w:val="000000" w:themeColor="text1"/>
          <w:szCs w:val="24"/>
          <w:lang w:eastAsia="zh-CN"/>
        </w:rPr>
        <w:t xml:space="preserve">is </w:t>
      </w:r>
      <w:r w:rsidR="0039031F" w:rsidRPr="001567B4">
        <w:rPr>
          <w:rFonts w:eastAsia="SimSun"/>
          <w:color w:val="000000" w:themeColor="text1"/>
          <w:szCs w:val="24"/>
          <w:lang w:eastAsia="zh-CN"/>
        </w:rPr>
        <w:t>the antenna gain of the RMR BS.</w:t>
      </w:r>
    </w:p>
    <w:p w14:paraId="388BDDF1" w14:textId="356FAD6A" w:rsidR="0039031F" w:rsidRPr="001567B4" w:rsidRDefault="007244A4" w:rsidP="008003EE">
      <w:pPr>
        <w:spacing w:after="120"/>
        <w:rPr>
          <w:rFonts w:eastAsia="SimSun"/>
          <w:color w:val="000000" w:themeColor="text1"/>
          <w:lang w:eastAsia="zh-CN"/>
        </w:rPr>
      </w:pPr>
      <w:r w:rsidRPr="001567B4">
        <w:rPr>
          <w:rFonts w:eastAsia="SimSun"/>
          <w:color w:val="000000" w:themeColor="text1"/>
          <w:szCs w:val="24"/>
          <w:lang w:eastAsia="zh-CN"/>
        </w:rPr>
        <w:t xml:space="preserve">Referring to the discussion on </w:t>
      </w:r>
      <w:r w:rsidRPr="001567B4">
        <w:rPr>
          <w:rFonts w:eastAsia="SimSun"/>
          <w:color w:val="000000" w:themeColor="text1"/>
          <w:lang w:eastAsia="zh-CN"/>
        </w:rPr>
        <w:t xml:space="preserve">section 2.1, the </w:t>
      </w:r>
      <w:r w:rsidR="003E0C25" w:rsidRPr="001567B4">
        <w:rPr>
          <w:rFonts w:eastAsia="SimSun"/>
          <w:color w:val="000000" w:themeColor="text1"/>
          <w:szCs w:val="24"/>
          <w:lang w:eastAsia="zh-CN"/>
        </w:rPr>
        <w:t>G</w:t>
      </w:r>
      <w:r w:rsidR="003E0C25" w:rsidRPr="001567B4">
        <w:rPr>
          <w:rFonts w:eastAsia="SimSun"/>
          <w:color w:val="000000" w:themeColor="text1"/>
          <w:szCs w:val="24"/>
          <w:vertAlign w:val="subscript"/>
          <w:lang w:eastAsia="zh-CN"/>
        </w:rPr>
        <w:t xml:space="preserve">antRMR1900 </w:t>
      </w:r>
      <w:r w:rsidRPr="001567B4">
        <w:rPr>
          <w:rFonts w:eastAsia="SimSun"/>
          <w:color w:val="000000" w:themeColor="text1"/>
          <w:lang w:eastAsia="zh-CN"/>
        </w:rPr>
        <w:t xml:space="preserve">could be either of the options: </w:t>
      </w:r>
    </w:p>
    <w:p w14:paraId="6CA5ACF8" w14:textId="715D1F91" w:rsidR="008003EE" w:rsidRPr="001567B4" w:rsidRDefault="008003EE" w:rsidP="0039031F">
      <w:pPr>
        <w:pStyle w:val="ListParagraph"/>
        <w:numPr>
          <w:ilvl w:val="0"/>
          <w:numId w:val="48"/>
        </w:numPr>
        <w:spacing w:after="120"/>
        <w:rPr>
          <w:rFonts w:ascii="Times New Roman" w:eastAsia="SimSun" w:hAnsi="Times New Roman" w:cs="Times New Roman"/>
          <w:color w:val="000000" w:themeColor="text1"/>
          <w:sz w:val="20"/>
          <w:szCs w:val="20"/>
        </w:rPr>
      </w:pPr>
      <w:r w:rsidRPr="001567B4">
        <w:rPr>
          <w:rFonts w:ascii="Times New Roman" w:eastAsia="SimSun" w:hAnsi="Times New Roman" w:cs="Times New Roman"/>
          <w:color w:val="000000" w:themeColor="text1"/>
          <w:sz w:val="20"/>
          <w:szCs w:val="20"/>
        </w:rPr>
        <w:t xml:space="preserve">manufacturer declared </w:t>
      </w:r>
      <w:r w:rsidR="007244A4" w:rsidRPr="001567B4">
        <w:rPr>
          <w:rFonts w:ascii="Times New Roman" w:eastAsia="SimSun" w:hAnsi="Times New Roman" w:cs="Times New Roman"/>
          <w:color w:val="000000" w:themeColor="text1"/>
          <w:sz w:val="20"/>
          <w:szCs w:val="20"/>
        </w:rPr>
        <w:t>value</w:t>
      </w:r>
      <w:r w:rsidRPr="001567B4">
        <w:rPr>
          <w:rFonts w:ascii="Times New Roman" w:eastAsia="SimSun" w:hAnsi="Times New Roman" w:cs="Times New Roman"/>
          <w:color w:val="000000" w:themeColor="text1"/>
          <w:sz w:val="20"/>
          <w:szCs w:val="20"/>
        </w:rPr>
        <w:t>, or</w:t>
      </w:r>
    </w:p>
    <w:p w14:paraId="2AE985EE" w14:textId="44D1D34A" w:rsidR="008003EE" w:rsidRPr="001567B4" w:rsidRDefault="008003EE" w:rsidP="0039031F">
      <w:pPr>
        <w:pStyle w:val="ListParagraph"/>
        <w:numPr>
          <w:ilvl w:val="0"/>
          <w:numId w:val="48"/>
        </w:numPr>
        <w:spacing w:after="120"/>
        <w:rPr>
          <w:rFonts w:ascii="Times New Roman" w:eastAsia="SimSun" w:hAnsi="Times New Roman" w:cs="Times New Roman"/>
          <w:color w:val="000000" w:themeColor="text1"/>
          <w:sz w:val="20"/>
          <w:szCs w:val="20"/>
        </w:rPr>
      </w:pPr>
      <w:r w:rsidRPr="001567B4">
        <w:rPr>
          <w:rFonts w:ascii="Times New Roman" w:eastAsia="SimSun" w:hAnsi="Times New Roman" w:cs="Times New Roman"/>
          <w:color w:val="000000" w:themeColor="text1"/>
          <w:sz w:val="20"/>
          <w:szCs w:val="20"/>
        </w:rPr>
        <w:t>fixed value.</w:t>
      </w:r>
    </w:p>
    <w:p w14:paraId="28D63903" w14:textId="738BA1B5" w:rsidR="00330F93" w:rsidRPr="001567B4" w:rsidRDefault="00330F93" w:rsidP="00330F93">
      <w:pPr>
        <w:spacing w:after="120"/>
        <w:rPr>
          <w:rFonts w:eastAsia="SimSun"/>
          <w:color w:val="000000" w:themeColor="text1"/>
        </w:rPr>
      </w:pPr>
      <w:r w:rsidRPr="001567B4">
        <w:rPr>
          <w:rFonts w:eastAsia="SimSun"/>
          <w:color w:val="000000" w:themeColor="text1"/>
        </w:rPr>
        <w:t xml:space="preserve">The above approach allows to proceed either Option 1, or Option 2. </w:t>
      </w:r>
    </w:p>
    <w:p w14:paraId="7AFB64FD" w14:textId="324E2D8A" w:rsidR="00B85BEC" w:rsidRPr="001567B4" w:rsidRDefault="00330F93" w:rsidP="00B85BEC">
      <w:pPr>
        <w:spacing w:after="120"/>
        <w:rPr>
          <w:color w:val="000000" w:themeColor="text1"/>
          <w:lang w:val="en-US" w:eastAsia="zh-CN"/>
        </w:rPr>
      </w:pPr>
      <w:r w:rsidRPr="001567B4">
        <w:rPr>
          <w:rFonts w:eastAsia="SimSun"/>
          <w:b/>
          <w:color w:val="000000" w:themeColor="text1"/>
        </w:rPr>
        <w:t>Proposal 4</w:t>
      </w:r>
      <w:r w:rsidRPr="001567B4">
        <w:rPr>
          <w:rFonts w:eastAsia="SimSun"/>
          <w:color w:val="000000" w:themeColor="text1"/>
        </w:rPr>
        <w:t xml:space="preserve">: </w:t>
      </w:r>
      <w:r w:rsidR="00B85BEC" w:rsidRPr="001567B4">
        <w:rPr>
          <w:color w:val="000000" w:themeColor="text1"/>
          <w:lang w:val="en-US" w:eastAsia="zh-CN"/>
        </w:rPr>
        <w:t xml:space="preserve">agree the following way to specify the maximum rated power limit for RMR BS: </w:t>
      </w:r>
    </w:p>
    <w:p w14:paraId="4EC3F8D1" w14:textId="77777777" w:rsidR="00B85BEC" w:rsidRPr="001567B4" w:rsidRDefault="00B85BEC" w:rsidP="00B85BEC">
      <w:pPr>
        <w:spacing w:after="120"/>
        <w:jc w:val="center"/>
        <w:rPr>
          <w:rFonts w:eastAsia="SimSun"/>
          <w:color w:val="000000" w:themeColor="text1"/>
          <w:szCs w:val="24"/>
          <w:lang w:eastAsia="zh-CN"/>
        </w:rPr>
      </w:pPr>
      <w:r w:rsidRPr="001567B4">
        <w:rPr>
          <w:rFonts w:eastAsia="SimSun"/>
          <w:color w:val="000000" w:themeColor="text1"/>
          <w:szCs w:val="24"/>
          <w:lang w:eastAsia="zh-CN"/>
        </w:rPr>
        <w:t>RMR1900: (65 - G</w:t>
      </w:r>
      <w:r w:rsidRPr="001567B4">
        <w:rPr>
          <w:rFonts w:eastAsia="SimSun"/>
          <w:color w:val="000000" w:themeColor="text1"/>
          <w:szCs w:val="24"/>
          <w:vertAlign w:val="subscript"/>
          <w:lang w:eastAsia="zh-CN"/>
        </w:rPr>
        <w:t>antRMR1900</w:t>
      </w:r>
      <w:r w:rsidRPr="001567B4">
        <w:rPr>
          <w:rFonts w:eastAsia="SimSun"/>
          <w:color w:val="000000" w:themeColor="text1"/>
          <w:szCs w:val="24"/>
          <w:lang w:eastAsia="zh-CN"/>
        </w:rPr>
        <w:t>) dBm / 10MHz</w:t>
      </w:r>
    </w:p>
    <w:p w14:paraId="4F2D4DBB" w14:textId="3C5F760C" w:rsidR="00B85BEC" w:rsidRPr="001567B4" w:rsidRDefault="00B85BEC" w:rsidP="001567B4">
      <w:pPr>
        <w:tabs>
          <w:tab w:val="left" w:pos="5937"/>
        </w:tabs>
        <w:spacing w:after="120"/>
        <w:rPr>
          <w:rFonts w:eastAsia="SimSun"/>
          <w:color w:val="000000" w:themeColor="text1"/>
          <w:szCs w:val="24"/>
          <w:lang w:eastAsia="zh-CN"/>
        </w:rPr>
      </w:pPr>
      <w:r w:rsidRPr="001567B4">
        <w:rPr>
          <w:rFonts w:eastAsia="SimSun"/>
          <w:color w:val="000000" w:themeColor="text1"/>
          <w:szCs w:val="24"/>
          <w:lang w:eastAsia="zh-CN"/>
        </w:rPr>
        <w:t>where G</w:t>
      </w:r>
      <w:r w:rsidRPr="001567B4">
        <w:rPr>
          <w:rFonts w:eastAsia="SimSun"/>
          <w:color w:val="000000" w:themeColor="text1"/>
          <w:szCs w:val="24"/>
          <w:vertAlign w:val="subscript"/>
          <w:lang w:eastAsia="zh-CN"/>
        </w:rPr>
        <w:t xml:space="preserve">antRMR1900 </w:t>
      </w:r>
      <w:r w:rsidRPr="001567B4">
        <w:rPr>
          <w:rFonts w:eastAsia="SimSun"/>
          <w:color w:val="000000" w:themeColor="text1"/>
          <w:szCs w:val="24"/>
          <w:lang w:eastAsia="zh-CN"/>
        </w:rPr>
        <w:t>is the antenna gain of the RMR BS.</w:t>
      </w:r>
      <w:r w:rsidR="001567B4">
        <w:rPr>
          <w:rFonts w:eastAsia="SimSun"/>
          <w:color w:val="000000" w:themeColor="text1"/>
          <w:szCs w:val="24"/>
          <w:lang w:eastAsia="zh-CN"/>
        </w:rPr>
        <w:tab/>
      </w:r>
    </w:p>
    <w:p w14:paraId="180BD6AD" w14:textId="7D2500E1" w:rsidR="00B85BEC" w:rsidRPr="007244A4" w:rsidRDefault="00B85BEC" w:rsidP="00B85BEC">
      <w:pPr>
        <w:spacing w:after="120"/>
        <w:rPr>
          <w:rFonts w:eastAsia="SimSun"/>
          <w:color w:val="000000" w:themeColor="text1"/>
          <w:lang w:eastAsia="zh-CN"/>
        </w:rPr>
      </w:pPr>
      <w:r w:rsidRPr="001567B4">
        <w:rPr>
          <w:rFonts w:eastAsia="SimSun"/>
          <w:color w:val="000000" w:themeColor="text1"/>
          <w:szCs w:val="24"/>
          <w:lang w:eastAsia="zh-CN"/>
        </w:rPr>
        <w:t xml:space="preserve">Referring to the discussion on </w:t>
      </w:r>
      <w:r w:rsidRPr="001567B4">
        <w:rPr>
          <w:rFonts w:eastAsia="SimSun"/>
          <w:color w:val="000000" w:themeColor="text1"/>
          <w:lang w:eastAsia="zh-CN"/>
        </w:rPr>
        <w:t xml:space="preserve">section 2.1, the </w:t>
      </w:r>
      <w:r w:rsidRPr="001567B4">
        <w:rPr>
          <w:rFonts w:eastAsia="SimSun"/>
          <w:color w:val="000000" w:themeColor="text1"/>
          <w:szCs w:val="24"/>
          <w:lang w:eastAsia="zh-CN"/>
        </w:rPr>
        <w:t>G</w:t>
      </w:r>
      <w:r w:rsidRPr="001567B4">
        <w:rPr>
          <w:rFonts w:eastAsia="SimSun"/>
          <w:color w:val="000000" w:themeColor="text1"/>
          <w:szCs w:val="24"/>
          <w:vertAlign w:val="subscript"/>
          <w:lang w:eastAsia="zh-CN"/>
        </w:rPr>
        <w:t xml:space="preserve">antRMR1900 </w:t>
      </w:r>
      <w:r w:rsidRPr="001567B4">
        <w:rPr>
          <w:rFonts w:eastAsia="SimSun"/>
          <w:color w:val="000000" w:themeColor="text1"/>
          <w:lang w:eastAsia="zh-CN"/>
        </w:rPr>
        <w:t>could be either</w:t>
      </w:r>
      <w:r w:rsidRPr="007244A4">
        <w:rPr>
          <w:rFonts w:eastAsia="SimSun"/>
          <w:color w:val="000000" w:themeColor="text1"/>
          <w:lang w:eastAsia="zh-CN"/>
        </w:rPr>
        <w:t xml:space="preserve"> of the options: </w:t>
      </w:r>
    </w:p>
    <w:p w14:paraId="1937793A" w14:textId="77777777" w:rsidR="00B85BEC" w:rsidRPr="007244A4" w:rsidRDefault="00B85BEC" w:rsidP="00B85BEC">
      <w:pPr>
        <w:pStyle w:val="ListParagraph"/>
        <w:numPr>
          <w:ilvl w:val="0"/>
          <w:numId w:val="48"/>
        </w:numPr>
        <w:spacing w:after="120"/>
        <w:rPr>
          <w:rFonts w:ascii="Times New Roman" w:eastAsia="SimSun" w:hAnsi="Times New Roman" w:cs="Times New Roman"/>
          <w:color w:val="000000" w:themeColor="text1"/>
          <w:sz w:val="20"/>
          <w:szCs w:val="20"/>
        </w:rPr>
      </w:pPr>
      <w:r w:rsidRPr="007244A4">
        <w:rPr>
          <w:rFonts w:ascii="Times New Roman" w:eastAsia="SimSun" w:hAnsi="Times New Roman" w:cs="Times New Roman"/>
          <w:color w:val="000000" w:themeColor="text1"/>
          <w:sz w:val="20"/>
          <w:szCs w:val="20"/>
        </w:rPr>
        <w:t>manufacturer declared value, or</w:t>
      </w:r>
    </w:p>
    <w:p w14:paraId="0FFEAC4D" w14:textId="698D0D69" w:rsidR="00330F93" w:rsidRPr="00B85BEC" w:rsidRDefault="00B85BEC" w:rsidP="00330F93">
      <w:pPr>
        <w:pStyle w:val="ListParagraph"/>
        <w:numPr>
          <w:ilvl w:val="0"/>
          <w:numId w:val="48"/>
        </w:numPr>
        <w:spacing w:after="120"/>
        <w:rPr>
          <w:rFonts w:ascii="Times New Roman" w:eastAsia="SimSun" w:hAnsi="Times New Roman" w:cs="Times New Roman"/>
          <w:color w:val="000000" w:themeColor="text1"/>
          <w:sz w:val="20"/>
          <w:szCs w:val="20"/>
        </w:rPr>
      </w:pPr>
      <w:r w:rsidRPr="007244A4">
        <w:rPr>
          <w:rFonts w:ascii="Times New Roman" w:eastAsia="SimSun" w:hAnsi="Times New Roman" w:cs="Times New Roman"/>
          <w:color w:val="000000" w:themeColor="text1"/>
          <w:sz w:val="20"/>
          <w:szCs w:val="20"/>
        </w:rPr>
        <w:t>fixed value.</w:t>
      </w:r>
    </w:p>
    <w:p w14:paraId="4F00FA87" w14:textId="3F5DE833" w:rsidR="00A12D06" w:rsidRPr="00A12D06" w:rsidRDefault="00A12D06" w:rsidP="00A12D06">
      <w:pPr>
        <w:pStyle w:val="Heading1"/>
        <w:numPr>
          <w:ilvl w:val="1"/>
          <w:numId w:val="2"/>
        </w:numPr>
        <w:overflowPunct w:val="0"/>
        <w:autoSpaceDE w:val="0"/>
        <w:autoSpaceDN w:val="0"/>
        <w:adjustRightInd w:val="0"/>
        <w:textAlignment w:val="baseline"/>
        <w:rPr>
          <w:color w:val="000000" w:themeColor="text1"/>
        </w:rPr>
      </w:pPr>
      <w:r w:rsidRPr="00DF0BD9">
        <w:rPr>
          <w:color w:val="000000" w:themeColor="text1"/>
        </w:rPr>
        <w:t xml:space="preserve">Additional </w:t>
      </w:r>
      <w:r>
        <w:rPr>
          <w:color w:val="000000" w:themeColor="text1"/>
        </w:rPr>
        <w:t>spurious limit requirements</w:t>
      </w:r>
    </w:p>
    <w:p w14:paraId="7397EE72" w14:textId="67B581D8" w:rsidR="00A12D06" w:rsidRPr="001567B4" w:rsidRDefault="00B7142D" w:rsidP="00A12D06">
      <w:pPr>
        <w:spacing w:after="120"/>
        <w:rPr>
          <w:rFonts w:eastAsia="SimSun"/>
          <w:color w:val="000000" w:themeColor="text1"/>
          <w:szCs w:val="24"/>
          <w:lang w:eastAsia="zh-CN"/>
        </w:rPr>
      </w:pPr>
      <w:r w:rsidRPr="001567B4">
        <w:rPr>
          <w:rFonts w:eastAsia="SimSun"/>
          <w:color w:val="000000" w:themeColor="text1"/>
          <w:szCs w:val="24"/>
          <w:lang w:val="en-US" w:eastAsia="zh-CN"/>
        </w:rPr>
        <w:t xml:space="preserve">During last meeting, a WF in [1] suggested to continue </w:t>
      </w:r>
      <w:r w:rsidRPr="001567B4">
        <w:rPr>
          <w:rFonts w:eastAsia="SimSun"/>
          <w:color w:val="000000" w:themeColor="text1"/>
          <w:szCs w:val="24"/>
          <w:lang w:eastAsia="zh-CN"/>
        </w:rPr>
        <w:t>the discussion on additional spur limits</w:t>
      </w:r>
      <w:r w:rsidR="00A12D06" w:rsidRPr="001567B4">
        <w:rPr>
          <w:rFonts w:eastAsia="SimSun"/>
          <w:color w:val="000000" w:themeColor="text1"/>
          <w:szCs w:val="24"/>
          <w:lang w:eastAsia="zh-CN"/>
        </w:rPr>
        <w:t xml:space="preserve">, including considerations of the following items: </w:t>
      </w:r>
    </w:p>
    <w:p w14:paraId="26A390B7" w14:textId="0F9FAC8E" w:rsidR="00A12D06" w:rsidRPr="001567B4" w:rsidRDefault="00A12D06" w:rsidP="00A12D06">
      <w:pPr>
        <w:spacing w:after="120"/>
        <w:rPr>
          <w:rFonts w:eastAsia="SimSun"/>
          <w:color w:val="000000" w:themeColor="text1"/>
          <w:szCs w:val="24"/>
          <w:lang w:eastAsia="zh-CN"/>
        </w:rPr>
      </w:pPr>
      <w:r w:rsidRPr="001567B4">
        <w:rPr>
          <w:rFonts w:eastAsia="SimSun"/>
          <w:color w:val="000000" w:themeColor="text1"/>
          <w:szCs w:val="24"/>
          <w:lang w:eastAsia="zh-CN"/>
        </w:rPr>
        <w:t>- Potential need to consider RMR-specific requirements (based on table 10 of ECC decision (20)02 for RMR1900),</w:t>
      </w:r>
    </w:p>
    <w:p w14:paraId="6BF37559" w14:textId="0778BF22" w:rsidR="00A12D06" w:rsidRDefault="00A12D06" w:rsidP="00B7142D">
      <w:pPr>
        <w:tabs>
          <w:tab w:val="right" w:pos="9641"/>
        </w:tabs>
        <w:spacing w:after="120"/>
        <w:rPr>
          <w:color w:val="FF0000"/>
          <w:lang w:val="en-US" w:eastAsia="zh-CN"/>
        </w:rPr>
      </w:pPr>
      <w:r w:rsidRPr="001567B4">
        <w:rPr>
          <w:rFonts w:eastAsia="SimSun"/>
          <w:color w:val="000000" w:themeColor="text1"/>
          <w:szCs w:val="24"/>
          <w:lang w:eastAsia="zh-CN"/>
        </w:rPr>
        <w:t>- I</w:t>
      </w:r>
      <w:r w:rsidRPr="001567B4">
        <w:rPr>
          <w:color w:val="000000" w:themeColor="text1"/>
          <w:lang w:val="en-US" w:eastAsia="zh-CN"/>
        </w:rPr>
        <w:t>nvestigate the resulting/expected levels and their validity compared to the general spurious emission limits.</w:t>
      </w:r>
      <w:r w:rsidR="00B7142D">
        <w:rPr>
          <w:color w:val="FF0000"/>
          <w:lang w:val="en-US" w:eastAsia="zh-CN"/>
        </w:rPr>
        <w:tab/>
      </w:r>
    </w:p>
    <w:tbl>
      <w:tblPr>
        <w:tblStyle w:val="TableGrid"/>
        <w:tblW w:w="0" w:type="auto"/>
        <w:tblLook w:val="04A0" w:firstRow="1" w:lastRow="0" w:firstColumn="1" w:lastColumn="0" w:noHBand="0" w:noVBand="1"/>
      </w:tblPr>
      <w:tblGrid>
        <w:gridCol w:w="9631"/>
      </w:tblGrid>
      <w:tr w:rsidR="00B7142D" w14:paraId="5B61C1F0" w14:textId="77777777" w:rsidTr="00B7142D">
        <w:tc>
          <w:tcPr>
            <w:tcW w:w="9631" w:type="dxa"/>
          </w:tcPr>
          <w:p w14:paraId="549B0D80" w14:textId="5886D470" w:rsidR="00B7142D" w:rsidRDefault="00B7142D" w:rsidP="00C8319E">
            <w:pPr>
              <w:tabs>
                <w:tab w:val="right" w:pos="9641"/>
              </w:tabs>
              <w:spacing w:after="120"/>
              <w:jc w:val="center"/>
              <w:rPr>
                <w:b/>
                <w:bCs/>
                <w:color w:val="FF0000"/>
                <w:u w:val="single"/>
                <w:lang w:eastAsia="ko-KR"/>
              </w:rPr>
            </w:pPr>
            <w:r>
              <w:rPr>
                <w:noProof/>
                <w:lang w:val="en-US" w:eastAsia="zh-CN"/>
              </w:rPr>
              <w:drawing>
                <wp:inline distT="0" distB="0" distL="0" distR="0" wp14:anchorId="4790BE5B" wp14:editId="16E37198">
                  <wp:extent cx="4133850" cy="1581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33850" cy="1581150"/>
                          </a:xfrm>
                          <a:prstGeom prst="rect">
                            <a:avLst/>
                          </a:prstGeom>
                        </pic:spPr>
                      </pic:pic>
                    </a:graphicData>
                  </a:graphic>
                </wp:inline>
              </w:drawing>
            </w:r>
          </w:p>
        </w:tc>
      </w:tr>
    </w:tbl>
    <w:p w14:paraId="3E4929BC" w14:textId="77777777" w:rsidR="00B7142D" w:rsidRDefault="00B7142D" w:rsidP="00B7142D">
      <w:pPr>
        <w:tabs>
          <w:tab w:val="right" w:pos="9641"/>
        </w:tabs>
        <w:spacing w:after="120"/>
        <w:rPr>
          <w:b/>
          <w:bCs/>
          <w:color w:val="FF0000"/>
          <w:u w:val="single"/>
          <w:lang w:eastAsia="ko-KR"/>
        </w:rPr>
      </w:pPr>
    </w:p>
    <w:p w14:paraId="48763D0D" w14:textId="77777777" w:rsidR="004534A0" w:rsidRPr="004534A0" w:rsidRDefault="004534A0" w:rsidP="004534A0">
      <w:pPr>
        <w:spacing w:after="120"/>
        <w:rPr>
          <w:rFonts w:eastAsia="SimSun"/>
          <w:color w:val="000000" w:themeColor="text1"/>
          <w:szCs w:val="24"/>
          <w:lang w:eastAsia="zh-CN"/>
        </w:rPr>
      </w:pPr>
      <w:r w:rsidRPr="004534A0">
        <w:rPr>
          <w:rFonts w:eastAsia="SimSun"/>
          <w:color w:val="000000" w:themeColor="text1"/>
          <w:szCs w:val="24"/>
          <w:lang w:val="en-US" w:eastAsia="zh-CN"/>
        </w:rPr>
        <w:t xml:space="preserve">During last meeting, a WF in [1] suggested to continue </w:t>
      </w:r>
      <w:r w:rsidRPr="004534A0">
        <w:rPr>
          <w:rFonts w:eastAsia="SimSun"/>
          <w:color w:val="000000" w:themeColor="text1"/>
          <w:szCs w:val="24"/>
          <w:lang w:eastAsia="zh-CN"/>
        </w:rPr>
        <w:t xml:space="preserve">the discussion on additional spur limits, including considerations of the following items: </w:t>
      </w:r>
    </w:p>
    <w:p w14:paraId="7B10E7EC" w14:textId="77A1B5F5" w:rsidR="004534A0" w:rsidRPr="001567B4" w:rsidRDefault="004534A0" w:rsidP="004534A0">
      <w:pPr>
        <w:spacing w:after="120"/>
        <w:rPr>
          <w:rFonts w:eastAsia="SimSun"/>
          <w:color w:val="000000" w:themeColor="text1"/>
          <w:szCs w:val="24"/>
          <w:lang w:eastAsia="zh-CN"/>
        </w:rPr>
      </w:pPr>
      <w:r w:rsidRPr="004534A0">
        <w:rPr>
          <w:rFonts w:eastAsia="SimSun"/>
          <w:color w:val="000000" w:themeColor="text1"/>
          <w:szCs w:val="24"/>
          <w:lang w:eastAsia="zh-CN"/>
        </w:rPr>
        <w:t>- Potential need to consider RMR-specific requirements (based on table 10 of ECC decision (</w:t>
      </w:r>
      <w:r w:rsidRPr="001567B4">
        <w:rPr>
          <w:rFonts w:eastAsia="SimSun"/>
          <w:color w:val="000000" w:themeColor="text1"/>
          <w:szCs w:val="24"/>
          <w:lang w:eastAsia="zh-CN"/>
        </w:rPr>
        <w:t>20)02 for RMR1900),</w:t>
      </w:r>
    </w:p>
    <w:p w14:paraId="529E3E85" w14:textId="77777777" w:rsidR="004534A0" w:rsidRPr="001305C8" w:rsidRDefault="004534A0" w:rsidP="004534A0">
      <w:pPr>
        <w:tabs>
          <w:tab w:val="right" w:pos="9641"/>
        </w:tabs>
        <w:spacing w:after="120"/>
        <w:rPr>
          <w:color w:val="FF0000"/>
          <w:lang w:val="en-US" w:eastAsia="zh-CN"/>
        </w:rPr>
      </w:pPr>
      <w:r w:rsidRPr="001567B4">
        <w:rPr>
          <w:rFonts w:eastAsia="SimSun"/>
          <w:color w:val="000000" w:themeColor="text1"/>
          <w:szCs w:val="24"/>
          <w:lang w:eastAsia="zh-CN"/>
        </w:rPr>
        <w:t>- I</w:t>
      </w:r>
      <w:r w:rsidRPr="001567B4">
        <w:rPr>
          <w:color w:val="000000" w:themeColor="text1"/>
          <w:lang w:val="en-US" w:eastAsia="zh-CN"/>
        </w:rPr>
        <w:t>nvestigate the resulting/expected levels and their validity compared to the general spurious e</w:t>
      </w:r>
      <w:r w:rsidRPr="004534A0">
        <w:rPr>
          <w:color w:val="000000" w:themeColor="text1"/>
          <w:lang w:val="en-US" w:eastAsia="zh-CN"/>
        </w:rPr>
        <w:t xml:space="preserve">mission </w:t>
      </w:r>
      <w:r w:rsidRPr="001305C8">
        <w:rPr>
          <w:color w:val="000000" w:themeColor="text1"/>
          <w:lang w:val="en-US" w:eastAsia="zh-CN"/>
        </w:rPr>
        <w:t>limits.</w:t>
      </w:r>
      <w:r w:rsidRPr="001305C8">
        <w:rPr>
          <w:color w:val="FF0000"/>
          <w:lang w:val="en-US" w:eastAsia="zh-CN"/>
        </w:rPr>
        <w:tab/>
      </w:r>
    </w:p>
    <w:tbl>
      <w:tblPr>
        <w:tblStyle w:val="TableGrid"/>
        <w:tblW w:w="0" w:type="auto"/>
        <w:tblLook w:val="04A0" w:firstRow="1" w:lastRow="0" w:firstColumn="1" w:lastColumn="0" w:noHBand="0" w:noVBand="1"/>
      </w:tblPr>
      <w:tblGrid>
        <w:gridCol w:w="9631"/>
      </w:tblGrid>
      <w:tr w:rsidR="004534A0" w:rsidRPr="001305C8" w14:paraId="4AC98282" w14:textId="77777777" w:rsidTr="00C839AD">
        <w:tc>
          <w:tcPr>
            <w:tcW w:w="9631" w:type="dxa"/>
          </w:tcPr>
          <w:p w14:paraId="1BD162D7" w14:textId="6B61C49F" w:rsidR="004534A0" w:rsidRPr="001305C8" w:rsidRDefault="001305C8" w:rsidP="00C839AD">
            <w:pPr>
              <w:tabs>
                <w:tab w:val="right" w:pos="9641"/>
              </w:tabs>
              <w:spacing w:after="120"/>
              <w:jc w:val="center"/>
              <w:rPr>
                <w:b/>
                <w:bCs/>
                <w:color w:val="FF0000"/>
                <w:u w:val="single"/>
                <w:lang w:eastAsia="ko-KR"/>
              </w:rPr>
            </w:pPr>
            <w:r w:rsidRPr="001305C8">
              <w:rPr>
                <w:noProof/>
                <w:lang w:val="en-US" w:eastAsia="zh-CN"/>
              </w:rPr>
              <w:drawing>
                <wp:inline distT="0" distB="0" distL="0" distR="0" wp14:anchorId="20C0EEF1" wp14:editId="249B4BAD">
                  <wp:extent cx="3771900" cy="12382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1900" cy="1238250"/>
                          </a:xfrm>
                          <a:prstGeom prst="rect">
                            <a:avLst/>
                          </a:prstGeom>
                        </pic:spPr>
                      </pic:pic>
                    </a:graphicData>
                  </a:graphic>
                </wp:inline>
              </w:drawing>
            </w:r>
          </w:p>
        </w:tc>
      </w:tr>
    </w:tbl>
    <w:p w14:paraId="2FA09C1B" w14:textId="77777777" w:rsidR="004534A0" w:rsidRPr="001305C8" w:rsidRDefault="004534A0" w:rsidP="004534A0">
      <w:pPr>
        <w:tabs>
          <w:tab w:val="right" w:pos="9641"/>
        </w:tabs>
        <w:spacing w:after="120"/>
        <w:rPr>
          <w:b/>
          <w:bCs/>
          <w:color w:val="FF0000"/>
          <w:u w:val="single"/>
          <w:lang w:eastAsia="ko-KR"/>
        </w:rPr>
      </w:pPr>
    </w:p>
    <w:p w14:paraId="4B0F6732" w14:textId="5AE8613D" w:rsidR="004534A0" w:rsidRPr="001305C8" w:rsidRDefault="004534A0" w:rsidP="004534A0">
      <w:pPr>
        <w:spacing w:after="120"/>
        <w:rPr>
          <w:color w:val="000000" w:themeColor="text1"/>
          <w:lang w:val="en-US" w:eastAsia="zh-CN"/>
        </w:rPr>
      </w:pPr>
      <w:r w:rsidRPr="001305C8">
        <w:rPr>
          <w:color w:val="000000" w:themeColor="text1"/>
          <w:lang w:val="en-US" w:eastAsia="zh-CN"/>
        </w:rPr>
        <w:t xml:space="preserve">The above limit is to protect receiver of the </w:t>
      </w:r>
      <w:r w:rsidR="001305C8" w:rsidRPr="001305C8">
        <w:rPr>
          <w:color w:val="000000" w:themeColor="text1"/>
          <w:lang w:val="en-US" w:eastAsia="zh-CN"/>
        </w:rPr>
        <w:t>Band n1</w:t>
      </w:r>
      <w:r w:rsidR="004A398B">
        <w:rPr>
          <w:color w:val="000000" w:themeColor="text1"/>
          <w:lang w:val="en-US" w:eastAsia="zh-CN"/>
        </w:rPr>
        <w:t>,</w:t>
      </w:r>
      <w:r w:rsidRPr="001305C8">
        <w:rPr>
          <w:color w:val="000000" w:themeColor="text1"/>
          <w:lang w:val="en-US" w:eastAsia="zh-CN"/>
        </w:rPr>
        <w:t xml:space="preserve"> </w:t>
      </w:r>
      <w:r w:rsidR="001305C8" w:rsidRPr="001305C8">
        <w:rPr>
          <w:color w:val="000000" w:themeColor="text1"/>
          <w:lang w:val="en-US" w:eastAsia="zh-CN"/>
        </w:rPr>
        <w:t>n65</w:t>
      </w:r>
      <w:r w:rsidR="004A398B">
        <w:rPr>
          <w:color w:val="000000" w:themeColor="text1"/>
          <w:lang w:val="en-US" w:eastAsia="zh-CN"/>
        </w:rPr>
        <w:t>, n84</w:t>
      </w:r>
      <w:r w:rsidRPr="001305C8">
        <w:rPr>
          <w:color w:val="000000" w:themeColor="text1"/>
          <w:lang w:val="en-US" w:eastAsia="zh-CN"/>
        </w:rPr>
        <w:t xml:space="preserve"> (which both are NR operating bands for Europe) from potential RMR</w:t>
      </w:r>
      <w:r w:rsidR="001305C8" w:rsidRPr="001305C8">
        <w:rPr>
          <w:color w:val="000000" w:themeColor="text1"/>
          <w:lang w:val="en-US" w:eastAsia="zh-CN"/>
        </w:rPr>
        <w:t>1</w:t>
      </w:r>
      <w:r w:rsidRPr="001305C8">
        <w:rPr>
          <w:color w:val="000000" w:themeColor="text1"/>
          <w:lang w:val="en-US" w:eastAsia="zh-CN"/>
        </w:rPr>
        <w:t xml:space="preserve">900 interference: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534A0" w:rsidRPr="001305C8" w14:paraId="5F5642B2" w14:textId="77777777" w:rsidTr="00C839AD">
        <w:trPr>
          <w:cantSplit/>
          <w:jc w:val="center"/>
        </w:trPr>
        <w:tc>
          <w:tcPr>
            <w:tcW w:w="1037" w:type="dxa"/>
            <w:shd w:val="clear" w:color="auto" w:fill="auto"/>
          </w:tcPr>
          <w:p w14:paraId="28F6D237" w14:textId="77777777" w:rsidR="004534A0" w:rsidRPr="001305C8" w:rsidRDefault="004534A0" w:rsidP="00C839AD">
            <w:pPr>
              <w:pStyle w:val="TAH"/>
              <w:rPr>
                <w:rFonts w:cs="Arial"/>
              </w:rPr>
            </w:pPr>
            <w:r w:rsidRPr="001305C8">
              <w:rPr>
                <w:rFonts w:cs="Arial"/>
              </w:rPr>
              <w:t xml:space="preserve">NR </w:t>
            </w:r>
            <w:r w:rsidRPr="001305C8">
              <w:rPr>
                <w:rFonts w:cs="Arial"/>
                <w:i/>
              </w:rPr>
              <w:t>operating band</w:t>
            </w:r>
          </w:p>
        </w:tc>
        <w:tc>
          <w:tcPr>
            <w:tcW w:w="2607" w:type="dxa"/>
            <w:shd w:val="clear" w:color="auto" w:fill="auto"/>
          </w:tcPr>
          <w:p w14:paraId="1FEB54C9" w14:textId="77777777" w:rsidR="004534A0" w:rsidRPr="001305C8" w:rsidRDefault="004534A0" w:rsidP="00C839AD">
            <w:pPr>
              <w:pStyle w:val="TAH"/>
              <w:rPr>
                <w:rFonts w:cs="Arial"/>
              </w:rPr>
            </w:pPr>
            <w:r w:rsidRPr="001305C8">
              <w:rPr>
                <w:rFonts w:cs="Arial"/>
              </w:rPr>
              <w:t xml:space="preserve">Uplink (UL) </w:t>
            </w:r>
            <w:r w:rsidRPr="001305C8">
              <w:rPr>
                <w:rFonts w:cs="Arial"/>
                <w:i/>
              </w:rPr>
              <w:t>operating band</w:t>
            </w:r>
            <w:r w:rsidRPr="001305C8">
              <w:rPr>
                <w:rFonts w:cs="Arial"/>
              </w:rPr>
              <w:br/>
              <w:t>BS receive / UE transmit</w:t>
            </w:r>
          </w:p>
          <w:p w14:paraId="22205D77" w14:textId="77777777" w:rsidR="004534A0" w:rsidRPr="001305C8" w:rsidRDefault="004534A0" w:rsidP="00C839AD">
            <w:pPr>
              <w:pStyle w:val="TAH"/>
              <w:rPr>
                <w:rFonts w:cs="Arial"/>
              </w:rPr>
            </w:pPr>
            <w:r w:rsidRPr="001305C8">
              <w:rPr>
                <w:rFonts w:cs="Arial"/>
              </w:rPr>
              <w:t>F</w:t>
            </w:r>
            <w:r w:rsidRPr="001305C8">
              <w:rPr>
                <w:rFonts w:cs="Arial"/>
                <w:vertAlign w:val="subscript"/>
              </w:rPr>
              <w:t>UL,low</w:t>
            </w:r>
            <w:r w:rsidRPr="001305C8">
              <w:rPr>
                <w:rFonts w:cs="Arial"/>
              </w:rPr>
              <w:t xml:space="preserve">   –  F</w:t>
            </w:r>
            <w:r w:rsidRPr="001305C8">
              <w:rPr>
                <w:rFonts w:cs="Arial"/>
                <w:vertAlign w:val="subscript"/>
              </w:rPr>
              <w:t>UL,high</w:t>
            </w:r>
          </w:p>
        </w:tc>
        <w:tc>
          <w:tcPr>
            <w:tcW w:w="2806" w:type="dxa"/>
            <w:shd w:val="clear" w:color="auto" w:fill="auto"/>
          </w:tcPr>
          <w:p w14:paraId="4EAE6BC8" w14:textId="77777777" w:rsidR="004534A0" w:rsidRPr="001305C8" w:rsidRDefault="004534A0" w:rsidP="00C839AD">
            <w:pPr>
              <w:pStyle w:val="TAH"/>
              <w:rPr>
                <w:rFonts w:cs="Arial"/>
              </w:rPr>
            </w:pPr>
            <w:r w:rsidRPr="001305C8">
              <w:rPr>
                <w:rFonts w:cs="Arial"/>
              </w:rPr>
              <w:t xml:space="preserve">Downlink (DL) </w:t>
            </w:r>
            <w:r w:rsidRPr="001305C8">
              <w:rPr>
                <w:rFonts w:cs="Arial"/>
                <w:i/>
              </w:rPr>
              <w:t>operating band</w:t>
            </w:r>
            <w:r w:rsidRPr="001305C8">
              <w:rPr>
                <w:rFonts w:cs="Arial"/>
              </w:rPr>
              <w:br/>
              <w:t>BS transmit / UE receive</w:t>
            </w:r>
          </w:p>
          <w:p w14:paraId="1469B16C" w14:textId="77777777" w:rsidR="004534A0" w:rsidRPr="001305C8" w:rsidRDefault="004534A0" w:rsidP="00C839AD">
            <w:pPr>
              <w:pStyle w:val="TAH"/>
              <w:rPr>
                <w:rFonts w:cs="Arial"/>
              </w:rPr>
            </w:pPr>
            <w:r w:rsidRPr="001305C8">
              <w:rPr>
                <w:rFonts w:cs="Arial"/>
              </w:rPr>
              <w:t>F</w:t>
            </w:r>
            <w:r w:rsidRPr="001305C8">
              <w:rPr>
                <w:rFonts w:cs="Arial"/>
                <w:vertAlign w:val="subscript"/>
              </w:rPr>
              <w:t>DL,low</w:t>
            </w:r>
            <w:r w:rsidRPr="001305C8">
              <w:rPr>
                <w:rFonts w:cs="Arial"/>
              </w:rPr>
              <w:t xml:space="preserve">   –  F</w:t>
            </w:r>
            <w:r w:rsidRPr="001305C8">
              <w:rPr>
                <w:rFonts w:cs="Arial"/>
                <w:vertAlign w:val="subscript"/>
              </w:rPr>
              <w:t>DL,high</w:t>
            </w:r>
          </w:p>
        </w:tc>
        <w:tc>
          <w:tcPr>
            <w:tcW w:w="1286" w:type="dxa"/>
            <w:shd w:val="clear" w:color="auto" w:fill="auto"/>
          </w:tcPr>
          <w:p w14:paraId="35C846F0" w14:textId="77777777" w:rsidR="004534A0" w:rsidRPr="001305C8" w:rsidRDefault="004534A0" w:rsidP="00C839AD">
            <w:pPr>
              <w:pStyle w:val="TAH"/>
              <w:rPr>
                <w:rFonts w:cs="Arial"/>
              </w:rPr>
            </w:pPr>
            <w:r w:rsidRPr="001305C8">
              <w:rPr>
                <w:rFonts w:cs="Arial"/>
              </w:rPr>
              <w:t>Duplex mode</w:t>
            </w:r>
          </w:p>
        </w:tc>
      </w:tr>
      <w:tr w:rsidR="001305C8" w:rsidRPr="001305C8" w14:paraId="3D34CE38" w14:textId="77777777" w:rsidTr="00C839AD">
        <w:trPr>
          <w:cantSplit/>
          <w:jc w:val="center"/>
        </w:trPr>
        <w:tc>
          <w:tcPr>
            <w:tcW w:w="1037" w:type="dxa"/>
            <w:shd w:val="clear" w:color="auto" w:fill="auto"/>
          </w:tcPr>
          <w:p w14:paraId="16D16F52" w14:textId="7F1BAA16" w:rsidR="001305C8" w:rsidRPr="001305C8" w:rsidRDefault="001305C8" w:rsidP="001305C8">
            <w:pPr>
              <w:pStyle w:val="TAC"/>
            </w:pPr>
            <w:r w:rsidRPr="001305C8">
              <w:t>n1</w:t>
            </w:r>
          </w:p>
        </w:tc>
        <w:tc>
          <w:tcPr>
            <w:tcW w:w="2607" w:type="dxa"/>
            <w:shd w:val="clear" w:color="auto" w:fill="auto"/>
          </w:tcPr>
          <w:p w14:paraId="7BA86863" w14:textId="635916F6" w:rsidR="001305C8" w:rsidRPr="00FC3C79" w:rsidRDefault="001305C8" w:rsidP="001305C8">
            <w:pPr>
              <w:pStyle w:val="TAC"/>
              <w:rPr>
                <w:b/>
              </w:rPr>
            </w:pPr>
            <w:r w:rsidRPr="00FC3C79">
              <w:rPr>
                <w:b/>
              </w:rPr>
              <w:t>1920 MHz – 1980 MHz</w:t>
            </w:r>
          </w:p>
        </w:tc>
        <w:tc>
          <w:tcPr>
            <w:tcW w:w="2806" w:type="dxa"/>
            <w:shd w:val="clear" w:color="auto" w:fill="auto"/>
          </w:tcPr>
          <w:p w14:paraId="06B9A8BC" w14:textId="6BD2B6B4" w:rsidR="001305C8" w:rsidRPr="001305C8" w:rsidRDefault="001305C8" w:rsidP="001305C8">
            <w:pPr>
              <w:pStyle w:val="TAC"/>
            </w:pPr>
            <w:r w:rsidRPr="001305C8">
              <w:t>2110 MHz – 2170 MHz</w:t>
            </w:r>
          </w:p>
        </w:tc>
        <w:tc>
          <w:tcPr>
            <w:tcW w:w="1286" w:type="dxa"/>
            <w:shd w:val="clear" w:color="auto" w:fill="auto"/>
          </w:tcPr>
          <w:p w14:paraId="1B8AF70F" w14:textId="0DB80158" w:rsidR="001305C8" w:rsidRPr="001305C8" w:rsidRDefault="001305C8" w:rsidP="001305C8">
            <w:pPr>
              <w:pStyle w:val="TAC"/>
            </w:pPr>
            <w:r w:rsidRPr="001305C8">
              <w:t>FDD</w:t>
            </w:r>
          </w:p>
        </w:tc>
      </w:tr>
      <w:tr w:rsidR="001305C8" w:rsidRPr="004534A0" w14:paraId="58138F71" w14:textId="77777777" w:rsidTr="00C839AD">
        <w:trPr>
          <w:cantSplit/>
          <w:jc w:val="center"/>
        </w:trPr>
        <w:tc>
          <w:tcPr>
            <w:tcW w:w="1037" w:type="dxa"/>
            <w:shd w:val="clear" w:color="auto" w:fill="auto"/>
          </w:tcPr>
          <w:p w14:paraId="7450161E" w14:textId="10D9563F" w:rsidR="001305C8" w:rsidRPr="00F95B02" w:rsidRDefault="001305C8" w:rsidP="001305C8">
            <w:pPr>
              <w:pStyle w:val="TAC"/>
            </w:pPr>
            <w:r w:rsidRPr="00F95B02">
              <w:t>n65</w:t>
            </w:r>
          </w:p>
        </w:tc>
        <w:tc>
          <w:tcPr>
            <w:tcW w:w="2607" w:type="dxa"/>
            <w:shd w:val="clear" w:color="auto" w:fill="auto"/>
          </w:tcPr>
          <w:p w14:paraId="3F6D6892" w14:textId="7CCE641F" w:rsidR="001305C8" w:rsidRPr="00FC3C79" w:rsidRDefault="001305C8" w:rsidP="001305C8">
            <w:pPr>
              <w:pStyle w:val="TAC"/>
              <w:rPr>
                <w:b/>
              </w:rPr>
            </w:pPr>
            <w:r w:rsidRPr="00FC3C79">
              <w:rPr>
                <w:b/>
              </w:rPr>
              <w:t>1920 MHz – 2010 MHz</w:t>
            </w:r>
          </w:p>
        </w:tc>
        <w:tc>
          <w:tcPr>
            <w:tcW w:w="2806" w:type="dxa"/>
            <w:shd w:val="clear" w:color="auto" w:fill="auto"/>
          </w:tcPr>
          <w:p w14:paraId="635183A0" w14:textId="14E3E86C" w:rsidR="001305C8" w:rsidRPr="00F95B02" w:rsidRDefault="001305C8" w:rsidP="001305C8">
            <w:pPr>
              <w:pStyle w:val="TAC"/>
            </w:pPr>
            <w:r w:rsidRPr="00F95B02">
              <w:t>2110 MHz – 2200 MHz</w:t>
            </w:r>
          </w:p>
        </w:tc>
        <w:tc>
          <w:tcPr>
            <w:tcW w:w="1286" w:type="dxa"/>
            <w:shd w:val="clear" w:color="auto" w:fill="auto"/>
          </w:tcPr>
          <w:p w14:paraId="4933821E" w14:textId="0658295E" w:rsidR="001305C8" w:rsidRPr="00F95B02" w:rsidRDefault="001305C8" w:rsidP="001305C8">
            <w:pPr>
              <w:pStyle w:val="TAC"/>
            </w:pPr>
            <w:r w:rsidRPr="00F95B02">
              <w:t>FDD</w:t>
            </w:r>
          </w:p>
        </w:tc>
      </w:tr>
      <w:tr w:rsidR="004A398B" w:rsidRPr="004534A0" w14:paraId="75C96E2F" w14:textId="77777777" w:rsidTr="00C839AD">
        <w:trPr>
          <w:cantSplit/>
          <w:jc w:val="center"/>
        </w:trPr>
        <w:tc>
          <w:tcPr>
            <w:tcW w:w="1037" w:type="dxa"/>
            <w:shd w:val="clear" w:color="auto" w:fill="auto"/>
          </w:tcPr>
          <w:p w14:paraId="6114EEF4" w14:textId="2D794587" w:rsidR="004A398B" w:rsidRPr="00F95B02" w:rsidRDefault="004A398B" w:rsidP="004A398B">
            <w:pPr>
              <w:pStyle w:val="TAC"/>
            </w:pPr>
            <w:r w:rsidRPr="00F95B02">
              <w:t>n84</w:t>
            </w:r>
          </w:p>
        </w:tc>
        <w:tc>
          <w:tcPr>
            <w:tcW w:w="2607" w:type="dxa"/>
            <w:shd w:val="clear" w:color="auto" w:fill="auto"/>
          </w:tcPr>
          <w:p w14:paraId="7B1FE38C" w14:textId="206D1E17" w:rsidR="004A398B" w:rsidRPr="00FC3C79" w:rsidRDefault="004A398B" w:rsidP="004A398B">
            <w:pPr>
              <w:pStyle w:val="TAC"/>
              <w:rPr>
                <w:b/>
              </w:rPr>
            </w:pPr>
            <w:r w:rsidRPr="00FC3C79">
              <w:rPr>
                <w:b/>
              </w:rPr>
              <w:t>1920 MHz – 1980 MHz</w:t>
            </w:r>
          </w:p>
        </w:tc>
        <w:tc>
          <w:tcPr>
            <w:tcW w:w="2806" w:type="dxa"/>
            <w:shd w:val="clear" w:color="auto" w:fill="auto"/>
          </w:tcPr>
          <w:p w14:paraId="11697B0E" w14:textId="15282E3A" w:rsidR="004A398B" w:rsidRPr="00F95B02" w:rsidRDefault="004A398B" w:rsidP="004A398B">
            <w:pPr>
              <w:pStyle w:val="TAC"/>
            </w:pPr>
            <w:r w:rsidRPr="00F95B02">
              <w:t>N/A</w:t>
            </w:r>
          </w:p>
        </w:tc>
        <w:tc>
          <w:tcPr>
            <w:tcW w:w="1286" w:type="dxa"/>
            <w:shd w:val="clear" w:color="auto" w:fill="auto"/>
          </w:tcPr>
          <w:p w14:paraId="16A2920B" w14:textId="418220B1" w:rsidR="004A398B" w:rsidRPr="00F95B02" w:rsidRDefault="004A398B" w:rsidP="004A398B">
            <w:pPr>
              <w:pStyle w:val="TAC"/>
            </w:pPr>
            <w:r w:rsidRPr="00F95B02">
              <w:t>SUL</w:t>
            </w:r>
          </w:p>
        </w:tc>
      </w:tr>
    </w:tbl>
    <w:p w14:paraId="0B405DDA" w14:textId="77777777" w:rsidR="004534A0" w:rsidRPr="00EA7831" w:rsidRDefault="004534A0" w:rsidP="004534A0">
      <w:pPr>
        <w:spacing w:after="120"/>
        <w:rPr>
          <w:color w:val="000000" w:themeColor="text1"/>
          <w:lang w:val="en-US" w:eastAsia="zh-CN"/>
        </w:rPr>
      </w:pPr>
    </w:p>
    <w:p w14:paraId="3F5D2413" w14:textId="46B45539" w:rsidR="004534A0" w:rsidRPr="00EA7831" w:rsidRDefault="004534A0" w:rsidP="004534A0">
      <w:pPr>
        <w:rPr>
          <w:color w:val="000000" w:themeColor="text1"/>
          <w:lang w:eastAsia="zh-CN"/>
        </w:rPr>
      </w:pPr>
      <w:r w:rsidRPr="00EA7831">
        <w:rPr>
          <w:color w:val="000000" w:themeColor="text1"/>
          <w:lang w:eastAsia="zh-CN"/>
        </w:rPr>
        <w:t xml:space="preserve">Referring to the </w:t>
      </w:r>
      <w:r w:rsidR="00EA7831" w:rsidRPr="00EA7831">
        <w:rPr>
          <w:color w:val="000000" w:themeColor="text1"/>
          <w:lang w:eastAsia="zh-CN"/>
        </w:rPr>
        <w:t>table 10</w:t>
      </w:r>
      <w:r w:rsidRPr="00EA7831">
        <w:rPr>
          <w:color w:val="000000" w:themeColor="text1"/>
          <w:lang w:eastAsia="zh-CN"/>
        </w:rPr>
        <w:t xml:space="preserve"> in ECC 20(02), the emissions limit was specified as -49dBm/5MHz. Now referring to the specification of the additional spurious emission limits in </w:t>
      </w:r>
      <w:r w:rsidR="00EA7831" w:rsidRPr="00EA7831">
        <w:rPr>
          <w:color w:val="000000" w:themeColor="text1"/>
          <w:lang w:eastAsia="zh-CN"/>
        </w:rPr>
        <w:t>1920</w:t>
      </w:r>
      <w:r w:rsidRPr="00EA7831">
        <w:rPr>
          <w:color w:val="000000" w:themeColor="text1"/>
          <w:lang w:eastAsia="zh-CN"/>
        </w:rPr>
        <w:t>-</w:t>
      </w:r>
      <w:r w:rsidR="00EA7831" w:rsidRPr="00EA7831">
        <w:rPr>
          <w:color w:val="000000" w:themeColor="text1"/>
          <w:lang w:eastAsia="zh-CN"/>
        </w:rPr>
        <w:t>1980</w:t>
      </w:r>
      <w:r w:rsidRPr="00EA7831">
        <w:rPr>
          <w:color w:val="000000" w:themeColor="text1"/>
          <w:lang w:eastAsia="zh-CN"/>
        </w:rPr>
        <w:t xml:space="preserve"> MHz range in the RAN4 spec, one can find the following: </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2"/>
        <w:gridCol w:w="1701"/>
        <w:gridCol w:w="851"/>
        <w:gridCol w:w="1417"/>
        <w:gridCol w:w="4422"/>
      </w:tblGrid>
      <w:tr w:rsidR="004534A0" w:rsidRPr="003B412B" w14:paraId="27EBF0D5" w14:textId="77777777" w:rsidTr="00C839AD">
        <w:trPr>
          <w:cantSplit/>
          <w:tblHeader/>
          <w:jc w:val="center"/>
        </w:trPr>
        <w:tc>
          <w:tcPr>
            <w:tcW w:w="1302" w:type="dxa"/>
            <w:hideMark/>
          </w:tcPr>
          <w:p w14:paraId="733DC95C" w14:textId="77777777" w:rsidR="004534A0" w:rsidRPr="003B412B" w:rsidRDefault="004534A0" w:rsidP="00C839AD">
            <w:pPr>
              <w:pStyle w:val="TAH"/>
              <w:rPr>
                <w:rFonts w:cs="Arial"/>
              </w:rPr>
            </w:pPr>
            <w:r w:rsidRPr="003B412B">
              <w:rPr>
                <w:rFonts w:cs="Arial"/>
              </w:rPr>
              <w:t>System type for NR to co-exist with</w:t>
            </w:r>
          </w:p>
        </w:tc>
        <w:tc>
          <w:tcPr>
            <w:tcW w:w="1701" w:type="dxa"/>
            <w:hideMark/>
          </w:tcPr>
          <w:p w14:paraId="2462D42C" w14:textId="77777777" w:rsidR="004534A0" w:rsidRPr="003B412B" w:rsidRDefault="004534A0" w:rsidP="00C839AD">
            <w:pPr>
              <w:pStyle w:val="TAH"/>
              <w:rPr>
                <w:rFonts w:cs="Arial"/>
              </w:rPr>
            </w:pPr>
            <w:r w:rsidRPr="003B412B">
              <w:rPr>
                <w:rFonts w:cs="Arial"/>
              </w:rPr>
              <w:t>Frequency range for co-existence requirement</w:t>
            </w:r>
          </w:p>
        </w:tc>
        <w:tc>
          <w:tcPr>
            <w:tcW w:w="851" w:type="dxa"/>
            <w:hideMark/>
          </w:tcPr>
          <w:p w14:paraId="7E72584C" w14:textId="77777777" w:rsidR="004534A0" w:rsidRPr="003B412B" w:rsidRDefault="004534A0" w:rsidP="00C839AD">
            <w:pPr>
              <w:pStyle w:val="TAH"/>
              <w:rPr>
                <w:rFonts w:cs="Arial"/>
                <w:i/>
              </w:rPr>
            </w:pPr>
            <w:r w:rsidRPr="003B412B">
              <w:rPr>
                <w:rFonts w:cs="v5.0.0"/>
                <w:i/>
              </w:rPr>
              <w:t>Basic limits</w:t>
            </w:r>
          </w:p>
        </w:tc>
        <w:tc>
          <w:tcPr>
            <w:tcW w:w="1417" w:type="dxa"/>
            <w:hideMark/>
          </w:tcPr>
          <w:p w14:paraId="03B26448" w14:textId="77777777" w:rsidR="004534A0" w:rsidRPr="003B412B" w:rsidRDefault="004534A0" w:rsidP="00C839AD">
            <w:pPr>
              <w:pStyle w:val="TAH"/>
              <w:rPr>
                <w:rFonts w:cs="Arial"/>
              </w:rPr>
            </w:pPr>
            <w:r w:rsidRPr="003B412B">
              <w:rPr>
                <w:rFonts w:cs="Arial"/>
                <w:i/>
              </w:rPr>
              <w:t>Measurement bandwidth</w:t>
            </w:r>
          </w:p>
        </w:tc>
        <w:tc>
          <w:tcPr>
            <w:tcW w:w="4422" w:type="dxa"/>
            <w:hideMark/>
          </w:tcPr>
          <w:p w14:paraId="6DBDDD9E" w14:textId="77777777" w:rsidR="004534A0" w:rsidRPr="003B412B" w:rsidRDefault="004534A0" w:rsidP="00C839AD">
            <w:pPr>
              <w:pStyle w:val="TAH"/>
              <w:rPr>
                <w:rFonts w:cs="Arial"/>
              </w:rPr>
            </w:pPr>
            <w:r w:rsidRPr="003B412B">
              <w:rPr>
                <w:rFonts w:cs="Arial"/>
              </w:rPr>
              <w:t>Note</w:t>
            </w:r>
          </w:p>
        </w:tc>
      </w:tr>
      <w:tr w:rsidR="003B412B" w:rsidRPr="003B412B" w14:paraId="479A2E82" w14:textId="77777777" w:rsidTr="00C839AD">
        <w:trPr>
          <w:cantSplit/>
          <w:jc w:val="center"/>
        </w:trPr>
        <w:tc>
          <w:tcPr>
            <w:tcW w:w="1302" w:type="dxa"/>
            <w:vMerge w:val="restart"/>
          </w:tcPr>
          <w:p w14:paraId="713E9BE1" w14:textId="77777777" w:rsidR="003B412B" w:rsidRPr="003B412B" w:rsidRDefault="003B412B" w:rsidP="003B412B">
            <w:pPr>
              <w:pStyle w:val="TAC"/>
              <w:rPr>
                <w:rFonts w:cs="Arial"/>
                <w:lang w:eastAsia="ko-KR"/>
              </w:rPr>
            </w:pPr>
            <w:r w:rsidRPr="00F95B02">
              <w:rPr>
                <w:rFonts w:cs="Arial"/>
              </w:rPr>
              <w:t>UTRA FDD Band I or</w:t>
            </w:r>
          </w:p>
          <w:p w14:paraId="7F8756FB" w14:textId="09EEF3D7" w:rsidR="003B412B" w:rsidRPr="003B412B" w:rsidRDefault="003B412B" w:rsidP="003B412B">
            <w:pPr>
              <w:pStyle w:val="TAC"/>
              <w:rPr>
                <w:rFonts w:cs="Arial"/>
                <w:lang w:eastAsia="ko-KR"/>
              </w:rPr>
            </w:pPr>
            <w:r w:rsidRPr="00F95B02">
              <w:rPr>
                <w:rFonts w:cs="Arial"/>
              </w:rPr>
              <w:t>E-UTRA Band 1 or NR Band n1</w:t>
            </w:r>
          </w:p>
        </w:tc>
        <w:tc>
          <w:tcPr>
            <w:tcW w:w="1701" w:type="dxa"/>
          </w:tcPr>
          <w:p w14:paraId="0620E13C" w14:textId="4CDC38AD" w:rsidR="003B412B" w:rsidRPr="003B412B" w:rsidRDefault="003B412B" w:rsidP="003B412B">
            <w:pPr>
              <w:pStyle w:val="TAC"/>
              <w:rPr>
                <w:rFonts w:cs="Arial"/>
                <w:b/>
              </w:rPr>
            </w:pPr>
            <w:r w:rsidRPr="00F95B02">
              <w:rPr>
                <w:rFonts w:cs="Arial"/>
              </w:rPr>
              <w:t>2110 – 2170 MHz</w:t>
            </w:r>
          </w:p>
        </w:tc>
        <w:tc>
          <w:tcPr>
            <w:tcW w:w="851" w:type="dxa"/>
          </w:tcPr>
          <w:p w14:paraId="366D6CA0" w14:textId="37773398" w:rsidR="003B412B" w:rsidRPr="003B412B" w:rsidRDefault="003B412B" w:rsidP="003B412B">
            <w:pPr>
              <w:pStyle w:val="TAC"/>
              <w:rPr>
                <w:rFonts w:cs="Arial"/>
              </w:rPr>
            </w:pPr>
            <w:r w:rsidRPr="00F95B02">
              <w:rPr>
                <w:rFonts w:cs="Arial"/>
              </w:rPr>
              <w:t>-52 dBm</w:t>
            </w:r>
          </w:p>
        </w:tc>
        <w:tc>
          <w:tcPr>
            <w:tcW w:w="1417" w:type="dxa"/>
          </w:tcPr>
          <w:p w14:paraId="1EED07F3" w14:textId="73031386" w:rsidR="003B412B" w:rsidRPr="003B412B" w:rsidRDefault="003B412B" w:rsidP="003B412B">
            <w:pPr>
              <w:pStyle w:val="TAC"/>
              <w:rPr>
                <w:rFonts w:cs="Arial"/>
              </w:rPr>
            </w:pPr>
            <w:r w:rsidRPr="00F95B02">
              <w:rPr>
                <w:rFonts w:cs="Arial"/>
              </w:rPr>
              <w:t>1 MHz</w:t>
            </w:r>
          </w:p>
        </w:tc>
        <w:tc>
          <w:tcPr>
            <w:tcW w:w="4422" w:type="dxa"/>
          </w:tcPr>
          <w:p w14:paraId="0656B63E" w14:textId="5810FC8E" w:rsidR="003B412B" w:rsidRPr="003B412B" w:rsidRDefault="003B412B" w:rsidP="003B412B">
            <w:pPr>
              <w:pStyle w:val="TAC"/>
              <w:rPr>
                <w:rFonts w:cs="Arial"/>
                <w:lang w:eastAsia="ko-KR"/>
              </w:rPr>
            </w:pPr>
            <w:r w:rsidRPr="00F95B02">
              <w:rPr>
                <w:rFonts w:cs="Arial"/>
              </w:rPr>
              <w:t>This requirement does not apply to BS operating in band n1 or n65</w:t>
            </w:r>
          </w:p>
        </w:tc>
      </w:tr>
      <w:tr w:rsidR="003B412B" w:rsidRPr="003B412B" w14:paraId="6D158B8D" w14:textId="77777777" w:rsidTr="00B07B98">
        <w:trPr>
          <w:cantSplit/>
          <w:jc w:val="center"/>
        </w:trPr>
        <w:tc>
          <w:tcPr>
            <w:tcW w:w="1302" w:type="dxa"/>
            <w:vMerge/>
            <w:vAlign w:val="center"/>
          </w:tcPr>
          <w:p w14:paraId="5A4802B4" w14:textId="00E1CB3D" w:rsidR="003B412B" w:rsidRPr="00F95B02" w:rsidRDefault="003B412B" w:rsidP="003B412B">
            <w:pPr>
              <w:pStyle w:val="TAC"/>
              <w:rPr>
                <w:rFonts w:cs="Arial"/>
              </w:rPr>
            </w:pPr>
          </w:p>
        </w:tc>
        <w:tc>
          <w:tcPr>
            <w:tcW w:w="1701" w:type="dxa"/>
          </w:tcPr>
          <w:p w14:paraId="72D01AFA" w14:textId="77777777" w:rsidR="003B412B" w:rsidRPr="00B90E61" w:rsidRDefault="003B412B" w:rsidP="003B412B">
            <w:pPr>
              <w:pStyle w:val="TAC"/>
              <w:rPr>
                <w:rFonts w:cs="Arial"/>
                <w:b/>
                <w:lang w:eastAsia="zh-CN"/>
              </w:rPr>
            </w:pPr>
            <w:r w:rsidRPr="00B90E61">
              <w:rPr>
                <w:rFonts w:cs="Arial"/>
                <w:b/>
              </w:rPr>
              <w:t>1920 – 1980 MHz</w:t>
            </w:r>
          </w:p>
          <w:p w14:paraId="179CA968" w14:textId="77777777" w:rsidR="003B412B" w:rsidRPr="00F95B02" w:rsidRDefault="003B412B" w:rsidP="003B412B">
            <w:pPr>
              <w:pStyle w:val="TAC"/>
              <w:rPr>
                <w:rFonts w:cs="Arial"/>
              </w:rPr>
            </w:pPr>
          </w:p>
        </w:tc>
        <w:tc>
          <w:tcPr>
            <w:tcW w:w="851" w:type="dxa"/>
          </w:tcPr>
          <w:p w14:paraId="701BB17A" w14:textId="26C91258" w:rsidR="003B412B" w:rsidRPr="00F95B02" w:rsidRDefault="003B412B" w:rsidP="003B412B">
            <w:pPr>
              <w:pStyle w:val="TAC"/>
              <w:rPr>
                <w:rFonts w:cs="Arial"/>
              </w:rPr>
            </w:pPr>
            <w:r w:rsidRPr="00F95B02">
              <w:rPr>
                <w:rFonts w:cs="Arial"/>
              </w:rPr>
              <w:t>-49 dBm</w:t>
            </w:r>
          </w:p>
        </w:tc>
        <w:tc>
          <w:tcPr>
            <w:tcW w:w="1417" w:type="dxa"/>
          </w:tcPr>
          <w:p w14:paraId="71748616" w14:textId="0AD1705F" w:rsidR="003B412B" w:rsidRPr="00F95B02" w:rsidRDefault="003B412B" w:rsidP="003B412B">
            <w:pPr>
              <w:pStyle w:val="TAC"/>
              <w:rPr>
                <w:rFonts w:cs="Arial"/>
              </w:rPr>
            </w:pPr>
            <w:r w:rsidRPr="00F95B02">
              <w:rPr>
                <w:rFonts w:cs="Arial"/>
              </w:rPr>
              <w:t>1 MHz</w:t>
            </w:r>
          </w:p>
        </w:tc>
        <w:tc>
          <w:tcPr>
            <w:tcW w:w="4422" w:type="dxa"/>
          </w:tcPr>
          <w:p w14:paraId="1E48E212" w14:textId="1FD09B0B" w:rsidR="003B412B" w:rsidRPr="00F95B02" w:rsidRDefault="003B412B" w:rsidP="003B412B">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3B412B" w:rsidRPr="003B412B" w14:paraId="3614BDD1" w14:textId="77777777" w:rsidTr="009070CE">
        <w:trPr>
          <w:cantSplit/>
          <w:jc w:val="center"/>
        </w:trPr>
        <w:tc>
          <w:tcPr>
            <w:tcW w:w="1302" w:type="dxa"/>
            <w:vMerge w:val="restart"/>
          </w:tcPr>
          <w:p w14:paraId="495AFDC8" w14:textId="77777777" w:rsidR="003B412B" w:rsidRPr="00F95B02" w:rsidRDefault="003B412B" w:rsidP="003B412B">
            <w:pPr>
              <w:pStyle w:val="TAC"/>
              <w:rPr>
                <w:rFonts w:cs="Arial"/>
              </w:rPr>
            </w:pPr>
            <w:r w:rsidRPr="00F95B02">
              <w:rPr>
                <w:rFonts w:cs="Arial"/>
                <w:lang w:eastAsia="ja-JP"/>
              </w:rPr>
              <w:t>E-UTRA Band 65</w:t>
            </w:r>
            <w:r w:rsidRPr="00F95B02">
              <w:rPr>
                <w:rFonts w:cs="Arial"/>
              </w:rPr>
              <w:t xml:space="preserve"> or</w:t>
            </w:r>
          </w:p>
          <w:p w14:paraId="450E7692" w14:textId="42C6B115" w:rsidR="003B412B" w:rsidRPr="00F95B02" w:rsidRDefault="003B412B" w:rsidP="003B412B">
            <w:pPr>
              <w:pStyle w:val="TAC"/>
              <w:rPr>
                <w:rFonts w:cs="Arial"/>
              </w:rPr>
            </w:pPr>
            <w:r w:rsidRPr="00F95B02">
              <w:rPr>
                <w:rFonts w:cs="Arial"/>
              </w:rPr>
              <w:t>NR Band n65</w:t>
            </w:r>
          </w:p>
        </w:tc>
        <w:tc>
          <w:tcPr>
            <w:tcW w:w="1701" w:type="dxa"/>
          </w:tcPr>
          <w:p w14:paraId="56E799C7" w14:textId="53CFC9F4" w:rsidR="003B412B" w:rsidRPr="00F95B02" w:rsidRDefault="003B412B" w:rsidP="003B412B">
            <w:pPr>
              <w:pStyle w:val="TAC"/>
              <w:rPr>
                <w:rFonts w:cs="Arial"/>
              </w:rPr>
            </w:pPr>
            <w:r w:rsidRPr="00F95B02">
              <w:rPr>
                <w:rFonts w:cs="Arial"/>
              </w:rPr>
              <w:t>2110 – 2</w:t>
            </w:r>
            <w:r w:rsidRPr="00F95B02">
              <w:rPr>
                <w:rFonts w:cs="Arial"/>
                <w:lang w:eastAsia="ja-JP"/>
              </w:rPr>
              <w:t>20</w:t>
            </w:r>
            <w:r w:rsidRPr="00F95B02">
              <w:rPr>
                <w:rFonts w:cs="Arial"/>
              </w:rPr>
              <w:t>0 MHz</w:t>
            </w:r>
          </w:p>
        </w:tc>
        <w:tc>
          <w:tcPr>
            <w:tcW w:w="851" w:type="dxa"/>
          </w:tcPr>
          <w:p w14:paraId="0E033FDD" w14:textId="65836F67" w:rsidR="003B412B" w:rsidRPr="00F95B02" w:rsidRDefault="003B412B" w:rsidP="003B412B">
            <w:pPr>
              <w:pStyle w:val="TAC"/>
              <w:rPr>
                <w:rFonts w:cs="Arial"/>
              </w:rPr>
            </w:pPr>
            <w:r w:rsidRPr="00F95B02">
              <w:rPr>
                <w:rFonts w:cs="Arial"/>
              </w:rPr>
              <w:t>-52 dBm</w:t>
            </w:r>
          </w:p>
        </w:tc>
        <w:tc>
          <w:tcPr>
            <w:tcW w:w="1417" w:type="dxa"/>
          </w:tcPr>
          <w:p w14:paraId="2DB5A939" w14:textId="7E55B37B" w:rsidR="003B412B" w:rsidRPr="00F95B02" w:rsidRDefault="003B412B" w:rsidP="003B412B">
            <w:pPr>
              <w:pStyle w:val="TAC"/>
              <w:rPr>
                <w:rFonts w:cs="Arial"/>
              </w:rPr>
            </w:pPr>
            <w:r w:rsidRPr="00F95B02">
              <w:rPr>
                <w:rFonts w:cs="Arial"/>
              </w:rPr>
              <w:t>1 MHz</w:t>
            </w:r>
          </w:p>
        </w:tc>
        <w:tc>
          <w:tcPr>
            <w:tcW w:w="4422" w:type="dxa"/>
          </w:tcPr>
          <w:p w14:paraId="2D29C26E" w14:textId="38D3798F" w:rsidR="003B412B" w:rsidRPr="00F95B02" w:rsidRDefault="003B412B" w:rsidP="003B412B">
            <w:pPr>
              <w:pStyle w:val="TAC"/>
              <w:rPr>
                <w:rFonts w:cs="Arial"/>
              </w:rPr>
            </w:pPr>
            <w:r w:rsidRPr="00F95B02">
              <w:rPr>
                <w:rFonts w:cs="Arial"/>
              </w:rPr>
              <w:t xml:space="preserve">This requirement does not apply to BS operating in band n1 or n65. </w:t>
            </w:r>
          </w:p>
        </w:tc>
      </w:tr>
      <w:tr w:rsidR="003B412B" w:rsidRPr="003B412B" w14:paraId="60AB56B4" w14:textId="77777777" w:rsidTr="009070CE">
        <w:trPr>
          <w:cantSplit/>
          <w:jc w:val="center"/>
        </w:trPr>
        <w:tc>
          <w:tcPr>
            <w:tcW w:w="1302" w:type="dxa"/>
            <w:vMerge/>
          </w:tcPr>
          <w:p w14:paraId="3A29C2FC" w14:textId="60B636A3" w:rsidR="003B412B" w:rsidRPr="00F95B02" w:rsidRDefault="003B412B" w:rsidP="003B412B">
            <w:pPr>
              <w:pStyle w:val="TAC"/>
              <w:rPr>
                <w:rFonts w:cs="Arial"/>
                <w:lang w:eastAsia="ja-JP"/>
              </w:rPr>
            </w:pPr>
          </w:p>
        </w:tc>
        <w:tc>
          <w:tcPr>
            <w:tcW w:w="1701" w:type="dxa"/>
          </w:tcPr>
          <w:p w14:paraId="6F29FF42" w14:textId="74450F2D" w:rsidR="003B412B" w:rsidRPr="00B90E61" w:rsidRDefault="003B412B" w:rsidP="003B412B">
            <w:pPr>
              <w:pStyle w:val="TAC"/>
              <w:rPr>
                <w:rFonts w:cs="Arial"/>
                <w:b/>
              </w:rPr>
            </w:pPr>
            <w:r w:rsidRPr="00B90E61">
              <w:rPr>
                <w:rFonts w:cs="Arial"/>
                <w:b/>
              </w:rPr>
              <w:t xml:space="preserve">1920 – </w:t>
            </w:r>
            <w:r w:rsidRPr="00B90E61">
              <w:rPr>
                <w:rFonts w:cs="Arial"/>
                <w:b/>
                <w:lang w:eastAsia="ja-JP"/>
              </w:rPr>
              <w:t>2010</w:t>
            </w:r>
            <w:r w:rsidRPr="00B90E61">
              <w:rPr>
                <w:rFonts w:cs="Arial"/>
                <w:b/>
              </w:rPr>
              <w:t xml:space="preserve"> MHz</w:t>
            </w:r>
          </w:p>
        </w:tc>
        <w:tc>
          <w:tcPr>
            <w:tcW w:w="851" w:type="dxa"/>
          </w:tcPr>
          <w:p w14:paraId="39326C48" w14:textId="1864244A" w:rsidR="003B412B" w:rsidRPr="00F95B02" w:rsidRDefault="003B412B" w:rsidP="003B412B">
            <w:pPr>
              <w:pStyle w:val="TAC"/>
              <w:rPr>
                <w:rFonts w:cs="Arial"/>
              </w:rPr>
            </w:pPr>
            <w:r w:rsidRPr="00F95B02">
              <w:rPr>
                <w:rFonts w:cs="Arial"/>
              </w:rPr>
              <w:t>-49 dBm</w:t>
            </w:r>
          </w:p>
        </w:tc>
        <w:tc>
          <w:tcPr>
            <w:tcW w:w="1417" w:type="dxa"/>
          </w:tcPr>
          <w:p w14:paraId="5E70CFCF" w14:textId="54D0F6EF" w:rsidR="003B412B" w:rsidRPr="00F95B02" w:rsidRDefault="003B412B" w:rsidP="003B412B">
            <w:pPr>
              <w:pStyle w:val="TAC"/>
              <w:rPr>
                <w:rFonts w:cs="Arial"/>
              </w:rPr>
            </w:pPr>
            <w:r w:rsidRPr="00F95B02">
              <w:rPr>
                <w:rFonts w:cs="Arial"/>
              </w:rPr>
              <w:t>1 MHz</w:t>
            </w:r>
          </w:p>
        </w:tc>
        <w:tc>
          <w:tcPr>
            <w:tcW w:w="4422" w:type="dxa"/>
          </w:tcPr>
          <w:p w14:paraId="6F9E16AC" w14:textId="77777777" w:rsidR="003B412B" w:rsidRPr="00F95B02" w:rsidRDefault="003B412B" w:rsidP="003B412B">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28E1273F" w14:textId="1ED8BB40" w:rsidR="003B412B" w:rsidRPr="00F95B02" w:rsidRDefault="003B412B" w:rsidP="00B90E61">
            <w:pPr>
              <w:pStyle w:val="TAC"/>
              <w:jc w:val="left"/>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90E61" w:rsidRPr="003B412B" w14:paraId="05B29C8D" w14:textId="77777777" w:rsidTr="009070CE">
        <w:trPr>
          <w:cantSplit/>
          <w:jc w:val="center"/>
        </w:trPr>
        <w:tc>
          <w:tcPr>
            <w:tcW w:w="1302" w:type="dxa"/>
          </w:tcPr>
          <w:p w14:paraId="009C6FC8" w14:textId="3AE804DD" w:rsidR="00B90E61" w:rsidRPr="00F95B02" w:rsidRDefault="00B90E61" w:rsidP="00B90E61">
            <w:pPr>
              <w:pStyle w:val="TAC"/>
              <w:rPr>
                <w:rFonts w:cs="Arial"/>
                <w:lang w:eastAsia="ja-JP"/>
              </w:rPr>
            </w:pPr>
            <w:r w:rsidRPr="00F95B02">
              <w:rPr>
                <w:rFonts w:cs="Arial"/>
                <w:lang w:eastAsia="ko-KR"/>
              </w:rPr>
              <w:t>NR Band n84</w:t>
            </w:r>
          </w:p>
        </w:tc>
        <w:tc>
          <w:tcPr>
            <w:tcW w:w="1701" w:type="dxa"/>
          </w:tcPr>
          <w:p w14:paraId="720F6886" w14:textId="77777777" w:rsidR="00B90E61" w:rsidRPr="00B90E61" w:rsidRDefault="00B90E61" w:rsidP="00B90E61">
            <w:pPr>
              <w:pStyle w:val="TAC"/>
              <w:rPr>
                <w:b/>
              </w:rPr>
            </w:pPr>
            <w:r w:rsidRPr="00B90E61">
              <w:rPr>
                <w:b/>
              </w:rPr>
              <w:t>1920 – 1980 MHz</w:t>
            </w:r>
          </w:p>
          <w:p w14:paraId="0C78F5C5" w14:textId="77777777" w:rsidR="00B90E61" w:rsidRPr="00B90E61" w:rsidRDefault="00B90E61" w:rsidP="00B90E61">
            <w:pPr>
              <w:pStyle w:val="TAC"/>
              <w:rPr>
                <w:rFonts w:cs="Arial"/>
                <w:b/>
              </w:rPr>
            </w:pPr>
          </w:p>
        </w:tc>
        <w:tc>
          <w:tcPr>
            <w:tcW w:w="851" w:type="dxa"/>
          </w:tcPr>
          <w:p w14:paraId="17793D31" w14:textId="5429DF81" w:rsidR="00B90E61" w:rsidRPr="00F95B02" w:rsidRDefault="00B90E61" w:rsidP="00B90E61">
            <w:pPr>
              <w:pStyle w:val="TAC"/>
              <w:rPr>
                <w:rFonts w:cs="Arial"/>
              </w:rPr>
            </w:pPr>
            <w:r w:rsidRPr="00F95B02">
              <w:rPr>
                <w:rFonts w:cs="Arial"/>
                <w:lang w:eastAsia="ko-KR"/>
              </w:rPr>
              <w:t>-49 dBm</w:t>
            </w:r>
          </w:p>
        </w:tc>
        <w:tc>
          <w:tcPr>
            <w:tcW w:w="1417" w:type="dxa"/>
          </w:tcPr>
          <w:p w14:paraId="212D4FBD" w14:textId="65703765" w:rsidR="00B90E61" w:rsidRPr="00F95B02" w:rsidRDefault="00B90E61" w:rsidP="00B90E61">
            <w:pPr>
              <w:pStyle w:val="TAC"/>
              <w:rPr>
                <w:rFonts w:cs="Arial"/>
              </w:rPr>
            </w:pPr>
            <w:r w:rsidRPr="00F95B02">
              <w:rPr>
                <w:rFonts w:cs="Arial"/>
                <w:lang w:eastAsia="ko-KR"/>
              </w:rPr>
              <w:t>1 MHz</w:t>
            </w:r>
          </w:p>
        </w:tc>
        <w:tc>
          <w:tcPr>
            <w:tcW w:w="4422" w:type="dxa"/>
          </w:tcPr>
          <w:p w14:paraId="6258DA11" w14:textId="1D0A0E3C" w:rsidR="00B90E61" w:rsidRPr="00F95B02" w:rsidRDefault="00B90E61" w:rsidP="00B90E61">
            <w:pPr>
              <w:pStyle w:val="TAL"/>
              <w:rPr>
                <w:rFonts w:cs="Arial"/>
                <w:lang w:eastAsia="ja-JP"/>
              </w:rPr>
            </w:pPr>
            <w:r w:rsidRPr="00F95B02">
              <w:rPr>
                <w:rFonts w:cs="Arial"/>
                <w:lang w:eastAsia="ko-KR"/>
              </w:rPr>
              <w:t>This requirement does not apply to BS operating in band n1, since it is already covered by the requirement in clause 6.6.5.2.2.</w:t>
            </w:r>
          </w:p>
        </w:tc>
      </w:tr>
    </w:tbl>
    <w:p w14:paraId="62E59D11" w14:textId="77777777" w:rsidR="004534A0" w:rsidRPr="004534A0" w:rsidRDefault="004534A0" w:rsidP="004534A0">
      <w:pPr>
        <w:rPr>
          <w:color w:val="000000" w:themeColor="text1"/>
          <w:highlight w:val="yellow"/>
          <w:lang w:eastAsia="zh-CN"/>
        </w:rPr>
      </w:pPr>
    </w:p>
    <w:p w14:paraId="1DC783FF" w14:textId="77777777" w:rsidR="004534A0" w:rsidRPr="00EE3565" w:rsidRDefault="004534A0" w:rsidP="004534A0">
      <w:pPr>
        <w:rPr>
          <w:color w:val="000000" w:themeColor="text1"/>
          <w:lang w:eastAsia="zh-CN"/>
        </w:rPr>
      </w:pPr>
      <w:r w:rsidRPr="00EE3565">
        <w:rPr>
          <w:color w:val="000000" w:themeColor="text1"/>
          <w:lang w:eastAsia="zh-CN"/>
        </w:rPr>
        <w:t xml:space="preserve">Based on the above ECC-limit vs. RAN4 limit comparison, the following is observed: </w:t>
      </w:r>
    </w:p>
    <w:p w14:paraId="0A1F99EB" w14:textId="3BE5F746" w:rsidR="004534A0" w:rsidRPr="00EE3565" w:rsidRDefault="004534A0" w:rsidP="004534A0">
      <w:pPr>
        <w:spacing w:after="120"/>
        <w:rPr>
          <w:color w:val="000000" w:themeColor="text1"/>
          <w:lang w:eastAsia="zh-CN"/>
        </w:rPr>
      </w:pPr>
      <w:r w:rsidRPr="00EE3565">
        <w:rPr>
          <w:b/>
          <w:color w:val="000000" w:themeColor="text1"/>
          <w:lang w:eastAsia="zh-CN"/>
        </w:rPr>
        <w:t>Observation</w:t>
      </w:r>
      <w:r w:rsidRPr="00EE3565">
        <w:rPr>
          <w:color w:val="000000" w:themeColor="text1"/>
          <w:lang w:eastAsia="zh-CN"/>
        </w:rPr>
        <w:t>: -49dBm limit seems to be reused by ECC from the already existing requiremen</w:t>
      </w:r>
      <w:r w:rsidR="00EE3565">
        <w:rPr>
          <w:color w:val="000000" w:themeColor="text1"/>
          <w:lang w:eastAsia="zh-CN"/>
        </w:rPr>
        <w:t>ts for other bands, e.g. band n1</w:t>
      </w:r>
      <w:r w:rsidRPr="00EE3565">
        <w:rPr>
          <w:color w:val="000000" w:themeColor="text1"/>
          <w:lang w:eastAsia="zh-CN"/>
        </w:rPr>
        <w:t xml:space="preserve">. </w:t>
      </w:r>
    </w:p>
    <w:p w14:paraId="79607C66" w14:textId="77777777" w:rsidR="004534A0" w:rsidRPr="00EE3565" w:rsidRDefault="004534A0" w:rsidP="004534A0">
      <w:pPr>
        <w:spacing w:after="120"/>
        <w:rPr>
          <w:color w:val="000000" w:themeColor="text1"/>
          <w:lang w:eastAsia="zh-CN"/>
        </w:rPr>
      </w:pPr>
      <w:r w:rsidRPr="00EE3565">
        <w:rPr>
          <w:b/>
          <w:color w:val="000000" w:themeColor="text1"/>
          <w:lang w:eastAsia="zh-CN"/>
        </w:rPr>
        <w:t>Observation</w:t>
      </w:r>
      <w:r w:rsidRPr="00EE3565">
        <w:rPr>
          <w:color w:val="000000" w:themeColor="text1"/>
          <w:lang w:eastAsia="zh-CN"/>
        </w:rPr>
        <w:t xml:space="preserve">: as ECC limit was specified as “EIRP limit” and we need to define conducted requirement in RAN4, it requires further clarification whether there is need for the limit conversion at all, or ECC intention was to follow the already existing protection levels. </w:t>
      </w:r>
    </w:p>
    <w:p w14:paraId="05913F75" w14:textId="77777777" w:rsidR="004534A0" w:rsidRPr="00EE3565" w:rsidRDefault="004534A0" w:rsidP="004534A0">
      <w:pPr>
        <w:spacing w:after="120"/>
        <w:rPr>
          <w:color w:val="000000" w:themeColor="text1"/>
          <w:lang w:eastAsia="zh-CN"/>
        </w:rPr>
      </w:pPr>
      <w:r w:rsidRPr="00EE3565">
        <w:rPr>
          <w:b/>
          <w:color w:val="000000" w:themeColor="text1"/>
          <w:lang w:eastAsia="zh-CN"/>
        </w:rPr>
        <w:t>Observation</w:t>
      </w:r>
      <w:r w:rsidRPr="00EE3565">
        <w:rPr>
          <w:color w:val="000000" w:themeColor="text1"/>
          <w:lang w:eastAsia="zh-CN"/>
        </w:rPr>
        <w:t>: the measurement bandwidth in case of -49dBm limits in RAN4 spec is specified as 1MHz. It requires further clarification if ECC intention was to specify RMR limit with 5MHz measurement bandwidth, or the “-49dBm/5MHz” only refers to the channel bandwidth.</w:t>
      </w:r>
    </w:p>
    <w:p w14:paraId="60F07472" w14:textId="004C14AC" w:rsidR="00C7439D" w:rsidRDefault="004534A0" w:rsidP="004534A0">
      <w:pPr>
        <w:rPr>
          <w:color w:val="000000" w:themeColor="text1"/>
          <w:lang w:eastAsia="zh-CN"/>
        </w:rPr>
      </w:pPr>
      <w:r w:rsidRPr="00EE3565">
        <w:rPr>
          <w:color w:val="000000" w:themeColor="text1"/>
          <w:lang w:val="en-US" w:eastAsia="zh-CN"/>
        </w:rPr>
        <w:t>With the above observations, more discussion and clarifications are needed before concluding on this requirement</w:t>
      </w:r>
      <w:r w:rsidR="00EE3565">
        <w:rPr>
          <w:color w:val="000000" w:themeColor="text1"/>
          <w:lang w:val="en-US" w:eastAsia="zh-CN"/>
        </w:rPr>
        <w:t>.</w:t>
      </w:r>
    </w:p>
    <w:p w14:paraId="26910A4A" w14:textId="21D38073" w:rsidR="000D4B8E" w:rsidRPr="000D4B8E" w:rsidRDefault="000D4B8E" w:rsidP="000D4B8E">
      <w:pPr>
        <w:pStyle w:val="Heading1"/>
        <w:numPr>
          <w:ilvl w:val="1"/>
          <w:numId w:val="2"/>
        </w:numPr>
        <w:overflowPunct w:val="0"/>
        <w:autoSpaceDE w:val="0"/>
        <w:autoSpaceDN w:val="0"/>
        <w:adjustRightInd w:val="0"/>
        <w:textAlignment w:val="baseline"/>
        <w:rPr>
          <w:color w:val="000000" w:themeColor="text1"/>
        </w:rPr>
      </w:pPr>
      <w:r w:rsidRPr="000D4B8E">
        <w:rPr>
          <w:color w:val="000000" w:themeColor="text1"/>
        </w:rPr>
        <w:t>Work plan analysis</w:t>
      </w:r>
    </w:p>
    <w:p w14:paraId="5389A8FE" w14:textId="4DC940CE" w:rsidR="008246A1" w:rsidRPr="001567B4" w:rsidRDefault="000D4B8E" w:rsidP="00A12D06">
      <w:r w:rsidRPr="001567B4">
        <w:t>As per WID in</w:t>
      </w:r>
      <w:r w:rsidR="00731B4E" w:rsidRPr="001567B4">
        <w:t xml:space="preserve"> [</w:t>
      </w:r>
      <w:r w:rsidR="001567B4" w:rsidRPr="001567B4">
        <w:t>12</w:t>
      </w:r>
      <w:r w:rsidR="00731B4E" w:rsidRPr="001567B4">
        <w:t>]</w:t>
      </w:r>
      <w:r w:rsidRPr="001567B4">
        <w:t xml:space="preserve">, the internal TR was planned to be submitted for Information to December RAN meeting. </w:t>
      </w:r>
    </w:p>
    <w:p w14:paraId="1FC2EBDA" w14:textId="6324EC44" w:rsidR="000D4B8E" w:rsidRPr="001567B4" w:rsidRDefault="000D4B8E" w:rsidP="00A12D06">
      <w:r w:rsidRPr="001567B4">
        <w:t>As per RAN4 arrangement, the TR/TS drafting requires to arrange the “work-split” for the TPs drafting in order to avoid redundant effort among companies. As there was no such work-split arranged, we would like to check with the Rapporteur on the preferred handling of the WI during the remaining meetings</w:t>
      </w:r>
      <w:r w:rsidR="009E06B4" w:rsidRPr="001567B4">
        <w:t xml:space="preserve"> before March 2022 (3 more RAN4 meetings beyond this one)</w:t>
      </w:r>
      <w:r w:rsidRPr="001567B4">
        <w:t xml:space="preserve">. </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91EC0" w:rsidRPr="001567B4" w14:paraId="64BA1D74" w14:textId="77777777" w:rsidTr="00C839AD">
        <w:tc>
          <w:tcPr>
            <w:tcW w:w="9413" w:type="dxa"/>
            <w:gridSpan w:val="6"/>
            <w:shd w:val="clear" w:color="auto" w:fill="D9D9D9"/>
            <w:tcMar>
              <w:left w:w="57" w:type="dxa"/>
              <w:right w:w="57" w:type="dxa"/>
            </w:tcMar>
            <w:vAlign w:val="center"/>
          </w:tcPr>
          <w:p w14:paraId="798B0134" w14:textId="77777777" w:rsidR="00F91EC0" w:rsidRPr="001567B4" w:rsidRDefault="00F91EC0" w:rsidP="00C839AD">
            <w:pPr>
              <w:pStyle w:val="TAL"/>
              <w:ind w:right="-99"/>
              <w:jc w:val="center"/>
              <w:rPr>
                <w:b/>
                <w:sz w:val="16"/>
                <w:szCs w:val="16"/>
              </w:rPr>
            </w:pPr>
            <w:r w:rsidRPr="001567B4">
              <w:rPr>
                <w:b/>
                <w:sz w:val="16"/>
                <w:szCs w:val="16"/>
              </w:rPr>
              <w:t xml:space="preserve">New specifications </w:t>
            </w:r>
            <w:r w:rsidRPr="001567B4">
              <w:rPr>
                <w:i/>
                <w:sz w:val="16"/>
                <w:szCs w:val="16"/>
              </w:rPr>
              <w:t>{One line per specification. Create/delete lines as needed}</w:t>
            </w:r>
          </w:p>
        </w:tc>
      </w:tr>
      <w:tr w:rsidR="00F91EC0" w:rsidRPr="001567B4" w14:paraId="4F6A2CBF" w14:textId="77777777" w:rsidTr="00C839AD">
        <w:tc>
          <w:tcPr>
            <w:tcW w:w="1617" w:type="dxa"/>
            <w:shd w:val="clear" w:color="auto" w:fill="D9D9D9"/>
            <w:tcMar>
              <w:left w:w="57" w:type="dxa"/>
              <w:right w:w="57" w:type="dxa"/>
            </w:tcMar>
            <w:vAlign w:val="center"/>
          </w:tcPr>
          <w:p w14:paraId="5308C4D4" w14:textId="77777777" w:rsidR="00F91EC0" w:rsidRPr="001567B4" w:rsidRDefault="00F91EC0" w:rsidP="00C839AD">
            <w:pPr>
              <w:spacing w:after="0"/>
              <w:ind w:right="-99"/>
              <w:rPr>
                <w:sz w:val="16"/>
                <w:szCs w:val="16"/>
              </w:rPr>
            </w:pPr>
            <w:r w:rsidRPr="001567B4">
              <w:rPr>
                <w:sz w:val="16"/>
                <w:szCs w:val="16"/>
              </w:rPr>
              <w:t xml:space="preserve">Type </w:t>
            </w:r>
          </w:p>
        </w:tc>
        <w:tc>
          <w:tcPr>
            <w:tcW w:w="1134" w:type="dxa"/>
            <w:shd w:val="clear" w:color="auto" w:fill="D9D9D9"/>
            <w:tcMar>
              <w:left w:w="57" w:type="dxa"/>
              <w:right w:w="57" w:type="dxa"/>
            </w:tcMar>
            <w:vAlign w:val="center"/>
          </w:tcPr>
          <w:p w14:paraId="1273E31E" w14:textId="77777777" w:rsidR="00F91EC0" w:rsidRPr="001567B4" w:rsidRDefault="00F91EC0" w:rsidP="00C839AD">
            <w:pPr>
              <w:spacing w:after="0"/>
              <w:ind w:right="-99"/>
            </w:pPr>
            <w:r w:rsidRPr="001567B4">
              <w:rPr>
                <w:sz w:val="16"/>
                <w:szCs w:val="16"/>
              </w:rPr>
              <w:t>Series</w:t>
            </w:r>
          </w:p>
        </w:tc>
        <w:tc>
          <w:tcPr>
            <w:tcW w:w="2409" w:type="dxa"/>
            <w:shd w:val="clear" w:color="auto" w:fill="D9D9D9"/>
            <w:tcMar>
              <w:left w:w="57" w:type="dxa"/>
              <w:right w:w="57" w:type="dxa"/>
            </w:tcMar>
            <w:vAlign w:val="center"/>
          </w:tcPr>
          <w:p w14:paraId="02DCB12C" w14:textId="77777777" w:rsidR="00F91EC0" w:rsidRPr="001567B4" w:rsidRDefault="00F91EC0" w:rsidP="00C839AD">
            <w:pPr>
              <w:spacing w:after="0"/>
              <w:ind w:right="-99"/>
              <w:rPr>
                <w:rFonts w:ascii="Arial" w:hAnsi="Arial"/>
                <w:sz w:val="16"/>
                <w:szCs w:val="16"/>
              </w:rPr>
            </w:pPr>
            <w:r w:rsidRPr="001567B4">
              <w:rPr>
                <w:rFonts w:ascii="Arial" w:hAnsi="Arial"/>
                <w:sz w:val="16"/>
                <w:szCs w:val="16"/>
              </w:rPr>
              <w:t>Title</w:t>
            </w:r>
          </w:p>
        </w:tc>
        <w:tc>
          <w:tcPr>
            <w:tcW w:w="993" w:type="dxa"/>
            <w:shd w:val="clear" w:color="auto" w:fill="D9D9D9"/>
            <w:tcMar>
              <w:left w:w="57" w:type="dxa"/>
              <w:right w:w="57" w:type="dxa"/>
            </w:tcMar>
            <w:vAlign w:val="center"/>
          </w:tcPr>
          <w:p w14:paraId="67858C18" w14:textId="77777777" w:rsidR="00F91EC0" w:rsidRPr="001567B4" w:rsidRDefault="00F91EC0" w:rsidP="00C839AD">
            <w:pPr>
              <w:spacing w:after="0"/>
              <w:ind w:right="-99"/>
              <w:rPr>
                <w:rFonts w:ascii="Arial" w:hAnsi="Arial"/>
                <w:sz w:val="16"/>
                <w:szCs w:val="16"/>
              </w:rPr>
            </w:pPr>
            <w:r w:rsidRPr="001567B4">
              <w:rPr>
                <w:rFonts w:ascii="Arial" w:hAnsi="Arial"/>
                <w:sz w:val="16"/>
                <w:szCs w:val="16"/>
              </w:rPr>
              <w:t xml:space="preserve">For info </w:t>
            </w:r>
            <w:r w:rsidRPr="001567B4">
              <w:rPr>
                <w:rFonts w:ascii="Arial" w:hAnsi="Arial"/>
                <w:sz w:val="16"/>
                <w:szCs w:val="16"/>
              </w:rPr>
              <w:br/>
              <w:t xml:space="preserve">at TSG# </w:t>
            </w:r>
          </w:p>
        </w:tc>
        <w:tc>
          <w:tcPr>
            <w:tcW w:w="1074" w:type="dxa"/>
            <w:shd w:val="clear" w:color="auto" w:fill="D9D9D9"/>
            <w:tcMar>
              <w:left w:w="57" w:type="dxa"/>
              <w:right w:w="57" w:type="dxa"/>
            </w:tcMar>
            <w:vAlign w:val="center"/>
          </w:tcPr>
          <w:p w14:paraId="095C6DE2" w14:textId="77777777" w:rsidR="00F91EC0" w:rsidRPr="001567B4" w:rsidRDefault="00F91EC0" w:rsidP="00C839AD">
            <w:pPr>
              <w:spacing w:after="0"/>
              <w:ind w:right="-99"/>
              <w:rPr>
                <w:rFonts w:ascii="Arial" w:hAnsi="Arial"/>
                <w:sz w:val="16"/>
                <w:szCs w:val="16"/>
              </w:rPr>
            </w:pPr>
            <w:r w:rsidRPr="001567B4">
              <w:rPr>
                <w:rFonts w:ascii="Arial" w:hAnsi="Arial"/>
                <w:sz w:val="16"/>
                <w:szCs w:val="16"/>
              </w:rPr>
              <w:t>For approval at TSG#</w:t>
            </w:r>
          </w:p>
        </w:tc>
        <w:tc>
          <w:tcPr>
            <w:tcW w:w="2186" w:type="dxa"/>
            <w:shd w:val="clear" w:color="auto" w:fill="D9D9D9"/>
            <w:tcMar>
              <w:left w:w="57" w:type="dxa"/>
              <w:right w:w="57" w:type="dxa"/>
            </w:tcMar>
            <w:vAlign w:val="center"/>
          </w:tcPr>
          <w:p w14:paraId="39F03691" w14:textId="77777777" w:rsidR="00F91EC0" w:rsidRPr="001567B4" w:rsidRDefault="00F91EC0" w:rsidP="00C839AD">
            <w:pPr>
              <w:spacing w:after="0"/>
              <w:ind w:right="-99"/>
              <w:rPr>
                <w:rFonts w:ascii="Arial" w:hAnsi="Arial"/>
                <w:sz w:val="16"/>
                <w:szCs w:val="16"/>
              </w:rPr>
            </w:pPr>
            <w:r w:rsidRPr="001567B4">
              <w:rPr>
                <w:rFonts w:ascii="Arial" w:hAnsi="Arial"/>
                <w:sz w:val="16"/>
                <w:szCs w:val="16"/>
              </w:rPr>
              <w:t>Remarks</w:t>
            </w:r>
          </w:p>
        </w:tc>
      </w:tr>
      <w:tr w:rsidR="00F91EC0" w:rsidRPr="00A27415" w14:paraId="2C86DEAC" w14:textId="77777777" w:rsidTr="00C839AD">
        <w:tc>
          <w:tcPr>
            <w:tcW w:w="1617" w:type="dxa"/>
          </w:tcPr>
          <w:p w14:paraId="37436D95" w14:textId="77777777" w:rsidR="00F91EC0" w:rsidRPr="001567B4" w:rsidRDefault="00F91EC0" w:rsidP="00C839AD">
            <w:pPr>
              <w:spacing w:after="0"/>
            </w:pPr>
            <w:r w:rsidRPr="001567B4">
              <w:t>Internal TR</w:t>
            </w:r>
          </w:p>
        </w:tc>
        <w:tc>
          <w:tcPr>
            <w:tcW w:w="1134" w:type="dxa"/>
          </w:tcPr>
          <w:p w14:paraId="30CFD0EF" w14:textId="77777777" w:rsidR="00F91EC0" w:rsidRPr="001567B4" w:rsidRDefault="00F91EC0" w:rsidP="00C839AD">
            <w:pPr>
              <w:spacing w:after="0"/>
              <w:rPr>
                <w:i/>
              </w:rPr>
            </w:pPr>
            <w:r w:rsidRPr="001567B4">
              <w:rPr>
                <w:i/>
              </w:rPr>
              <w:t>38.xxx</w:t>
            </w:r>
          </w:p>
        </w:tc>
        <w:tc>
          <w:tcPr>
            <w:tcW w:w="2409" w:type="dxa"/>
          </w:tcPr>
          <w:p w14:paraId="2F8F3891" w14:textId="4D19493F" w:rsidR="00F91EC0" w:rsidRPr="001567B4" w:rsidRDefault="00F91EC0" w:rsidP="00C839AD">
            <w:pPr>
              <w:spacing w:after="0"/>
              <w:rPr>
                <w:i/>
              </w:rPr>
            </w:pPr>
            <w:r w:rsidRPr="001567B4">
              <w:rPr>
                <w:i/>
              </w:rPr>
              <w:t>Introduction of 1900MHz NR band for Europe for Rail Mobile Radio (RMR)</w:t>
            </w:r>
          </w:p>
        </w:tc>
        <w:tc>
          <w:tcPr>
            <w:tcW w:w="993" w:type="dxa"/>
          </w:tcPr>
          <w:p w14:paraId="2479E10E" w14:textId="77777777" w:rsidR="00F91EC0" w:rsidRPr="001567B4" w:rsidRDefault="00F91EC0" w:rsidP="00C839AD">
            <w:pPr>
              <w:spacing w:after="0"/>
            </w:pPr>
            <w:r w:rsidRPr="001567B4">
              <w:t>RAN#94</w:t>
            </w:r>
          </w:p>
        </w:tc>
        <w:tc>
          <w:tcPr>
            <w:tcW w:w="1074" w:type="dxa"/>
          </w:tcPr>
          <w:p w14:paraId="72BB8969" w14:textId="77777777" w:rsidR="00F91EC0" w:rsidRPr="001567B4" w:rsidRDefault="00F91EC0" w:rsidP="00C839AD">
            <w:pPr>
              <w:spacing w:after="0"/>
            </w:pPr>
            <w:r w:rsidRPr="001567B4">
              <w:t>RAN#95</w:t>
            </w:r>
          </w:p>
        </w:tc>
        <w:tc>
          <w:tcPr>
            <w:tcW w:w="2186" w:type="dxa"/>
          </w:tcPr>
          <w:p w14:paraId="1F936B3F" w14:textId="77777777" w:rsidR="00F91EC0" w:rsidRPr="001567B4" w:rsidRDefault="00F91EC0" w:rsidP="00C839AD">
            <w:pPr>
              <w:spacing w:after="0"/>
              <w:rPr>
                <w:i/>
              </w:rPr>
            </w:pPr>
            <w:r w:rsidRPr="001567B4">
              <w:rPr>
                <w:i/>
              </w:rPr>
              <w:t>Core Part</w:t>
            </w:r>
          </w:p>
          <w:p w14:paraId="75860B27" w14:textId="77777777" w:rsidR="00F91EC0" w:rsidRPr="001567B4" w:rsidRDefault="00F91EC0" w:rsidP="00C839AD">
            <w:pPr>
              <w:spacing w:after="0"/>
              <w:rPr>
                <w:i/>
              </w:rPr>
            </w:pPr>
            <w:r w:rsidRPr="001567B4">
              <w:rPr>
                <w:i/>
              </w:rPr>
              <w:t>Rapporteur: Ingo Wendler (UIC)</w:t>
            </w:r>
          </w:p>
          <w:p w14:paraId="3266CB02" w14:textId="77777777" w:rsidR="00F91EC0" w:rsidRPr="00781085" w:rsidRDefault="00F91EC0" w:rsidP="00C839AD">
            <w:pPr>
              <w:spacing w:after="0"/>
              <w:rPr>
                <w:i/>
              </w:rPr>
            </w:pPr>
            <w:r w:rsidRPr="001567B4">
              <w:rPr>
                <w:i/>
              </w:rPr>
              <w:t>Ingo.wendler@sbb.ch;</w:t>
            </w:r>
          </w:p>
        </w:tc>
      </w:tr>
    </w:tbl>
    <w:p w14:paraId="61EDC427" w14:textId="77777777" w:rsidR="00F91EC0" w:rsidRPr="000D4B8E" w:rsidRDefault="00F91EC0" w:rsidP="00A12D06">
      <w:pPr>
        <w:rPr>
          <w:highlight w:val="yellow"/>
        </w:rPr>
      </w:pPr>
    </w:p>
    <w:p w14:paraId="6DCA01B1" w14:textId="3E5A8687" w:rsidR="00B5171B" w:rsidRPr="00767A3A" w:rsidRDefault="00B5171B" w:rsidP="003324C1">
      <w:pPr>
        <w:pStyle w:val="Heading1"/>
        <w:numPr>
          <w:ilvl w:val="0"/>
          <w:numId w:val="2"/>
        </w:numPr>
        <w:overflowPunct w:val="0"/>
        <w:autoSpaceDE w:val="0"/>
        <w:autoSpaceDN w:val="0"/>
        <w:adjustRightInd w:val="0"/>
        <w:textAlignment w:val="baseline"/>
      </w:pPr>
      <w:r w:rsidRPr="00767A3A">
        <w:t xml:space="preserve">Conclusion </w:t>
      </w:r>
    </w:p>
    <w:p w14:paraId="123DCF5D" w14:textId="125C802D" w:rsidR="00D030A6" w:rsidRPr="00767A3A" w:rsidRDefault="00904CB7" w:rsidP="00D5770A">
      <w:r w:rsidRPr="00767A3A">
        <w:t xml:space="preserve">Based on the </w:t>
      </w:r>
      <w:r w:rsidR="00C15D42" w:rsidRPr="00767A3A">
        <w:t>above</w:t>
      </w:r>
      <w:r w:rsidRPr="00767A3A">
        <w:t xml:space="preserve">, the following </w:t>
      </w:r>
      <w:r w:rsidR="00BA4E95" w:rsidRPr="00767A3A">
        <w:t>proposal</w:t>
      </w:r>
      <w:r w:rsidR="00767A3A" w:rsidRPr="00767A3A">
        <w:t>s</w:t>
      </w:r>
      <w:r w:rsidR="00BA4E95" w:rsidRPr="00767A3A">
        <w:t xml:space="preserve"> </w:t>
      </w:r>
      <w:r w:rsidR="00767A3A" w:rsidRPr="00767A3A">
        <w:t>are</w:t>
      </w:r>
      <w:r w:rsidR="008F0418" w:rsidRPr="00767A3A">
        <w:t xml:space="preserve"> </w:t>
      </w:r>
      <w:r w:rsidR="00670496" w:rsidRPr="00767A3A">
        <w:t>formulated:</w:t>
      </w:r>
    </w:p>
    <w:p w14:paraId="398401D8" w14:textId="77777777" w:rsidR="001567B4" w:rsidRPr="00123289" w:rsidRDefault="001567B4" w:rsidP="001567B4">
      <w:pPr>
        <w:spacing w:after="120"/>
        <w:rPr>
          <w:color w:val="000000" w:themeColor="text1"/>
          <w:lang w:val="en-US" w:eastAsia="zh-CN"/>
        </w:rPr>
      </w:pPr>
      <w:r w:rsidRPr="00123289">
        <w:rPr>
          <w:b/>
          <w:color w:val="000000" w:themeColor="text1"/>
          <w:lang w:val="en-US" w:eastAsia="zh-CN"/>
        </w:rPr>
        <w:t>Proposal 1</w:t>
      </w:r>
      <w:r w:rsidRPr="00123289">
        <w:rPr>
          <w:color w:val="000000" w:themeColor="text1"/>
          <w:lang w:val="en-US" w:eastAsia="zh-CN"/>
        </w:rPr>
        <w:t xml:space="preserve">: in order to avoid risk of the ETSI Harmonized Standard progress blocking, it is proposed to proceed with the Option 2, i.e. </w:t>
      </w:r>
      <w:r>
        <w:t>f</w:t>
      </w:r>
      <w:r w:rsidRPr="00123289">
        <w:t xml:space="preserve">ixed antenna gain approach for the EIRP-to-conducted requirements conversion. </w:t>
      </w:r>
    </w:p>
    <w:p w14:paraId="0D3AA93F" w14:textId="77777777" w:rsidR="001567B4" w:rsidRPr="001567B4" w:rsidRDefault="001567B4" w:rsidP="001567B4">
      <w:pPr>
        <w:spacing w:after="120"/>
        <w:rPr>
          <w:color w:val="000000" w:themeColor="text1"/>
          <w:lang w:val="en-US" w:eastAsia="zh-CN"/>
        </w:rPr>
      </w:pPr>
      <w:r w:rsidRPr="001567B4">
        <w:rPr>
          <w:b/>
          <w:color w:val="000000" w:themeColor="text1"/>
          <w:lang w:val="en-US" w:eastAsia="zh-CN"/>
        </w:rPr>
        <w:t>Proposal 2</w:t>
      </w:r>
      <w:r w:rsidRPr="001567B4">
        <w:rPr>
          <w:color w:val="000000" w:themeColor="text1"/>
          <w:lang w:val="en-US" w:eastAsia="zh-CN"/>
        </w:rPr>
        <w:t xml:space="preserve">: </w:t>
      </w:r>
      <w:r w:rsidRPr="001567B4">
        <w:t xml:space="preserve">It is assumed that the internal losses (feeder, etc.) are assumed to be 0 dB, for the purpose of requirements derivation. </w:t>
      </w:r>
    </w:p>
    <w:p w14:paraId="7FD8D48F" w14:textId="77777777" w:rsidR="001567B4" w:rsidRPr="001642D5" w:rsidRDefault="001567B4" w:rsidP="001567B4">
      <w:pPr>
        <w:spacing w:after="120"/>
        <w:rPr>
          <w:color w:val="000000" w:themeColor="text1"/>
          <w:lang w:val="en-US" w:eastAsia="zh-CN"/>
        </w:rPr>
      </w:pPr>
      <w:r w:rsidRPr="001567B4">
        <w:rPr>
          <w:b/>
          <w:color w:val="000000" w:themeColor="text1"/>
          <w:lang w:val="en-US" w:eastAsia="zh-CN"/>
        </w:rPr>
        <w:t>Proposal 3</w:t>
      </w:r>
      <w:r w:rsidRPr="001567B4">
        <w:rPr>
          <w:color w:val="000000" w:themeColor="text1"/>
          <w:lang w:val="en-US" w:eastAsia="zh-CN"/>
        </w:rPr>
        <w:t>: based on Proposal 1, further discuss on the feasible antenna gain value for RMR 1900, with the [18] dBi being the starting point.</w:t>
      </w:r>
      <w:r w:rsidRPr="001642D5">
        <w:rPr>
          <w:color w:val="000000" w:themeColor="text1"/>
          <w:lang w:val="en-US" w:eastAsia="zh-CN"/>
        </w:rPr>
        <w:t xml:space="preserve"> </w:t>
      </w:r>
    </w:p>
    <w:p w14:paraId="4EC273C3" w14:textId="77777777" w:rsidR="001567B4" w:rsidRPr="001567B4" w:rsidRDefault="001567B4" w:rsidP="001567B4">
      <w:pPr>
        <w:spacing w:after="120"/>
        <w:rPr>
          <w:color w:val="000000" w:themeColor="text1"/>
          <w:lang w:val="en-US" w:eastAsia="zh-CN"/>
        </w:rPr>
      </w:pPr>
      <w:r w:rsidRPr="001567B4">
        <w:rPr>
          <w:rFonts w:eastAsia="SimSun"/>
          <w:b/>
          <w:color w:val="000000" w:themeColor="text1"/>
        </w:rPr>
        <w:t>Proposal 4</w:t>
      </w:r>
      <w:r w:rsidRPr="001567B4">
        <w:rPr>
          <w:rFonts w:eastAsia="SimSun"/>
          <w:color w:val="000000" w:themeColor="text1"/>
        </w:rPr>
        <w:t xml:space="preserve">: </w:t>
      </w:r>
      <w:r w:rsidRPr="001567B4">
        <w:rPr>
          <w:color w:val="000000" w:themeColor="text1"/>
          <w:lang w:val="en-US" w:eastAsia="zh-CN"/>
        </w:rPr>
        <w:t xml:space="preserve">agree the following way to specify the maximum rated power limit for RMR BS: </w:t>
      </w:r>
    </w:p>
    <w:p w14:paraId="14DFD15D" w14:textId="77777777" w:rsidR="001567B4" w:rsidRPr="001567B4" w:rsidRDefault="001567B4" w:rsidP="001567B4">
      <w:pPr>
        <w:spacing w:after="120"/>
        <w:jc w:val="center"/>
        <w:rPr>
          <w:rFonts w:eastAsia="SimSun"/>
          <w:color w:val="000000" w:themeColor="text1"/>
          <w:szCs w:val="24"/>
          <w:lang w:eastAsia="zh-CN"/>
        </w:rPr>
      </w:pPr>
      <w:r w:rsidRPr="001567B4">
        <w:rPr>
          <w:rFonts w:eastAsia="SimSun"/>
          <w:color w:val="000000" w:themeColor="text1"/>
          <w:szCs w:val="24"/>
          <w:lang w:eastAsia="zh-CN"/>
        </w:rPr>
        <w:t>RMR1900: (65 - G</w:t>
      </w:r>
      <w:r w:rsidRPr="001567B4">
        <w:rPr>
          <w:rFonts w:eastAsia="SimSun"/>
          <w:color w:val="000000" w:themeColor="text1"/>
          <w:szCs w:val="24"/>
          <w:vertAlign w:val="subscript"/>
          <w:lang w:eastAsia="zh-CN"/>
        </w:rPr>
        <w:t>antRMR1900</w:t>
      </w:r>
      <w:r w:rsidRPr="001567B4">
        <w:rPr>
          <w:rFonts w:eastAsia="SimSun"/>
          <w:color w:val="000000" w:themeColor="text1"/>
          <w:szCs w:val="24"/>
          <w:lang w:eastAsia="zh-CN"/>
        </w:rPr>
        <w:t>) dBm / 10MHz</w:t>
      </w:r>
    </w:p>
    <w:p w14:paraId="696FA83C" w14:textId="77777777" w:rsidR="001567B4" w:rsidRPr="001567B4" w:rsidRDefault="001567B4" w:rsidP="001567B4">
      <w:pPr>
        <w:tabs>
          <w:tab w:val="left" w:pos="5937"/>
        </w:tabs>
        <w:spacing w:after="120"/>
        <w:rPr>
          <w:rFonts w:eastAsia="SimSun"/>
          <w:color w:val="000000" w:themeColor="text1"/>
          <w:szCs w:val="24"/>
          <w:lang w:eastAsia="zh-CN"/>
        </w:rPr>
      </w:pPr>
      <w:r w:rsidRPr="001567B4">
        <w:rPr>
          <w:rFonts w:eastAsia="SimSun"/>
          <w:color w:val="000000" w:themeColor="text1"/>
          <w:szCs w:val="24"/>
          <w:lang w:eastAsia="zh-CN"/>
        </w:rPr>
        <w:t>where G</w:t>
      </w:r>
      <w:r w:rsidRPr="001567B4">
        <w:rPr>
          <w:rFonts w:eastAsia="SimSun"/>
          <w:color w:val="000000" w:themeColor="text1"/>
          <w:szCs w:val="24"/>
          <w:vertAlign w:val="subscript"/>
          <w:lang w:eastAsia="zh-CN"/>
        </w:rPr>
        <w:t xml:space="preserve">antRMR1900 </w:t>
      </w:r>
      <w:r w:rsidRPr="001567B4">
        <w:rPr>
          <w:rFonts w:eastAsia="SimSun"/>
          <w:color w:val="000000" w:themeColor="text1"/>
          <w:szCs w:val="24"/>
          <w:lang w:eastAsia="zh-CN"/>
        </w:rPr>
        <w:t>is the antenna gain of the RMR BS.</w:t>
      </w:r>
      <w:r>
        <w:rPr>
          <w:rFonts w:eastAsia="SimSun"/>
          <w:color w:val="000000" w:themeColor="text1"/>
          <w:szCs w:val="24"/>
          <w:lang w:eastAsia="zh-CN"/>
        </w:rPr>
        <w:tab/>
      </w:r>
    </w:p>
    <w:p w14:paraId="0C05D77D" w14:textId="77777777" w:rsidR="009E10FF" w:rsidRPr="001567B4" w:rsidRDefault="009E10FF" w:rsidP="00262E2B">
      <w:pPr>
        <w:spacing w:after="120"/>
        <w:rPr>
          <w:color w:val="000000" w:themeColor="text1"/>
          <w:lang w:eastAsia="zh-CN"/>
        </w:rPr>
      </w:pPr>
    </w:p>
    <w:p w14:paraId="76426FDA" w14:textId="1AF296E7" w:rsidR="00B5171B" w:rsidRPr="002E1216" w:rsidRDefault="00B5171B" w:rsidP="009E1278">
      <w:pPr>
        <w:pStyle w:val="Heading1"/>
        <w:numPr>
          <w:ilvl w:val="0"/>
          <w:numId w:val="2"/>
        </w:numPr>
        <w:overflowPunct w:val="0"/>
        <w:autoSpaceDE w:val="0"/>
        <w:autoSpaceDN w:val="0"/>
        <w:adjustRightInd w:val="0"/>
        <w:textAlignment w:val="baseline"/>
      </w:pPr>
      <w:r w:rsidRPr="002E1216">
        <w:t>References</w:t>
      </w:r>
    </w:p>
    <w:p w14:paraId="02641F81" w14:textId="459A76BF" w:rsidR="00CF4670" w:rsidRDefault="00230CF1" w:rsidP="00230CF1">
      <w:pPr>
        <w:ind w:left="533" w:hanging="533"/>
      </w:pPr>
      <w:r w:rsidRPr="00767A3A">
        <w:t>[1]</w:t>
      </w:r>
      <w:r w:rsidR="00AC443B" w:rsidRPr="00767A3A">
        <w:tab/>
      </w:r>
      <w:r w:rsidR="002E1216" w:rsidRPr="00767A3A">
        <w:t>R4-2115637</w:t>
      </w:r>
      <w:r w:rsidR="00AC443B" w:rsidRPr="00767A3A">
        <w:tab/>
      </w:r>
      <w:r w:rsidR="00767A3A" w:rsidRPr="00767A3A">
        <w:t>WF on BS RF requirements for RMR900 and RMR1900</w:t>
      </w:r>
      <w:r w:rsidR="00AC443B" w:rsidRPr="00767A3A">
        <w:t>, RAN4#100-e</w:t>
      </w:r>
    </w:p>
    <w:p w14:paraId="77CF2687" w14:textId="3112CEDB" w:rsidR="00C43A32" w:rsidRDefault="00C43A32" w:rsidP="00230CF1">
      <w:pPr>
        <w:ind w:left="533" w:hanging="533"/>
      </w:pPr>
      <w:r>
        <w:t>[2]</w:t>
      </w:r>
      <w:r>
        <w:tab/>
        <w:t>ETSI EN 301 908-24</w:t>
      </w:r>
      <w:r>
        <w:tab/>
      </w:r>
    </w:p>
    <w:p w14:paraId="323217C5" w14:textId="15907E5C" w:rsidR="00C43A32" w:rsidRDefault="00C43A32" w:rsidP="00C43A32">
      <w:pPr>
        <w:ind w:left="533" w:hanging="533"/>
      </w:pPr>
      <w:r>
        <w:t>[3]</w:t>
      </w:r>
      <w:r>
        <w:tab/>
        <w:t xml:space="preserve">DEN/MSG-TFES-15-24 work item, </w:t>
      </w:r>
      <w:r w:rsidRPr="00C43A32">
        <w:t>MSG TFES</w:t>
      </w:r>
      <w:r>
        <w:t xml:space="preserve">, </w:t>
      </w:r>
      <w:hyperlink r:id="rId12" w:history="1">
        <w:r w:rsidRPr="002E2406">
          <w:rPr>
            <w:rStyle w:val="Hyperlink"/>
          </w:rPr>
          <w:t>https://portal.etsi.org/webapp/WorkProgram/Report_WorkItem.asp?WKI_ID=54728</w:t>
        </w:r>
      </w:hyperlink>
    </w:p>
    <w:p w14:paraId="634C3C3A" w14:textId="3FA5D504" w:rsidR="001B62C1" w:rsidRDefault="001B62C1" w:rsidP="00C43A32">
      <w:pPr>
        <w:ind w:left="533" w:hanging="533"/>
      </w:pPr>
      <w:r>
        <w:t>[4]</w:t>
      </w:r>
      <w:r>
        <w:tab/>
      </w:r>
      <w:hyperlink r:id="rId13" w:tgtFrame="_blank" w:history="1">
        <w:r>
          <w:rPr>
            <w:rStyle w:val="Hyperlink"/>
          </w:rPr>
          <w:t>TFES(21)000066</w:t>
        </w:r>
      </w:hyperlink>
      <w:r>
        <w:t xml:space="preserve">, </w:t>
      </w:r>
      <w:r w:rsidRPr="001B62C1">
        <w:t>MSGTFES_Resolution Report EN 301 908-13 V13.2.1 for HAS consultants (2nd around)</w:t>
      </w:r>
    </w:p>
    <w:p w14:paraId="57E9E29A" w14:textId="40DB6F5D" w:rsidR="002D73D5" w:rsidRPr="001567B4" w:rsidRDefault="002D73D5" w:rsidP="002D73D5">
      <w:pPr>
        <w:ind w:left="533" w:hanging="533"/>
      </w:pPr>
      <w:r>
        <w:t>[5]</w:t>
      </w:r>
      <w:r>
        <w:tab/>
      </w:r>
      <w:hyperlink r:id="rId14" w:tgtFrame="_blank" w:history="1">
        <w:r>
          <w:rPr>
            <w:rStyle w:val="Hyperlink"/>
          </w:rPr>
          <w:t>TFES(21)000060</w:t>
        </w:r>
      </w:hyperlink>
      <w:r>
        <w:t xml:space="preserve">, </w:t>
      </w:r>
      <w:r w:rsidRPr="001567B4">
        <w:t>EY Assessment of REN/MSG-TFES-13-23 under the RED (Second Assessment)</w:t>
      </w:r>
    </w:p>
    <w:p w14:paraId="4099CB70" w14:textId="5F10FEB8" w:rsidR="001F3F32" w:rsidRPr="001567B4" w:rsidRDefault="001F3F32" w:rsidP="001F3F32">
      <w:pPr>
        <w:ind w:left="533" w:hanging="533"/>
      </w:pPr>
      <w:r w:rsidRPr="001567B4">
        <w:t>[6]</w:t>
      </w:r>
      <w:r w:rsidRPr="001567B4">
        <w:tab/>
      </w:r>
      <w:r w:rsidRPr="001567B4">
        <w:tab/>
      </w:r>
      <w:hyperlink r:id="rId15" w:tgtFrame="_blank" w:history="1">
        <w:r w:rsidRPr="001567B4">
          <w:rPr>
            <w:rStyle w:val="Hyperlink"/>
          </w:rPr>
          <w:t>TFES(21)000061</w:t>
        </w:r>
      </w:hyperlink>
      <w:r w:rsidRPr="001567B4">
        <w:t>, EY Second Assessment of REN/MSG-TFES-13-24 under the RED</w:t>
      </w:r>
    </w:p>
    <w:p w14:paraId="54809351" w14:textId="2C652DC6" w:rsidR="00630A11" w:rsidRPr="001567B4" w:rsidRDefault="00630A11" w:rsidP="002D73D5">
      <w:pPr>
        <w:ind w:left="533" w:hanging="533"/>
      </w:pPr>
      <w:r w:rsidRPr="001567B4">
        <w:t>[</w:t>
      </w:r>
      <w:r w:rsidR="001F3F32" w:rsidRPr="001567B4">
        <w:t>7</w:t>
      </w:r>
      <w:r w:rsidRPr="001567B4">
        <w:t>]</w:t>
      </w:r>
      <w:r w:rsidRPr="001567B4">
        <w:tab/>
        <w:t>ECC 20(02)</w:t>
      </w:r>
      <w:r w:rsidRPr="001567B4">
        <w:tab/>
        <w:t>Harmonised use of the paired frequency bands 874.4-880.0 MHz and 919.4-925.0 MHz and of the unpaired frequency band 1900-1910 MHz for Railway Mobile Radio (RMR), ECC</w:t>
      </w:r>
    </w:p>
    <w:p w14:paraId="0BC0CE82" w14:textId="4505959A" w:rsidR="00EC42F4" w:rsidRPr="001567B4" w:rsidRDefault="001567B4" w:rsidP="002D73D5">
      <w:pPr>
        <w:ind w:left="533" w:hanging="533"/>
      </w:pPr>
      <w:r w:rsidRPr="001567B4">
        <w:t xml:space="preserve"> </w:t>
      </w:r>
      <w:r w:rsidR="00EC42F4" w:rsidRPr="001567B4">
        <w:t>[9]</w:t>
      </w:r>
      <w:r w:rsidR="00EC42F4" w:rsidRPr="001567B4">
        <w:tab/>
        <w:t>R4-2113752</w:t>
      </w:r>
      <w:r w:rsidR="00EC42F4" w:rsidRPr="001567B4">
        <w:tab/>
        <w:t>RMR 1900 MHz - BS RF, RAN4#100-e</w:t>
      </w:r>
    </w:p>
    <w:p w14:paraId="23897B99" w14:textId="122E9761" w:rsidR="0039031F" w:rsidRDefault="0039031F" w:rsidP="002D73D5">
      <w:pPr>
        <w:ind w:left="533" w:hanging="533"/>
      </w:pPr>
      <w:r w:rsidRPr="001567B4">
        <w:t>[10]</w:t>
      </w:r>
      <w:r w:rsidRPr="001567B4">
        <w:tab/>
        <w:t>R4-2115790</w:t>
      </w:r>
      <w:r w:rsidRPr="001567B4">
        <w:tab/>
        <w:t>Email</w:t>
      </w:r>
      <w:r w:rsidRPr="0039031F">
        <w:t xml:space="preserve"> discussion summary for [100-e][317] RAIL_900_1900MHz_BSRF</w:t>
      </w:r>
    </w:p>
    <w:p w14:paraId="0C262CFC" w14:textId="0248FC5B" w:rsidR="000D4B8E" w:rsidRPr="002D73D5" w:rsidRDefault="001567B4" w:rsidP="002D73D5">
      <w:pPr>
        <w:ind w:left="533" w:hanging="533"/>
      </w:pPr>
      <w:r>
        <w:t xml:space="preserve"> </w:t>
      </w:r>
      <w:r w:rsidR="000D4B8E">
        <w:t>[12]</w:t>
      </w:r>
      <w:r w:rsidR="000D4B8E">
        <w:tab/>
      </w:r>
      <w:r w:rsidR="00300F14" w:rsidRPr="00300F14">
        <w:t>RP‑211496</w:t>
      </w:r>
      <w:r w:rsidR="00300F14" w:rsidRPr="00300F14">
        <w:tab/>
        <w:t>Introduction of 1900MHz NR band for Europe for Rail Mobile Radio (RMR), WID</w:t>
      </w:r>
    </w:p>
    <w:sectPr w:rsidR="000D4B8E" w:rsidRPr="002D73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9D3AD" w14:textId="77777777" w:rsidR="00545FBC" w:rsidRDefault="00545FBC">
      <w:r>
        <w:separator/>
      </w:r>
    </w:p>
  </w:endnote>
  <w:endnote w:type="continuationSeparator" w:id="0">
    <w:p w14:paraId="45C63FF4" w14:textId="77777777" w:rsidR="00545FBC" w:rsidRDefault="0054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4E5AE" w14:textId="77777777" w:rsidR="00545FBC" w:rsidRDefault="00545FBC">
      <w:r>
        <w:separator/>
      </w:r>
    </w:p>
  </w:footnote>
  <w:footnote w:type="continuationSeparator" w:id="0">
    <w:p w14:paraId="3934015C" w14:textId="77777777" w:rsidR="00545FBC" w:rsidRDefault="00545F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12.5pt;height:75pt" o:bullet="t">
        <v:imagedata r:id="rId1" o:title="art5CDF"/>
      </v:shape>
    </w:pict>
  </w:numPicBullet>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B6A49"/>
    <w:multiLevelType w:val="hybridMultilevel"/>
    <w:tmpl w:val="6FA6AE78"/>
    <w:lvl w:ilvl="0" w:tplc="BB88E0E4">
      <w:start w:val="1"/>
      <w:numFmt w:val="bullet"/>
      <w:lvlText w:val=""/>
      <w:lvlPicBulletId w:val="0"/>
      <w:lvlJc w:val="left"/>
      <w:pPr>
        <w:tabs>
          <w:tab w:val="num" w:pos="720"/>
        </w:tabs>
        <w:ind w:left="720" w:hanging="360"/>
      </w:pPr>
      <w:rPr>
        <w:rFonts w:ascii="Symbol" w:hAnsi="Symbol" w:hint="default"/>
      </w:rPr>
    </w:lvl>
    <w:lvl w:ilvl="1" w:tplc="4AEEE682" w:tentative="1">
      <w:start w:val="1"/>
      <w:numFmt w:val="bullet"/>
      <w:lvlText w:val=""/>
      <w:lvlPicBulletId w:val="0"/>
      <w:lvlJc w:val="left"/>
      <w:pPr>
        <w:tabs>
          <w:tab w:val="num" w:pos="1440"/>
        </w:tabs>
        <w:ind w:left="1440" w:hanging="360"/>
      </w:pPr>
      <w:rPr>
        <w:rFonts w:ascii="Symbol" w:hAnsi="Symbol" w:hint="default"/>
      </w:rPr>
    </w:lvl>
    <w:lvl w:ilvl="2" w:tplc="AE72E5E8" w:tentative="1">
      <w:start w:val="1"/>
      <w:numFmt w:val="bullet"/>
      <w:lvlText w:val=""/>
      <w:lvlPicBulletId w:val="0"/>
      <w:lvlJc w:val="left"/>
      <w:pPr>
        <w:tabs>
          <w:tab w:val="num" w:pos="2160"/>
        </w:tabs>
        <w:ind w:left="2160" w:hanging="360"/>
      </w:pPr>
      <w:rPr>
        <w:rFonts w:ascii="Symbol" w:hAnsi="Symbol" w:hint="default"/>
      </w:rPr>
    </w:lvl>
    <w:lvl w:ilvl="3" w:tplc="A9DCCADC" w:tentative="1">
      <w:start w:val="1"/>
      <w:numFmt w:val="bullet"/>
      <w:lvlText w:val=""/>
      <w:lvlPicBulletId w:val="0"/>
      <w:lvlJc w:val="left"/>
      <w:pPr>
        <w:tabs>
          <w:tab w:val="num" w:pos="2880"/>
        </w:tabs>
        <w:ind w:left="2880" w:hanging="360"/>
      </w:pPr>
      <w:rPr>
        <w:rFonts w:ascii="Symbol" w:hAnsi="Symbol" w:hint="default"/>
      </w:rPr>
    </w:lvl>
    <w:lvl w:ilvl="4" w:tplc="D0C808FC" w:tentative="1">
      <w:start w:val="1"/>
      <w:numFmt w:val="bullet"/>
      <w:lvlText w:val=""/>
      <w:lvlPicBulletId w:val="0"/>
      <w:lvlJc w:val="left"/>
      <w:pPr>
        <w:tabs>
          <w:tab w:val="num" w:pos="3600"/>
        </w:tabs>
        <w:ind w:left="3600" w:hanging="360"/>
      </w:pPr>
      <w:rPr>
        <w:rFonts w:ascii="Symbol" w:hAnsi="Symbol" w:hint="default"/>
      </w:rPr>
    </w:lvl>
    <w:lvl w:ilvl="5" w:tplc="F81C00DA" w:tentative="1">
      <w:start w:val="1"/>
      <w:numFmt w:val="bullet"/>
      <w:lvlText w:val=""/>
      <w:lvlPicBulletId w:val="0"/>
      <w:lvlJc w:val="left"/>
      <w:pPr>
        <w:tabs>
          <w:tab w:val="num" w:pos="4320"/>
        </w:tabs>
        <w:ind w:left="4320" w:hanging="360"/>
      </w:pPr>
      <w:rPr>
        <w:rFonts w:ascii="Symbol" w:hAnsi="Symbol" w:hint="default"/>
      </w:rPr>
    </w:lvl>
    <w:lvl w:ilvl="6" w:tplc="FCD2B24C" w:tentative="1">
      <w:start w:val="1"/>
      <w:numFmt w:val="bullet"/>
      <w:lvlText w:val=""/>
      <w:lvlPicBulletId w:val="0"/>
      <w:lvlJc w:val="left"/>
      <w:pPr>
        <w:tabs>
          <w:tab w:val="num" w:pos="5040"/>
        </w:tabs>
        <w:ind w:left="5040" w:hanging="360"/>
      </w:pPr>
      <w:rPr>
        <w:rFonts w:ascii="Symbol" w:hAnsi="Symbol" w:hint="default"/>
      </w:rPr>
    </w:lvl>
    <w:lvl w:ilvl="7" w:tplc="7C0423AE" w:tentative="1">
      <w:start w:val="1"/>
      <w:numFmt w:val="bullet"/>
      <w:lvlText w:val=""/>
      <w:lvlPicBulletId w:val="0"/>
      <w:lvlJc w:val="left"/>
      <w:pPr>
        <w:tabs>
          <w:tab w:val="num" w:pos="5760"/>
        </w:tabs>
        <w:ind w:left="5760" w:hanging="360"/>
      </w:pPr>
      <w:rPr>
        <w:rFonts w:ascii="Symbol" w:hAnsi="Symbol" w:hint="default"/>
      </w:rPr>
    </w:lvl>
    <w:lvl w:ilvl="8" w:tplc="393E613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06A63190"/>
    <w:multiLevelType w:val="hybridMultilevel"/>
    <w:tmpl w:val="DF20858E"/>
    <w:lvl w:ilvl="0" w:tplc="C5FE4E28">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434BA"/>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02B15"/>
    <w:multiLevelType w:val="hybridMultilevel"/>
    <w:tmpl w:val="A442FF94"/>
    <w:lvl w:ilvl="0" w:tplc="DE16AF0A">
      <w:start w:val="44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61961"/>
    <w:multiLevelType w:val="hybridMultilevel"/>
    <w:tmpl w:val="12A6E14E"/>
    <w:lvl w:ilvl="0" w:tplc="E1E24D1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7E344D"/>
    <w:multiLevelType w:val="hybridMultilevel"/>
    <w:tmpl w:val="69DC771A"/>
    <w:lvl w:ilvl="0" w:tplc="D31463A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1C3D5C"/>
    <w:multiLevelType w:val="hybridMultilevel"/>
    <w:tmpl w:val="86307BBA"/>
    <w:lvl w:ilvl="0" w:tplc="0DA83ED4">
      <w:start w:val="1"/>
      <w:numFmt w:val="bullet"/>
      <w:lvlText w:val=""/>
      <w:lvlPicBulletId w:val="0"/>
      <w:lvlJc w:val="left"/>
      <w:pPr>
        <w:tabs>
          <w:tab w:val="num" w:pos="360"/>
        </w:tabs>
        <w:ind w:left="360" w:hanging="360"/>
      </w:pPr>
      <w:rPr>
        <w:rFonts w:ascii="Symbol" w:hAnsi="Symbol" w:hint="default"/>
      </w:rPr>
    </w:lvl>
    <w:lvl w:ilvl="1" w:tplc="B7829EF0">
      <w:numFmt w:val="bullet"/>
      <w:lvlText w:val="•"/>
      <w:lvlJc w:val="left"/>
      <w:pPr>
        <w:tabs>
          <w:tab w:val="num" w:pos="1080"/>
        </w:tabs>
        <w:ind w:left="1080" w:hanging="360"/>
      </w:pPr>
      <w:rPr>
        <w:rFonts w:ascii="Arial" w:hAnsi="Arial" w:hint="default"/>
      </w:rPr>
    </w:lvl>
    <w:lvl w:ilvl="2" w:tplc="08AE60EE" w:tentative="1">
      <w:start w:val="1"/>
      <w:numFmt w:val="bullet"/>
      <w:lvlText w:val=""/>
      <w:lvlPicBulletId w:val="0"/>
      <w:lvlJc w:val="left"/>
      <w:pPr>
        <w:tabs>
          <w:tab w:val="num" w:pos="1800"/>
        </w:tabs>
        <w:ind w:left="1800" w:hanging="360"/>
      </w:pPr>
      <w:rPr>
        <w:rFonts w:ascii="Symbol" w:hAnsi="Symbol" w:hint="default"/>
      </w:rPr>
    </w:lvl>
    <w:lvl w:ilvl="3" w:tplc="28F83A7C" w:tentative="1">
      <w:start w:val="1"/>
      <w:numFmt w:val="bullet"/>
      <w:lvlText w:val=""/>
      <w:lvlPicBulletId w:val="0"/>
      <w:lvlJc w:val="left"/>
      <w:pPr>
        <w:tabs>
          <w:tab w:val="num" w:pos="2520"/>
        </w:tabs>
        <w:ind w:left="2520" w:hanging="360"/>
      </w:pPr>
      <w:rPr>
        <w:rFonts w:ascii="Symbol" w:hAnsi="Symbol" w:hint="default"/>
      </w:rPr>
    </w:lvl>
    <w:lvl w:ilvl="4" w:tplc="24E6EEEC" w:tentative="1">
      <w:start w:val="1"/>
      <w:numFmt w:val="bullet"/>
      <w:lvlText w:val=""/>
      <w:lvlPicBulletId w:val="0"/>
      <w:lvlJc w:val="left"/>
      <w:pPr>
        <w:tabs>
          <w:tab w:val="num" w:pos="3240"/>
        </w:tabs>
        <w:ind w:left="3240" w:hanging="360"/>
      </w:pPr>
      <w:rPr>
        <w:rFonts w:ascii="Symbol" w:hAnsi="Symbol" w:hint="default"/>
      </w:rPr>
    </w:lvl>
    <w:lvl w:ilvl="5" w:tplc="644040F6" w:tentative="1">
      <w:start w:val="1"/>
      <w:numFmt w:val="bullet"/>
      <w:lvlText w:val=""/>
      <w:lvlPicBulletId w:val="0"/>
      <w:lvlJc w:val="left"/>
      <w:pPr>
        <w:tabs>
          <w:tab w:val="num" w:pos="3960"/>
        </w:tabs>
        <w:ind w:left="3960" w:hanging="360"/>
      </w:pPr>
      <w:rPr>
        <w:rFonts w:ascii="Symbol" w:hAnsi="Symbol" w:hint="default"/>
      </w:rPr>
    </w:lvl>
    <w:lvl w:ilvl="6" w:tplc="935EF07E" w:tentative="1">
      <w:start w:val="1"/>
      <w:numFmt w:val="bullet"/>
      <w:lvlText w:val=""/>
      <w:lvlPicBulletId w:val="0"/>
      <w:lvlJc w:val="left"/>
      <w:pPr>
        <w:tabs>
          <w:tab w:val="num" w:pos="4680"/>
        </w:tabs>
        <w:ind w:left="4680" w:hanging="360"/>
      </w:pPr>
      <w:rPr>
        <w:rFonts w:ascii="Symbol" w:hAnsi="Symbol" w:hint="default"/>
      </w:rPr>
    </w:lvl>
    <w:lvl w:ilvl="7" w:tplc="90544EEA" w:tentative="1">
      <w:start w:val="1"/>
      <w:numFmt w:val="bullet"/>
      <w:lvlText w:val=""/>
      <w:lvlPicBulletId w:val="0"/>
      <w:lvlJc w:val="left"/>
      <w:pPr>
        <w:tabs>
          <w:tab w:val="num" w:pos="5400"/>
        </w:tabs>
        <w:ind w:left="5400" w:hanging="360"/>
      </w:pPr>
      <w:rPr>
        <w:rFonts w:ascii="Symbol" w:hAnsi="Symbol" w:hint="default"/>
      </w:rPr>
    </w:lvl>
    <w:lvl w:ilvl="8" w:tplc="E7F66F54" w:tentative="1">
      <w:start w:val="1"/>
      <w:numFmt w:val="bullet"/>
      <w:lvlText w:val=""/>
      <w:lvlPicBulletId w:val="0"/>
      <w:lvlJc w:val="left"/>
      <w:pPr>
        <w:tabs>
          <w:tab w:val="num" w:pos="6120"/>
        </w:tabs>
        <w:ind w:left="6120" w:hanging="360"/>
      </w:pPr>
      <w:rPr>
        <w:rFonts w:ascii="Symbol" w:hAnsi="Symbol" w:hint="default"/>
      </w:rPr>
    </w:lvl>
  </w:abstractNum>
  <w:abstractNum w:abstractNumId="17" w15:restartNumberingAfterBreak="0">
    <w:nsid w:val="1B1F338B"/>
    <w:multiLevelType w:val="hybridMultilevel"/>
    <w:tmpl w:val="31F02478"/>
    <w:lvl w:ilvl="0" w:tplc="D3146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C9712A"/>
    <w:multiLevelType w:val="hybridMultilevel"/>
    <w:tmpl w:val="2EBA2462"/>
    <w:lvl w:ilvl="0" w:tplc="24509226">
      <w:start w:val="1"/>
      <w:numFmt w:val="bullet"/>
      <w:lvlText w:val=""/>
      <w:lvlPicBulletId w:val="0"/>
      <w:lvlJc w:val="left"/>
      <w:pPr>
        <w:tabs>
          <w:tab w:val="num" w:pos="720"/>
        </w:tabs>
        <w:ind w:left="720" w:hanging="360"/>
      </w:pPr>
      <w:rPr>
        <w:rFonts w:ascii="Symbol" w:hAnsi="Symbol" w:hint="default"/>
      </w:rPr>
    </w:lvl>
    <w:lvl w:ilvl="1" w:tplc="3C84F6A6" w:tentative="1">
      <w:start w:val="1"/>
      <w:numFmt w:val="bullet"/>
      <w:lvlText w:val=""/>
      <w:lvlPicBulletId w:val="0"/>
      <w:lvlJc w:val="left"/>
      <w:pPr>
        <w:tabs>
          <w:tab w:val="num" w:pos="1440"/>
        </w:tabs>
        <w:ind w:left="1440" w:hanging="360"/>
      </w:pPr>
      <w:rPr>
        <w:rFonts w:ascii="Symbol" w:hAnsi="Symbol" w:hint="default"/>
      </w:rPr>
    </w:lvl>
    <w:lvl w:ilvl="2" w:tplc="F912B5A4" w:tentative="1">
      <w:start w:val="1"/>
      <w:numFmt w:val="bullet"/>
      <w:lvlText w:val=""/>
      <w:lvlPicBulletId w:val="0"/>
      <w:lvlJc w:val="left"/>
      <w:pPr>
        <w:tabs>
          <w:tab w:val="num" w:pos="2160"/>
        </w:tabs>
        <w:ind w:left="2160" w:hanging="360"/>
      </w:pPr>
      <w:rPr>
        <w:rFonts w:ascii="Symbol" w:hAnsi="Symbol" w:hint="default"/>
      </w:rPr>
    </w:lvl>
    <w:lvl w:ilvl="3" w:tplc="07E89390" w:tentative="1">
      <w:start w:val="1"/>
      <w:numFmt w:val="bullet"/>
      <w:lvlText w:val=""/>
      <w:lvlPicBulletId w:val="0"/>
      <w:lvlJc w:val="left"/>
      <w:pPr>
        <w:tabs>
          <w:tab w:val="num" w:pos="2880"/>
        </w:tabs>
        <w:ind w:left="2880" w:hanging="360"/>
      </w:pPr>
      <w:rPr>
        <w:rFonts w:ascii="Symbol" w:hAnsi="Symbol" w:hint="default"/>
      </w:rPr>
    </w:lvl>
    <w:lvl w:ilvl="4" w:tplc="6FEE656C" w:tentative="1">
      <w:start w:val="1"/>
      <w:numFmt w:val="bullet"/>
      <w:lvlText w:val=""/>
      <w:lvlPicBulletId w:val="0"/>
      <w:lvlJc w:val="left"/>
      <w:pPr>
        <w:tabs>
          <w:tab w:val="num" w:pos="3600"/>
        </w:tabs>
        <w:ind w:left="3600" w:hanging="360"/>
      </w:pPr>
      <w:rPr>
        <w:rFonts w:ascii="Symbol" w:hAnsi="Symbol" w:hint="default"/>
      </w:rPr>
    </w:lvl>
    <w:lvl w:ilvl="5" w:tplc="7C1CB906" w:tentative="1">
      <w:start w:val="1"/>
      <w:numFmt w:val="bullet"/>
      <w:lvlText w:val=""/>
      <w:lvlPicBulletId w:val="0"/>
      <w:lvlJc w:val="left"/>
      <w:pPr>
        <w:tabs>
          <w:tab w:val="num" w:pos="4320"/>
        </w:tabs>
        <w:ind w:left="4320" w:hanging="360"/>
      </w:pPr>
      <w:rPr>
        <w:rFonts w:ascii="Symbol" w:hAnsi="Symbol" w:hint="default"/>
      </w:rPr>
    </w:lvl>
    <w:lvl w:ilvl="6" w:tplc="C64A7BF4" w:tentative="1">
      <w:start w:val="1"/>
      <w:numFmt w:val="bullet"/>
      <w:lvlText w:val=""/>
      <w:lvlPicBulletId w:val="0"/>
      <w:lvlJc w:val="left"/>
      <w:pPr>
        <w:tabs>
          <w:tab w:val="num" w:pos="5040"/>
        </w:tabs>
        <w:ind w:left="5040" w:hanging="360"/>
      </w:pPr>
      <w:rPr>
        <w:rFonts w:ascii="Symbol" w:hAnsi="Symbol" w:hint="default"/>
      </w:rPr>
    </w:lvl>
    <w:lvl w:ilvl="7" w:tplc="A918A37A" w:tentative="1">
      <w:start w:val="1"/>
      <w:numFmt w:val="bullet"/>
      <w:lvlText w:val=""/>
      <w:lvlPicBulletId w:val="0"/>
      <w:lvlJc w:val="left"/>
      <w:pPr>
        <w:tabs>
          <w:tab w:val="num" w:pos="5760"/>
        </w:tabs>
        <w:ind w:left="5760" w:hanging="360"/>
      </w:pPr>
      <w:rPr>
        <w:rFonts w:ascii="Symbol" w:hAnsi="Symbol" w:hint="default"/>
      </w:rPr>
    </w:lvl>
    <w:lvl w:ilvl="8" w:tplc="32C2BEC6"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B5524E"/>
    <w:multiLevelType w:val="hybridMultilevel"/>
    <w:tmpl w:val="8BF0DE22"/>
    <w:lvl w:ilvl="0" w:tplc="7D9AF09A">
      <w:start w:val="1"/>
      <w:numFmt w:val="bullet"/>
      <w:lvlText w:val=""/>
      <w:lvlPicBulletId w:val="0"/>
      <w:lvlJc w:val="left"/>
      <w:pPr>
        <w:tabs>
          <w:tab w:val="num" w:pos="720"/>
        </w:tabs>
        <w:ind w:left="720" w:hanging="360"/>
      </w:pPr>
      <w:rPr>
        <w:rFonts w:ascii="Symbol" w:hAnsi="Symbol" w:hint="default"/>
      </w:rPr>
    </w:lvl>
    <w:lvl w:ilvl="1" w:tplc="F722774C" w:tentative="1">
      <w:start w:val="1"/>
      <w:numFmt w:val="bullet"/>
      <w:lvlText w:val=""/>
      <w:lvlPicBulletId w:val="0"/>
      <w:lvlJc w:val="left"/>
      <w:pPr>
        <w:tabs>
          <w:tab w:val="num" w:pos="1440"/>
        </w:tabs>
        <w:ind w:left="1440" w:hanging="360"/>
      </w:pPr>
      <w:rPr>
        <w:rFonts w:ascii="Symbol" w:hAnsi="Symbol" w:hint="default"/>
      </w:rPr>
    </w:lvl>
    <w:lvl w:ilvl="2" w:tplc="0330AA88" w:tentative="1">
      <w:start w:val="1"/>
      <w:numFmt w:val="bullet"/>
      <w:lvlText w:val=""/>
      <w:lvlPicBulletId w:val="0"/>
      <w:lvlJc w:val="left"/>
      <w:pPr>
        <w:tabs>
          <w:tab w:val="num" w:pos="2160"/>
        </w:tabs>
        <w:ind w:left="2160" w:hanging="360"/>
      </w:pPr>
      <w:rPr>
        <w:rFonts w:ascii="Symbol" w:hAnsi="Symbol" w:hint="default"/>
      </w:rPr>
    </w:lvl>
    <w:lvl w:ilvl="3" w:tplc="8D72D072" w:tentative="1">
      <w:start w:val="1"/>
      <w:numFmt w:val="bullet"/>
      <w:lvlText w:val=""/>
      <w:lvlPicBulletId w:val="0"/>
      <w:lvlJc w:val="left"/>
      <w:pPr>
        <w:tabs>
          <w:tab w:val="num" w:pos="2880"/>
        </w:tabs>
        <w:ind w:left="2880" w:hanging="360"/>
      </w:pPr>
      <w:rPr>
        <w:rFonts w:ascii="Symbol" w:hAnsi="Symbol" w:hint="default"/>
      </w:rPr>
    </w:lvl>
    <w:lvl w:ilvl="4" w:tplc="3DEAA5DE" w:tentative="1">
      <w:start w:val="1"/>
      <w:numFmt w:val="bullet"/>
      <w:lvlText w:val=""/>
      <w:lvlPicBulletId w:val="0"/>
      <w:lvlJc w:val="left"/>
      <w:pPr>
        <w:tabs>
          <w:tab w:val="num" w:pos="3600"/>
        </w:tabs>
        <w:ind w:left="3600" w:hanging="360"/>
      </w:pPr>
      <w:rPr>
        <w:rFonts w:ascii="Symbol" w:hAnsi="Symbol" w:hint="default"/>
      </w:rPr>
    </w:lvl>
    <w:lvl w:ilvl="5" w:tplc="D4A69B3A" w:tentative="1">
      <w:start w:val="1"/>
      <w:numFmt w:val="bullet"/>
      <w:lvlText w:val=""/>
      <w:lvlPicBulletId w:val="0"/>
      <w:lvlJc w:val="left"/>
      <w:pPr>
        <w:tabs>
          <w:tab w:val="num" w:pos="4320"/>
        </w:tabs>
        <w:ind w:left="4320" w:hanging="360"/>
      </w:pPr>
      <w:rPr>
        <w:rFonts w:ascii="Symbol" w:hAnsi="Symbol" w:hint="default"/>
      </w:rPr>
    </w:lvl>
    <w:lvl w:ilvl="6" w:tplc="A1A24754" w:tentative="1">
      <w:start w:val="1"/>
      <w:numFmt w:val="bullet"/>
      <w:lvlText w:val=""/>
      <w:lvlPicBulletId w:val="0"/>
      <w:lvlJc w:val="left"/>
      <w:pPr>
        <w:tabs>
          <w:tab w:val="num" w:pos="5040"/>
        </w:tabs>
        <w:ind w:left="5040" w:hanging="360"/>
      </w:pPr>
      <w:rPr>
        <w:rFonts w:ascii="Symbol" w:hAnsi="Symbol" w:hint="default"/>
      </w:rPr>
    </w:lvl>
    <w:lvl w:ilvl="7" w:tplc="F2428F68" w:tentative="1">
      <w:start w:val="1"/>
      <w:numFmt w:val="bullet"/>
      <w:lvlText w:val=""/>
      <w:lvlPicBulletId w:val="0"/>
      <w:lvlJc w:val="left"/>
      <w:pPr>
        <w:tabs>
          <w:tab w:val="num" w:pos="5760"/>
        </w:tabs>
        <w:ind w:left="5760" w:hanging="360"/>
      </w:pPr>
      <w:rPr>
        <w:rFonts w:ascii="Symbol" w:hAnsi="Symbol" w:hint="default"/>
      </w:rPr>
    </w:lvl>
    <w:lvl w:ilvl="8" w:tplc="ED5C853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C9708F"/>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3612"/>
    <w:multiLevelType w:val="hybridMultilevel"/>
    <w:tmpl w:val="1662F870"/>
    <w:lvl w:ilvl="0" w:tplc="91169DF4">
      <w:start w:val="1"/>
      <w:numFmt w:val="bullet"/>
      <w:lvlText w:val="•"/>
      <w:lvlJc w:val="left"/>
      <w:pPr>
        <w:tabs>
          <w:tab w:val="num" w:pos="720"/>
        </w:tabs>
        <w:ind w:left="720" w:hanging="360"/>
      </w:pPr>
      <w:rPr>
        <w:rFonts w:ascii="Arial" w:hAnsi="Arial" w:hint="default"/>
      </w:rPr>
    </w:lvl>
    <w:lvl w:ilvl="1" w:tplc="13EA3DE4" w:tentative="1">
      <w:start w:val="1"/>
      <w:numFmt w:val="bullet"/>
      <w:lvlText w:val="•"/>
      <w:lvlJc w:val="left"/>
      <w:pPr>
        <w:tabs>
          <w:tab w:val="num" w:pos="1440"/>
        </w:tabs>
        <w:ind w:left="1440" w:hanging="360"/>
      </w:pPr>
      <w:rPr>
        <w:rFonts w:ascii="Arial" w:hAnsi="Arial" w:hint="default"/>
      </w:rPr>
    </w:lvl>
    <w:lvl w:ilvl="2" w:tplc="CAF49356" w:tentative="1">
      <w:start w:val="1"/>
      <w:numFmt w:val="bullet"/>
      <w:lvlText w:val="•"/>
      <w:lvlJc w:val="left"/>
      <w:pPr>
        <w:tabs>
          <w:tab w:val="num" w:pos="2160"/>
        </w:tabs>
        <w:ind w:left="2160" w:hanging="360"/>
      </w:pPr>
      <w:rPr>
        <w:rFonts w:ascii="Arial" w:hAnsi="Arial" w:hint="default"/>
      </w:rPr>
    </w:lvl>
    <w:lvl w:ilvl="3" w:tplc="D7186ACA" w:tentative="1">
      <w:start w:val="1"/>
      <w:numFmt w:val="bullet"/>
      <w:lvlText w:val="•"/>
      <w:lvlJc w:val="left"/>
      <w:pPr>
        <w:tabs>
          <w:tab w:val="num" w:pos="2880"/>
        </w:tabs>
        <w:ind w:left="2880" w:hanging="360"/>
      </w:pPr>
      <w:rPr>
        <w:rFonts w:ascii="Arial" w:hAnsi="Arial" w:hint="default"/>
      </w:rPr>
    </w:lvl>
    <w:lvl w:ilvl="4" w:tplc="67B4D37C" w:tentative="1">
      <w:start w:val="1"/>
      <w:numFmt w:val="bullet"/>
      <w:lvlText w:val="•"/>
      <w:lvlJc w:val="left"/>
      <w:pPr>
        <w:tabs>
          <w:tab w:val="num" w:pos="3600"/>
        </w:tabs>
        <w:ind w:left="3600" w:hanging="360"/>
      </w:pPr>
      <w:rPr>
        <w:rFonts w:ascii="Arial" w:hAnsi="Arial" w:hint="default"/>
      </w:rPr>
    </w:lvl>
    <w:lvl w:ilvl="5" w:tplc="E1423ED6" w:tentative="1">
      <w:start w:val="1"/>
      <w:numFmt w:val="bullet"/>
      <w:lvlText w:val="•"/>
      <w:lvlJc w:val="left"/>
      <w:pPr>
        <w:tabs>
          <w:tab w:val="num" w:pos="4320"/>
        </w:tabs>
        <w:ind w:left="4320" w:hanging="360"/>
      </w:pPr>
      <w:rPr>
        <w:rFonts w:ascii="Arial" w:hAnsi="Arial" w:hint="default"/>
      </w:rPr>
    </w:lvl>
    <w:lvl w:ilvl="6" w:tplc="0180F220" w:tentative="1">
      <w:start w:val="1"/>
      <w:numFmt w:val="bullet"/>
      <w:lvlText w:val="•"/>
      <w:lvlJc w:val="left"/>
      <w:pPr>
        <w:tabs>
          <w:tab w:val="num" w:pos="5040"/>
        </w:tabs>
        <w:ind w:left="5040" w:hanging="360"/>
      </w:pPr>
      <w:rPr>
        <w:rFonts w:ascii="Arial" w:hAnsi="Arial" w:hint="default"/>
      </w:rPr>
    </w:lvl>
    <w:lvl w:ilvl="7" w:tplc="4ADEA4E8" w:tentative="1">
      <w:start w:val="1"/>
      <w:numFmt w:val="bullet"/>
      <w:lvlText w:val="•"/>
      <w:lvlJc w:val="left"/>
      <w:pPr>
        <w:tabs>
          <w:tab w:val="num" w:pos="5760"/>
        </w:tabs>
        <w:ind w:left="5760" w:hanging="360"/>
      </w:pPr>
      <w:rPr>
        <w:rFonts w:ascii="Arial" w:hAnsi="Arial" w:hint="default"/>
      </w:rPr>
    </w:lvl>
    <w:lvl w:ilvl="8" w:tplc="0A34CC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E33D86"/>
    <w:multiLevelType w:val="hybridMultilevel"/>
    <w:tmpl w:val="B2561644"/>
    <w:lvl w:ilvl="0" w:tplc="AD1E07C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E2F85"/>
    <w:multiLevelType w:val="hybridMultilevel"/>
    <w:tmpl w:val="A0A0A18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7263D1"/>
    <w:multiLevelType w:val="hybridMultilevel"/>
    <w:tmpl w:val="5C76B26C"/>
    <w:lvl w:ilvl="0" w:tplc="9FE82686">
      <w:start w:val="3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EE6CD8"/>
    <w:multiLevelType w:val="hybridMultilevel"/>
    <w:tmpl w:val="BF42BD90"/>
    <w:lvl w:ilvl="0" w:tplc="D7BAA30A">
      <w:start w:val="1"/>
      <w:numFmt w:val="bullet"/>
      <w:lvlText w:val=""/>
      <w:lvlPicBulletId w:val="0"/>
      <w:lvlJc w:val="left"/>
      <w:pPr>
        <w:tabs>
          <w:tab w:val="num" w:pos="720"/>
        </w:tabs>
        <w:ind w:left="720" w:hanging="360"/>
      </w:pPr>
      <w:rPr>
        <w:rFonts w:ascii="Symbol" w:hAnsi="Symbol" w:hint="default"/>
      </w:rPr>
    </w:lvl>
    <w:lvl w:ilvl="1" w:tplc="57000138">
      <w:numFmt w:val="bullet"/>
      <w:lvlText w:val="•"/>
      <w:lvlJc w:val="left"/>
      <w:pPr>
        <w:tabs>
          <w:tab w:val="num" w:pos="1440"/>
        </w:tabs>
        <w:ind w:left="1440" w:hanging="360"/>
      </w:pPr>
      <w:rPr>
        <w:rFonts w:ascii="Arial" w:hAnsi="Arial" w:hint="default"/>
      </w:rPr>
    </w:lvl>
    <w:lvl w:ilvl="2" w:tplc="0DDCED0A" w:tentative="1">
      <w:start w:val="1"/>
      <w:numFmt w:val="bullet"/>
      <w:lvlText w:val=""/>
      <w:lvlPicBulletId w:val="0"/>
      <w:lvlJc w:val="left"/>
      <w:pPr>
        <w:tabs>
          <w:tab w:val="num" w:pos="2160"/>
        </w:tabs>
        <w:ind w:left="2160" w:hanging="360"/>
      </w:pPr>
      <w:rPr>
        <w:rFonts w:ascii="Symbol" w:hAnsi="Symbol" w:hint="default"/>
      </w:rPr>
    </w:lvl>
    <w:lvl w:ilvl="3" w:tplc="22E2B134" w:tentative="1">
      <w:start w:val="1"/>
      <w:numFmt w:val="bullet"/>
      <w:lvlText w:val=""/>
      <w:lvlPicBulletId w:val="0"/>
      <w:lvlJc w:val="left"/>
      <w:pPr>
        <w:tabs>
          <w:tab w:val="num" w:pos="2880"/>
        </w:tabs>
        <w:ind w:left="2880" w:hanging="360"/>
      </w:pPr>
      <w:rPr>
        <w:rFonts w:ascii="Symbol" w:hAnsi="Symbol" w:hint="default"/>
      </w:rPr>
    </w:lvl>
    <w:lvl w:ilvl="4" w:tplc="98A20558" w:tentative="1">
      <w:start w:val="1"/>
      <w:numFmt w:val="bullet"/>
      <w:lvlText w:val=""/>
      <w:lvlPicBulletId w:val="0"/>
      <w:lvlJc w:val="left"/>
      <w:pPr>
        <w:tabs>
          <w:tab w:val="num" w:pos="3600"/>
        </w:tabs>
        <w:ind w:left="3600" w:hanging="360"/>
      </w:pPr>
      <w:rPr>
        <w:rFonts w:ascii="Symbol" w:hAnsi="Symbol" w:hint="default"/>
      </w:rPr>
    </w:lvl>
    <w:lvl w:ilvl="5" w:tplc="5EF8E40C" w:tentative="1">
      <w:start w:val="1"/>
      <w:numFmt w:val="bullet"/>
      <w:lvlText w:val=""/>
      <w:lvlPicBulletId w:val="0"/>
      <w:lvlJc w:val="left"/>
      <w:pPr>
        <w:tabs>
          <w:tab w:val="num" w:pos="4320"/>
        </w:tabs>
        <w:ind w:left="4320" w:hanging="360"/>
      </w:pPr>
      <w:rPr>
        <w:rFonts w:ascii="Symbol" w:hAnsi="Symbol" w:hint="default"/>
      </w:rPr>
    </w:lvl>
    <w:lvl w:ilvl="6" w:tplc="471EA92C" w:tentative="1">
      <w:start w:val="1"/>
      <w:numFmt w:val="bullet"/>
      <w:lvlText w:val=""/>
      <w:lvlPicBulletId w:val="0"/>
      <w:lvlJc w:val="left"/>
      <w:pPr>
        <w:tabs>
          <w:tab w:val="num" w:pos="5040"/>
        </w:tabs>
        <w:ind w:left="5040" w:hanging="360"/>
      </w:pPr>
      <w:rPr>
        <w:rFonts w:ascii="Symbol" w:hAnsi="Symbol" w:hint="default"/>
      </w:rPr>
    </w:lvl>
    <w:lvl w:ilvl="7" w:tplc="731A1684" w:tentative="1">
      <w:start w:val="1"/>
      <w:numFmt w:val="bullet"/>
      <w:lvlText w:val=""/>
      <w:lvlPicBulletId w:val="0"/>
      <w:lvlJc w:val="left"/>
      <w:pPr>
        <w:tabs>
          <w:tab w:val="num" w:pos="5760"/>
        </w:tabs>
        <w:ind w:left="5760" w:hanging="360"/>
      </w:pPr>
      <w:rPr>
        <w:rFonts w:ascii="Symbol" w:hAnsi="Symbol" w:hint="default"/>
      </w:rPr>
    </w:lvl>
    <w:lvl w:ilvl="8" w:tplc="369AF94C"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5E74AA8"/>
    <w:multiLevelType w:val="hybridMultilevel"/>
    <w:tmpl w:val="BAE092C0"/>
    <w:lvl w:ilvl="0" w:tplc="3EC479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BA22D0A"/>
    <w:multiLevelType w:val="hybridMultilevel"/>
    <w:tmpl w:val="3414749A"/>
    <w:lvl w:ilvl="0" w:tplc="9EF23398">
      <w:start w:val="1"/>
      <w:numFmt w:val="bullet"/>
      <w:lvlText w:val="•"/>
      <w:lvlJc w:val="left"/>
      <w:pPr>
        <w:tabs>
          <w:tab w:val="num" w:pos="360"/>
        </w:tabs>
        <w:ind w:left="360" w:hanging="360"/>
      </w:pPr>
      <w:rPr>
        <w:rFonts w:ascii="Arial" w:hAnsi="Arial" w:hint="default"/>
      </w:rPr>
    </w:lvl>
    <w:lvl w:ilvl="1" w:tplc="D8EECC84">
      <w:start w:val="1"/>
      <w:numFmt w:val="bullet"/>
      <w:lvlText w:val="•"/>
      <w:lvlJc w:val="left"/>
      <w:pPr>
        <w:tabs>
          <w:tab w:val="num" w:pos="1080"/>
        </w:tabs>
        <w:ind w:left="1080" w:hanging="360"/>
      </w:pPr>
      <w:rPr>
        <w:rFonts w:ascii="Arial" w:hAnsi="Arial" w:hint="default"/>
      </w:rPr>
    </w:lvl>
    <w:lvl w:ilvl="2" w:tplc="94CE1C64">
      <w:numFmt w:val="bullet"/>
      <w:lvlText w:val="•"/>
      <w:lvlJc w:val="left"/>
      <w:pPr>
        <w:tabs>
          <w:tab w:val="num" w:pos="1800"/>
        </w:tabs>
        <w:ind w:left="1800" w:hanging="360"/>
      </w:pPr>
      <w:rPr>
        <w:rFonts w:ascii="Arial" w:hAnsi="Arial" w:hint="default"/>
      </w:rPr>
    </w:lvl>
    <w:lvl w:ilvl="3" w:tplc="ABAEB586" w:tentative="1">
      <w:start w:val="1"/>
      <w:numFmt w:val="bullet"/>
      <w:lvlText w:val="•"/>
      <w:lvlJc w:val="left"/>
      <w:pPr>
        <w:tabs>
          <w:tab w:val="num" w:pos="2520"/>
        </w:tabs>
        <w:ind w:left="2520" w:hanging="360"/>
      </w:pPr>
      <w:rPr>
        <w:rFonts w:ascii="Arial" w:hAnsi="Arial" w:hint="default"/>
      </w:rPr>
    </w:lvl>
    <w:lvl w:ilvl="4" w:tplc="441C3F7C" w:tentative="1">
      <w:start w:val="1"/>
      <w:numFmt w:val="bullet"/>
      <w:lvlText w:val="•"/>
      <w:lvlJc w:val="left"/>
      <w:pPr>
        <w:tabs>
          <w:tab w:val="num" w:pos="3240"/>
        </w:tabs>
        <w:ind w:left="3240" w:hanging="360"/>
      </w:pPr>
      <w:rPr>
        <w:rFonts w:ascii="Arial" w:hAnsi="Arial" w:hint="default"/>
      </w:rPr>
    </w:lvl>
    <w:lvl w:ilvl="5" w:tplc="DF961876" w:tentative="1">
      <w:start w:val="1"/>
      <w:numFmt w:val="bullet"/>
      <w:lvlText w:val="•"/>
      <w:lvlJc w:val="left"/>
      <w:pPr>
        <w:tabs>
          <w:tab w:val="num" w:pos="3960"/>
        </w:tabs>
        <w:ind w:left="3960" w:hanging="360"/>
      </w:pPr>
      <w:rPr>
        <w:rFonts w:ascii="Arial" w:hAnsi="Arial" w:hint="default"/>
      </w:rPr>
    </w:lvl>
    <w:lvl w:ilvl="6" w:tplc="AFCA80C0" w:tentative="1">
      <w:start w:val="1"/>
      <w:numFmt w:val="bullet"/>
      <w:lvlText w:val="•"/>
      <w:lvlJc w:val="left"/>
      <w:pPr>
        <w:tabs>
          <w:tab w:val="num" w:pos="4680"/>
        </w:tabs>
        <w:ind w:left="4680" w:hanging="360"/>
      </w:pPr>
      <w:rPr>
        <w:rFonts w:ascii="Arial" w:hAnsi="Arial" w:hint="default"/>
      </w:rPr>
    </w:lvl>
    <w:lvl w:ilvl="7" w:tplc="AB626572" w:tentative="1">
      <w:start w:val="1"/>
      <w:numFmt w:val="bullet"/>
      <w:lvlText w:val="•"/>
      <w:lvlJc w:val="left"/>
      <w:pPr>
        <w:tabs>
          <w:tab w:val="num" w:pos="5400"/>
        </w:tabs>
        <w:ind w:left="5400" w:hanging="360"/>
      </w:pPr>
      <w:rPr>
        <w:rFonts w:ascii="Arial" w:hAnsi="Arial" w:hint="default"/>
      </w:rPr>
    </w:lvl>
    <w:lvl w:ilvl="8" w:tplc="349A3F66"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5467EEA"/>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B82599"/>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183BD4"/>
    <w:multiLevelType w:val="hybridMultilevel"/>
    <w:tmpl w:val="D6622CB0"/>
    <w:lvl w:ilvl="0" w:tplc="3EC479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6EDF2B47"/>
    <w:multiLevelType w:val="hybridMultilevel"/>
    <w:tmpl w:val="C83A0B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A5DB0"/>
    <w:multiLevelType w:val="hybridMultilevel"/>
    <w:tmpl w:val="D650652E"/>
    <w:lvl w:ilvl="0" w:tplc="D63EBCE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763624"/>
    <w:multiLevelType w:val="hybridMultilevel"/>
    <w:tmpl w:val="9D66D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16B23"/>
    <w:multiLevelType w:val="hybridMultilevel"/>
    <w:tmpl w:val="B86A3A40"/>
    <w:lvl w:ilvl="0" w:tplc="D31463A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5"/>
  </w:num>
  <w:num w:numId="3">
    <w:abstractNumId w:val="29"/>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5"/>
  </w:num>
  <w:num w:numId="9">
    <w:abstractNumId w:val="8"/>
  </w:num>
  <w:num w:numId="10">
    <w:abstractNumId w:val="5"/>
  </w:num>
  <w:num w:numId="11">
    <w:abstractNumId w:val="6"/>
  </w:num>
  <w:num w:numId="12">
    <w:abstractNumId w:val="23"/>
  </w:num>
  <w:num w:numId="13">
    <w:abstractNumId w:val="12"/>
  </w:num>
  <w:num w:numId="14">
    <w:abstractNumId w:val="22"/>
  </w:num>
  <w:num w:numId="15">
    <w:abstractNumId w:val="28"/>
  </w:num>
  <w:num w:numId="16">
    <w:abstractNumId w:val="11"/>
  </w:num>
  <w:num w:numId="17">
    <w:abstractNumId w:val="20"/>
  </w:num>
  <w:num w:numId="18">
    <w:abstractNumId w:val="0"/>
  </w:num>
  <w:num w:numId="19">
    <w:abstractNumId w:val="42"/>
  </w:num>
  <w:num w:numId="20">
    <w:abstractNumId w:val="7"/>
  </w:num>
  <w:num w:numId="21">
    <w:abstractNumId w:val="18"/>
  </w:num>
  <w:num w:numId="22">
    <w:abstractNumId w:val="17"/>
  </w:num>
  <w:num w:numId="23">
    <w:abstractNumId w:val="16"/>
  </w:num>
  <w:num w:numId="24">
    <w:abstractNumId w:val="46"/>
  </w:num>
  <w:num w:numId="25">
    <w:abstractNumId w:val="13"/>
  </w:num>
  <w:num w:numId="26">
    <w:abstractNumId w:val="19"/>
  </w:num>
  <w:num w:numId="27">
    <w:abstractNumId w:val="34"/>
  </w:num>
  <w:num w:numId="28">
    <w:abstractNumId w:val="1"/>
  </w:num>
  <w:num w:numId="29">
    <w:abstractNumId w:val="21"/>
  </w:num>
  <w:num w:numId="30">
    <w:abstractNumId w:val="37"/>
  </w:num>
  <w:num w:numId="31">
    <w:abstractNumId w:val="30"/>
  </w:num>
  <w:num w:numId="32">
    <w:abstractNumId w:val="44"/>
  </w:num>
  <w:num w:numId="33">
    <w:abstractNumId w:val="4"/>
  </w:num>
  <w:num w:numId="34">
    <w:abstractNumId w:val="26"/>
  </w:num>
  <w:num w:numId="35">
    <w:abstractNumId w:val="43"/>
  </w:num>
  <w:num w:numId="36">
    <w:abstractNumId w:val="3"/>
  </w:num>
  <w:num w:numId="37">
    <w:abstractNumId w:val="33"/>
  </w:num>
  <w:num w:numId="38">
    <w:abstractNumId w:val="32"/>
  </w:num>
  <w:num w:numId="39">
    <w:abstractNumId w:val="2"/>
  </w:num>
  <w:num w:numId="40">
    <w:abstractNumId w:val="45"/>
  </w:num>
  <w:num w:numId="41">
    <w:abstractNumId w:val="39"/>
  </w:num>
  <w:num w:numId="42">
    <w:abstractNumId w:val="40"/>
  </w:num>
  <w:num w:numId="43">
    <w:abstractNumId w:val="24"/>
  </w:num>
  <w:num w:numId="44">
    <w:abstractNumId w:val="31"/>
  </w:num>
  <w:num w:numId="45">
    <w:abstractNumId w:val="10"/>
  </w:num>
  <w:num w:numId="46">
    <w:abstractNumId w:val="41"/>
  </w:num>
  <w:num w:numId="47">
    <w:abstractNumId w:val="36"/>
  </w:num>
  <w:num w:numId="48">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2063D"/>
    <w:rsid w:val="0002191D"/>
    <w:rsid w:val="00021A48"/>
    <w:rsid w:val="000266A0"/>
    <w:rsid w:val="00026FA5"/>
    <w:rsid w:val="00031881"/>
    <w:rsid w:val="00031C1D"/>
    <w:rsid w:val="000322CD"/>
    <w:rsid w:val="00034CE8"/>
    <w:rsid w:val="0003637D"/>
    <w:rsid w:val="00036F4C"/>
    <w:rsid w:val="00041A76"/>
    <w:rsid w:val="00041F71"/>
    <w:rsid w:val="000425D2"/>
    <w:rsid w:val="0005554A"/>
    <w:rsid w:val="00056887"/>
    <w:rsid w:val="000610D1"/>
    <w:rsid w:val="00062595"/>
    <w:rsid w:val="0006715B"/>
    <w:rsid w:val="000671EE"/>
    <w:rsid w:val="00072C56"/>
    <w:rsid w:val="00073ED1"/>
    <w:rsid w:val="0007612B"/>
    <w:rsid w:val="000814FC"/>
    <w:rsid w:val="00085221"/>
    <w:rsid w:val="00090437"/>
    <w:rsid w:val="00091216"/>
    <w:rsid w:val="00093E7E"/>
    <w:rsid w:val="00094CDD"/>
    <w:rsid w:val="000960FB"/>
    <w:rsid w:val="000A036B"/>
    <w:rsid w:val="000A2715"/>
    <w:rsid w:val="000A7DD0"/>
    <w:rsid w:val="000B131D"/>
    <w:rsid w:val="000B2E7E"/>
    <w:rsid w:val="000B58A9"/>
    <w:rsid w:val="000B5956"/>
    <w:rsid w:val="000C2FE3"/>
    <w:rsid w:val="000C34F6"/>
    <w:rsid w:val="000C3A9E"/>
    <w:rsid w:val="000C3F3C"/>
    <w:rsid w:val="000C6E1F"/>
    <w:rsid w:val="000D435B"/>
    <w:rsid w:val="000D4B8E"/>
    <w:rsid w:val="000D5B15"/>
    <w:rsid w:val="000D6CFC"/>
    <w:rsid w:val="000D7234"/>
    <w:rsid w:val="000D7CB9"/>
    <w:rsid w:val="000E0032"/>
    <w:rsid w:val="000E1B24"/>
    <w:rsid w:val="000E330F"/>
    <w:rsid w:val="000E3591"/>
    <w:rsid w:val="000E51ED"/>
    <w:rsid w:val="000F03AE"/>
    <w:rsid w:val="000F5829"/>
    <w:rsid w:val="000F6DB2"/>
    <w:rsid w:val="000F7153"/>
    <w:rsid w:val="00101B3D"/>
    <w:rsid w:val="00103185"/>
    <w:rsid w:val="001044A2"/>
    <w:rsid w:val="001047B7"/>
    <w:rsid w:val="00105A80"/>
    <w:rsid w:val="001066DE"/>
    <w:rsid w:val="0010729F"/>
    <w:rsid w:val="0011188F"/>
    <w:rsid w:val="001208C3"/>
    <w:rsid w:val="001224D8"/>
    <w:rsid w:val="00123289"/>
    <w:rsid w:val="00124030"/>
    <w:rsid w:val="001269BC"/>
    <w:rsid w:val="001305C8"/>
    <w:rsid w:val="00132940"/>
    <w:rsid w:val="001335D7"/>
    <w:rsid w:val="00133E73"/>
    <w:rsid w:val="00135854"/>
    <w:rsid w:val="00136F5C"/>
    <w:rsid w:val="001403F5"/>
    <w:rsid w:val="00144609"/>
    <w:rsid w:val="001500C9"/>
    <w:rsid w:val="00151659"/>
    <w:rsid w:val="001528E3"/>
    <w:rsid w:val="00153528"/>
    <w:rsid w:val="001567B4"/>
    <w:rsid w:val="001568A9"/>
    <w:rsid w:val="001604CD"/>
    <w:rsid w:val="001621D7"/>
    <w:rsid w:val="001642D5"/>
    <w:rsid w:val="00164947"/>
    <w:rsid w:val="0017037D"/>
    <w:rsid w:val="00171DF3"/>
    <w:rsid w:val="00172076"/>
    <w:rsid w:val="0017459D"/>
    <w:rsid w:val="00175731"/>
    <w:rsid w:val="001759BA"/>
    <w:rsid w:val="001761B2"/>
    <w:rsid w:val="00177627"/>
    <w:rsid w:val="00191FD0"/>
    <w:rsid w:val="001950BE"/>
    <w:rsid w:val="001A08AA"/>
    <w:rsid w:val="001A0C53"/>
    <w:rsid w:val="001A3120"/>
    <w:rsid w:val="001A51E3"/>
    <w:rsid w:val="001A5D14"/>
    <w:rsid w:val="001A7E04"/>
    <w:rsid w:val="001B256C"/>
    <w:rsid w:val="001B2F0C"/>
    <w:rsid w:val="001B306F"/>
    <w:rsid w:val="001B627A"/>
    <w:rsid w:val="001B62C1"/>
    <w:rsid w:val="001B7EF8"/>
    <w:rsid w:val="001C0B57"/>
    <w:rsid w:val="001C14EC"/>
    <w:rsid w:val="001C1603"/>
    <w:rsid w:val="001C19EB"/>
    <w:rsid w:val="001C3A35"/>
    <w:rsid w:val="001C53E5"/>
    <w:rsid w:val="001C5C71"/>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510"/>
    <w:rsid w:val="00253DE8"/>
    <w:rsid w:val="0025557B"/>
    <w:rsid w:val="00257598"/>
    <w:rsid w:val="00257D7D"/>
    <w:rsid w:val="002613BF"/>
    <w:rsid w:val="0026179F"/>
    <w:rsid w:val="00262E2B"/>
    <w:rsid w:val="002642F3"/>
    <w:rsid w:val="0026581D"/>
    <w:rsid w:val="00266383"/>
    <w:rsid w:val="00274E1A"/>
    <w:rsid w:val="00275C58"/>
    <w:rsid w:val="0027731D"/>
    <w:rsid w:val="00277A5A"/>
    <w:rsid w:val="002806BB"/>
    <w:rsid w:val="002810D4"/>
    <w:rsid w:val="00282213"/>
    <w:rsid w:val="00285262"/>
    <w:rsid w:val="002867EC"/>
    <w:rsid w:val="00287385"/>
    <w:rsid w:val="0028752F"/>
    <w:rsid w:val="0029016E"/>
    <w:rsid w:val="00294CB9"/>
    <w:rsid w:val="00295FB6"/>
    <w:rsid w:val="00296077"/>
    <w:rsid w:val="002A2DC3"/>
    <w:rsid w:val="002B59B7"/>
    <w:rsid w:val="002B5B77"/>
    <w:rsid w:val="002C1909"/>
    <w:rsid w:val="002C1ACE"/>
    <w:rsid w:val="002C2331"/>
    <w:rsid w:val="002C6647"/>
    <w:rsid w:val="002C66F7"/>
    <w:rsid w:val="002D0235"/>
    <w:rsid w:val="002D64B4"/>
    <w:rsid w:val="002D73D5"/>
    <w:rsid w:val="002E1216"/>
    <w:rsid w:val="002E7C37"/>
    <w:rsid w:val="002F4093"/>
    <w:rsid w:val="002F4BAA"/>
    <w:rsid w:val="002F6239"/>
    <w:rsid w:val="00300F14"/>
    <w:rsid w:val="00303353"/>
    <w:rsid w:val="00304D91"/>
    <w:rsid w:val="003076EE"/>
    <w:rsid w:val="00307EEA"/>
    <w:rsid w:val="00307FE3"/>
    <w:rsid w:val="00312074"/>
    <w:rsid w:val="003141E7"/>
    <w:rsid w:val="0031533B"/>
    <w:rsid w:val="003206A2"/>
    <w:rsid w:val="0032343E"/>
    <w:rsid w:val="00323DBD"/>
    <w:rsid w:val="00324C71"/>
    <w:rsid w:val="003252D8"/>
    <w:rsid w:val="00326BC2"/>
    <w:rsid w:val="00327A96"/>
    <w:rsid w:val="00330F93"/>
    <w:rsid w:val="003324C1"/>
    <w:rsid w:val="00332D0D"/>
    <w:rsid w:val="0033563F"/>
    <w:rsid w:val="00337528"/>
    <w:rsid w:val="0034003D"/>
    <w:rsid w:val="00340946"/>
    <w:rsid w:val="00340E55"/>
    <w:rsid w:val="003421EE"/>
    <w:rsid w:val="00342E32"/>
    <w:rsid w:val="003450C4"/>
    <w:rsid w:val="003473D0"/>
    <w:rsid w:val="00352B40"/>
    <w:rsid w:val="00353ABA"/>
    <w:rsid w:val="003547E6"/>
    <w:rsid w:val="003553B2"/>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DD2"/>
    <w:rsid w:val="003B5729"/>
    <w:rsid w:val="003C127C"/>
    <w:rsid w:val="003C1CF6"/>
    <w:rsid w:val="003C2236"/>
    <w:rsid w:val="003C32D4"/>
    <w:rsid w:val="003C5539"/>
    <w:rsid w:val="003C6D48"/>
    <w:rsid w:val="003D12BB"/>
    <w:rsid w:val="003D7224"/>
    <w:rsid w:val="003D77BD"/>
    <w:rsid w:val="003D78E2"/>
    <w:rsid w:val="003E0755"/>
    <w:rsid w:val="003E0A3F"/>
    <w:rsid w:val="003E0C25"/>
    <w:rsid w:val="003E0D94"/>
    <w:rsid w:val="003E1618"/>
    <w:rsid w:val="003E2915"/>
    <w:rsid w:val="003E4B1C"/>
    <w:rsid w:val="003E4E92"/>
    <w:rsid w:val="003E5F9F"/>
    <w:rsid w:val="003E6EF2"/>
    <w:rsid w:val="003F063B"/>
    <w:rsid w:val="003F0FF2"/>
    <w:rsid w:val="003F524E"/>
    <w:rsid w:val="003F5341"/>
    <w:rsid w:val="003F557B"/>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30980"/>
    <w:rsid w:val="00435913"/>
    <w:rsid w:val="00440BB1"/>
    <w:rsid w:val="004415FE"/>
    <w:rsid w:val="00441DBF"/>
    <w:rsid w:val="00443021"/>
    <w:rsid w:val="0044356E"/>
    <w:rsid w:val="00444225"/>
    <w:rsid w:val="004460F4"/>
    <w:rsid w:val="00450ADA"/>
    <w:rsid w:val="004534A0"/>
    <w:rsid w:val="00456E06"/>
    <w:rsid w:val="004654EC"/>
    <w:rsid w:val="0046645E"/>
    <w:rsid w:val="00472E74"/>
    <w:rsid w:val="004836DA"/>
    <w:rsid w:val="00483FD9"/>
    <w:rsid w:val="00486547"/>
    <w:rsid w:val="00494025"/>
    <w:rsid w:val="004975B2"/>
    <w:rsid w:val="004977A8"/>
    <w:rsid w:val="00497AAC"/>
    <w:rsid w:val="004A17C7"/>
    <w:rsid w:val="004A202D"/>
    <w:rsid w:val="004A2F7C"/>
    <w:rsid w:val="004A3423"/>
    <w:rsid w:val="004A398B"/>
    <w:rsid w:val="004A46B6"/>
    <w:rsid w:val="004A6B8C"/>
    <w:rsid w:val="004B3A0A"/>
    <w:rsid w:val="004B5C8E"/>
    <w:rsid w:val="004B73DB"/>
    <w:rsid w:val="004C3CE5"/>
    <w:rsid w:val="004C4342"/>
    <w:rsid w:val="004D71B0"/>
    <w:rsid w:val="004D7A3C"/>
    <w:rsid w:val="004D7E41"/>
    <w:rsid w:val="004E08F3"/>
    <w:rsid w:val="004E54C1"/>
    <w:rsid w:val="004F5C15"/>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2158"/>
    <w:rsid w:val="005421E4"/>
    <w:rsid w:val="005425EF"/>
    <w:rsid w:val="00542A7B"/>
    <w:rsid w:val="00544D5B"/>
    <w:rsid w:val="00545FBC"/>
    <w:rsid w:val="005505FE"/>
    <w:rsid w:val="005530AA"/>
    <w:rsid w:val="00560786"/>
    <w:rsid w:val="00563274"/>
    <w:rsid w:val="00563B1C"/>
    <w:rsid w:val="005647DC"/>
    <w:rsid w:val="00564E44"/>
    <w:rsid w:val="00573114"/>
    <w:rsid w:val="00573894"/>
    <w:rsid w:val="00574154"/>
    <w:rsid w:val="00575C92"/>
    <w:rsid w:val="00576D46"/>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C23C2"/>
    <w:rsid w:val="005C33E9"/>
    <w:rsid w:val="005C346B"/>
    <w:rsid w:val="005C5696"/>
    <w:rsid w:val="005D1371"/>
    <w:rsid w:val="005D1D8B"/>
    <w:rsid w:val="005E3ADA"/>
    <w:rsid w:val="005E3BCA"/>
    <w:rsid w:val="005E49CA"/>
    <w:rsid w:val="005E6887"/>
    <w:rsid w:val="005F20FD"/>
    <w:rsid w:val="005F4883"/>
    <w:rsid w:val="00600464"/>
    <w:rsid w:val="006073B3"/>
    <w:rsid w:val="00611A2C"/>
    <w:rsid w:val="00614C3C"/>
    <w:rsid w:val="00615C29"/>
    <w:rsid w:val="00616966"/>
    <w:rsid w:val="00620DBC"/>
    <w:rsid w:val="0062377C"/>
    <w:rsid w:val="00625737"/>
    <w:rsid w:val="00630A11"/>
    <w:rsid w:val="00630FD8"/>
    <w:rsid w:val="00631A5C"/>
    <w:rsid w:val="00632875"/>
    <w:rsid w:val="00633224"/>
    <w:rsid w:val="006344C9"/>
    <w:rsid w:val="00634D04"/>
    <w:rsid w:val="00635249"/>
    <w:rsid w:val="00636B8B"/>
    <w:rsid w:val="00641F74"/>
    <w:rsid w:val="00642BEA"/>
    <w:rsid w:val="00645857"/>
    <w:rsid w:val="00650D90"/>
    <w:rsid w:val="00655473"/>
    <w:rsid w:val="00657D51"/>
    <w:rsid w:val="00660438"/>
    <w:rsid w:val="00664491"/>
    <w:rsid w:val="006657D5"/>
    <w:rsid w:val="00666436"/>
    <w:rsid w:val="00670496"/>
    <w:rsid w:val="006721A9"/>
    <w:rsid w:val="00675687"/>
    <w:rsid w:val="0068057B"/>
    <w:rsid w:val="00681EF1"/>
    <w:rsid w:val="00685058"/>
    <w:rsid w:val="006856E5"/>
    <w:rsid w:val="006867CA"/>
    <w:rsid w:val="006903FC"/>
    <w:rsid w:val="00696140"/>
    <w:rsid w:val="006B0BB1"/>
    <w:rsid w:val="006B0D02"/>
    <w:rsid w:val="006B3304"/>
    <w:rsid w:val="006B4324"/>
    <w:rsid w:val="006B7184"/>
    <w:rsid w:val="006C14F6"/>
    <w:rsid w:val="006C1D31"/>
    <w:rsid w:val="006C2860"/>
    <w:rsid w:val="006C2918"/>
    <w:rsid w:val="006C4650"/>
    <w:rsid w:val="006C4738"/>
    <w:rsid w:val="006C6E22"/>
    <w:rsid w:val="006C7E9A"/>
    <w:rsid w:val="006D264C"/>
    <w:rsid w:val="006D2CB3"/>
    <w:rsid w:val="006D3D53"/>
    <w:rsid w:val="006E0096"/>
    <w:rsid w:val="006E37EA"/>
    <w:rsid w:val="006F0160"/>
    <w:rsid w:val="006F4EF9"/>
    <w:rsid w:val="006F5D32"/>
    <w:rsid w:val="007006DA"/>
    <w:rsid w:val="007009D6"/>
    <w:rsid w:val="00703205"/>
    <w:rsid w:val="007032A8"/>
    <w:rsid w:val="0070646B"/>
    <w:rsid w:val="007066FA"/>
    <w:rsid w:val="0070677D"/>
    <w:rsid w:val="00707941"/>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41F7"/>
    <w:rsid w:val="007552FB"/>
    <w:rsid w:val="0075545A"/>
    <w:rsid w:val="00755E78"/>
    <w:rsid w:val="00761320"/>
    <w:rsid w:val="0076232E"/>
    <w:rsid w:val="007651E3"/>
    <w:rsid w:val="00766A77"/>
    <w:rsid w:val="00767A3A"/>
    <w:rsid w:val="0077310C"/>
    <w:rsid w:val="0078144D"/>
    <w:rsid w:val="00787CE3"/>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D1827"/>
    <w:rsid w:val="007D358F"/>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03EE"/>
    <w:rsid w:val="00800744"/>
    <w:rsid w:val="008026AC"/>
    <w:rsid w:val="00802E9E"/>
    <w:rsid w:val="0080368A"/>
    <w:rsid w:val="00803ECC"/>
    <w:rsid w:val="00803F95"/>
    <w:rsid w:val="00805E3A"/>
    <w:rsid w:val="00812D42"/>
    <w:rsid w:val="008166CC"/>
    <w:rsid w:val="00820F90"/>
    <w:rsid w:val="008239B4"/>
    <w:rsid w:val="00823E1D"/>
    <w:rsid w:val="008246A1"/>
    <w:rsid w:val="008247AF"/>
    <w:rsid w:val="00825742"/>
    <w:rsid w:val="00832EC2"/>
    <w:rsid w:val="00836C44"/>
    <w:rsid w:val="008375C1"/>
    <w:rsid w:val="00840512"/>
    <w:rsid w:val="00842E9E"/>
    <w:rsid w:val="00844063"/>
    <w:rsid w:val="00853E16"/>
    <w:rsid w:val="008648EE"/>
    <w:rsid w:val="00867FC7"/>
    <w:rsid w:val="008717AB"/>
    <w:rsid w:val="00873725"/>
    <w:rsid w:val="00881911"/>
    <w:rsid w:val="008854DE"/>
    <w:rsid w:val="008873FB"/>
    <w:rsid w:val="00887874"/>
    <w:rsid w:val="0089240B"/>
    <w:rsid w:val="00893454"/>
    <w:rsid w:val="00893DD9"/>
    <w:rsid w:val="00895EC8"/>
    <w:rsid w:val="0089621D"/>
    <w:rsid w:val="008A2533"/>
    <w:rsid w:val="008A4A85"/>
    <w:rsid w:val="008B29E5"/>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F0418"/>
    <w:rsid w:val="008F39CC"/>
    <w:rsid w:val="008F7D93"/>
    <w:rsid w:val="00900976"/>
    <w:rsid w:val="009013D4"/>
    <w:rsid w:val="0090245D"/>
    <w:rsid w:val="00902558"/>
    <w:rsid w:val="00904A82"/>
    <w:rsid w:val="00904CB7"/>
    <w:rsid w:val="00907CBE"/>
    <w:rsid w:val="00911FD0"/>
    <w:rsid w:val="00912BD5"/>
    <w:rsid w:val="00917A32"/>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6169"/>
    <w:rsid w:val="009472CE"/>
    <w:rsid w:val="0094754B"/>
    <w:rsid w:val="00951AE4"/>
    <w:rsid w:val="00952FA0"/>
    <w:rsid w:val="0095460F"/>
    <w:rsid w:val="00960B00"/>
    <w:rsid w:val="00961F97"/>
    <w:rsid w:val="00965659"/>
    <w:rsid w:val="0096617A"/>
    <w:rsid w:val="00970A09"/>
    <w:rsid w:val="009747CA"/>
    <w:rsid w:val="00976C55"/>
    <w:rsid w:val="0097723C"/>
    <w:rsid w:val="0097727B"/>
    <w:rsid w:val="00977C5D"/>
    <w:rsid w:val="00980247"/>
    <w:rsid w:val="0098279B"/>
    <w:rsid w:val="00983910"/>
    <w:rsid w:val="00984188"/>
    <w:rsid w:val="00984BA1"/>
    <w:rsid w:val="0098541C"/>
    <w:rsid w:val="0098598B"/>
    <w:rsid w:val="00985A48"/>
    <w:rsid w:val="009868CB"/>
    <w:rsid w:val="00986C06"/>
    <w:rsid w:val="00991146"/>
    <w:rsid w:val="00992F81"/>
    <w:rsid w:val="009945CE"/>
    <w:rsid w:val="0099497B"/>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728B"/>
    <w:rsid w:val="009E06B4"/>
    <w:rsid w:val="009E10FF"/>
    <w:rsid w:val="009E1278"/>
    <w:rsid w:val="009E229D"/>
    <w:rsid w:val="009E425F"/>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73"/>
    <w:rsid w:val="00A205A9"/>
    <w:rsid w:val="00A21EC9"/>
    <w:rsid w:val="00A22836"/>
    <w:rsid w:val="00A23F49"/>
    <w:rsid w:val="00A248C4"/>
    <w:rsid w:val="00A25404"/>
    <w:rsid w:val="00A257F9"/>
    <w:rsid w:val="00A33D2C"/>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1B15"/>
    <w:rsid w:val="00A835D7"/>
    <w:rsid w:val="00A851F9"/>
    <w:rsid w:val="00A85DBC"/>
    <w:rsid w:val="00A9364F"/>
    <w:rsid w:val="00A96C36"/>
    <w:rsid w:val="00A96CA4"/>
    <w:rsid w:val="00A96F0D"/>
    <w:rsid w:val="00AA1A7D"/>
    <w:rsid w:val="00AA1ACA"/>
    <w:rsid w:val="00AA37BB"/>
    <w:rsid w:val="00AA46C6"/>
    <w:rsid w:val="00AA5DED"/>
    <w:rsid w:val="00AB0EA4"/>
    <w:rsid w:val="00AB3A63"/>
    <w:rsid w:val="00AB3F85"/>
    <w:rsid w:val="00AB5257"/>
    <w:rsid w:val="00AB7126"/>
    <w:rsid w:val="00AC330E"/>
    <w:rsid w:val="00AC3DA5"/>
    <w:rsid w:val="00AC43E6"/>
    <w:rsid w:val="00AC443B"/>
    <w:rsid w:val="00AC60FA"/>
    <w:rsid w:val="00AC694F"/>
    <w:rsid w:val="00AD091A"/>
    <w:rsid w:val="00AD1338"/>
    <w:rsid w:val="00AD1A7A"/>
    <w:rsid w:val="00AD2C26"/>
    <w:rsid w:val="00AD49F1"/>
    <w:rsid w:val="00AD6C47"/>
    <w:rsid w:val="00AD6E1C"/>
    <w:rsid w:val="00AD7B11"/>
    <w:rsid w:val="00AE3E1C"/>
    <w:rsid w:val="00AE4558"/>
    <w:rsid w:val="00AE5E8E"/>
    <w:rsid w:val="00AE64B3"/>
    <w:rsid w:val="00AE6BBA"/>
    <w:rsid w:val="00AE75F4"/>
    <w:rsid w:val="00AE778F"/>
    <w:rsid w:val="00AF2B56"/>
    <w:rsid w:val="00AF3A9E"/>
    <w:rsid w:val="00AF6F25"/>
    <w:rsid w:val="00B02DAA"/>
    <w:rsid w:val="00B030F4"/>
    <w:rsid w:val="00B12D97"/>
    <w:rsid w:val="00B159D5"/>
    <w:rsid w:val="00B21530"/>
    <w:rsid w:val="00B233B5"/>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5171B"/>
    <w:rsid w:val="00B53FE2"/>
    <w:rsid w:val="00B54641"/>
    <w:rsid w:val="00B579B9"/>
    <w:rsid w:val="00B631B1"/>
    <w:rsid w:val="00B65641"/>
    <w:rsid w:val="00B65B96"/>
    <w:rsid w:val="00B663E1"/>
    <w:rsid w:val="00B7142D"/>
    <w:rsid w:val="00B72448"/>
    <w:rsid w:val="00B724A5"/>
    <w:rsid w:val="00B72691"/>
    <w:rsid w:val="00B746E7"/>
    <w:rsid w:val="00B75969"/>
    <w:rsid w:val="00B80889"/>
    <w:rsid w:val="00B80F80"/>
    <w:rsid w:val="00B82D45"/>
    <w:rsid w:val="00B83244"/>
    <w:rsid w:val="00B834D1"/>
    <w:rsid w:val="00B8446C"/>
    <w:rsid w:val="00B85BEC"/>
    <w:rsid w:val="00B85CA4"/>
    <w:rsid w:val="00B8699E"/>
    <w:rsid w:val="00B90E61"/>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F159A"/>
    <w:rsid w:val="00BF21CF"/>
    <w:rsid w:val="00BF497C"/>
    <w:rsid w:val="00BF52AB"/>
    <w:rsid w:val="00C02F3E"/>
    <w:rsid w:val="00C06451"/>
    <w:rsid w:val="00C07DB0"/>
    <w:rsid w:val="00C1524E"/>
    <w:rsid w:val="00C15D42"/>
    <w:rsid w:val="00C1721B"/>
    <w:rsid w:val="00C2149E"/>
    <w:rsid w:val="00C23101"/>
    <w:rsid w:val="00C24B2F"/>
    <w:rsid w:val="00C27797"/>
    <w:rsid w:val="00C3068F"/>
    <w:rsid w:val="00C33600"/>
    <w:rsid w:val="00C34350"/>
    <w:rsid w:val="00C34B0C"/>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5089"/>
    <w:rsid w:val="00C72303"/>
    <w:rsid w:val="00C72631"/>
    <w:rsid w:val="00C73069"/>
    <w:rsid w:val="00C732D5"/>
    <w:rsid w:val="00C7439D"/>
    <w:rsid w:val="00C75CA7"/>
    <w:rsid w:val="00C80450"/>
    <w:rsid w:val="00C81249"/>
    <w:rsid w:val="00C8319E"/>
    <w:rsid w:val="00C841E3"/>
    <w:rsid w:val="00C8473B"/>
    <w:rsid w:val="00C94689"/>
    <w:rsid w:val="00C955B5"/>
    <w:rsid w:val="00CA2304"/>
    <w:rsid w:val="00CA4B07"/>
    <w:rsid w:val="00CB1A01"/>
    <w:rsid w:val="00CB2802"/>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3C0E"/>
    <w:rsid w:val="00D756B6"/>
    <w:rsid w:val="00D8154B"/>
    <w:rsid w:val="00D82203"/>
    <w:rsid w:val="00D865D0"/>
    <w:rsid w:val="00D8669A"/>
    <w:rsid w:val="00D9128E"/>
    <w:rsid w:val="00D91919"/>
    <w:rsid w:val="00D92FE0"/>
    <w:rsid w:val="00D95F0E"/>
    <w:rsid w:val="00DA0F3D"/>
    <w:rsid w:val="00DA4E6B"/>
    <w:rsid w:val="00DB07C0"/>
    <w:rsid w:val="00DB71ED"/>
    <w:rsid w:val="00DC0640"/>
    <w:rsid w:val="00DC74D9"/>
    <w:rsid w:val="00DD0C2C"/>
    <w:rsid w:val="00DD4490"/>
    <w:rsid w:val="00DD67E4"/>
    <w:rsid w:val="00DE10B2"/>
    <w:rsid w:val="00DF0BD9"/>
    <w:rsid w:val="00DF240E"/>
    <w:rsid w:val="00DF3AAB"/>
    <w:rsid w:val="00DF4787"/>
    <w:rsid w:val="00DF7083"/>
    <w:rsid w:val="00E100F7"/>
    <w:rsid w:val="00E12420"/>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61077"/>
    <w:rsid w:val="00E616C7"/>
    <w:rsid w:val="00E61E32"/>
    <w:rsid w:val="00E677DC"/>
    <w:rsid w:val="00E722FF"/>
    <w:rsid w:val="00E72D9D"/>
    <w:rsid w:val="00E73A60"/>
    <w:rsid w:val="00E7697D"/>
    <w:rsid w:val="00E77A9C"/>
    <w:rsid w:val="00E8167F"/>
    <w:rsid w:val="00E8580C"/>
    <w:rsid w:val="00E8629F"/>
    <w:rsid w:val="00E8690F"/>
    <w:rsid w:val="00E87C64"/>
    <w:rsid w:val="00E90178"/>
    <w:rsid w:val="00E95B2E"/>
    <w:rsid w:val="00E96009"/>
    <w:rsid w:val="00E96535"/>
    <w:rsid w:val="00EA3C24"/>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565"/>
    <w:rsid w:val="00EE370E"/>
    <w:rsid w:val="00EE41ED"/>
    <w:rsid w:val="00EE587A"/>
    <w:rsid w:val="00EE65B0"/>
    <w:rsid w:val="00EE65ED"/>
    <w:rsid w:val="00EE6E07"/>
    <w:rsid w:val="00EE71F1"/>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46B"/>
    <w:rsid w:val="00F4067C"/>
    <w:rsid w:val="00F414FE"/>
    <w:rsid w:val="00F41AE8"/>
    <w:rsid w:val="00F43944"/>
    <w:rsid w:val="00F452AE"/>
    <w:rsid w:val="00F47B8D"/>
    <w:rsid w:val="00F52C03"/>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5588"/>
    <w:rsid w:val="00F859B5"/>
    <w:rsid w:val="00F91B11"/>
    <w:rsid w:val="00F91D25"/>
    <w:rsid w:val="00F91EC0"/>
    <w:rsid w:val="00F926AF"/>
    <w:rsid w:val="00FA3290"/>
    <w:rsid w:val="00FA5865"/>
    <w:rsid w:val="00FB374B"/>
    <w:rsid w:val="00FB7064"/>
    <w:rsid w:val="00FC051F"/>
    <w:rsid w:val="00FC2177"/>
    <w:rsid w:val="00FC3C79"/>
    <w:rsid w:val="00FC4C48"/>
    <w:rsid w:val="00FC515B"/>
    <w:rsid w:val="00FC5E1A"/>
    <w:rsid w:val="00FC7BFC"/>
    <w:rsid w:val="00FD3D48"/>
    <w:rsid w:val="00FD5616"/>
    <w:rsid w:val="00FD7BE8"/>
    <w:rsid w:val="00FE0763"/>
    <w:rsid w:val="00FE0E93"/>
    <w:rsid w:val="00FE4CA6"/>
    <w:rsid w:val="00FE689E"/>
    <w:rsid w:val="00FE694F"/>
    <w:rsid w:val="00FF2624"/>
    <w:rsid w:val="00FF2A23"/>
    <w:rsid w:val="00FF4DA0"/>
    <w:rsid w:val="00FF4F73"/>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uiPriority w:val="99"/>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box.etsi.org/msg/tfes/05-CONTRIBUTIONS/2021/TFES(21)000066_MSGTFES_Resolution_Report_EN_301_908-13_V13_2_1_for_HAS_cons.doc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etsi.org/webapp/WorkProgram/Report_WorkItem.asp?WKI_ID=54728"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docbox.etsi.org/msg/tfes/05-CONTRIBUTIONS/2021/TFES(21)000061_EY_Second_Assessment_of_REN_MSG-TFES-13-24_under_the_RED.zip" TargetMode="Externa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docbox.etsi.org/msg/tfes/05-CONTRIBUTIONS/2021/TFES(21)000060_EY_Second_Assessment_of_REN_MSG-TFES-13-23_under_the_RED.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1748-9622-4FBB-99D5-E886B716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2191</Words>
  <Characters>12107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14270</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2021-10-22T15:47:00Z</dcterms:created>
  <dcterms:modified xsi:type="dcterms:W3CDTF">2021-10-22T15:47:00Z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1634888259</vt:lpwstr>
  </property>
</Properties>
</file>