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599D6E3D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</w:t>
      </w:r>
      <w:r w:rsidR="006B38D9">
        <w:rPr>
          <w:rFonts w:cs="Arial"/>
          <w:b/>
          <w:sz w:val="24"/>
          <w:lang w:val="en-US" w:eastAsia="zh-CN"/>
        </w:rPr>
        <w:t>1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D60FF" w:rsidRPr="003D60FF">
        <w:rPr>
          <w:rFonts w:eastAsia="宋体" w:cs="Arial"/>
          <w:b/>
          <w:sz w:val="24"/>
          <w:lang w:val="en-US" w:eastAsia="zh-CN"/>
        </w:rPr>
        <w:t>R4-2118817</w:t>
      </w:r>
    </w:p>
    <w:p w14:paraId="245253B7" w14:textId="49500F2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3D60FF" w:rsidRPr="003D60FF">
        <w:rPr>
          <w:rFonts w:cs="Arial"/>
          <w:noProof w:val="0"/>
          <w:sz w:val="24"/>
        </w:rPr>
        <w:t>November 01-12, 2021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760011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38D9" w:rsidRPr="006B38D9">
        <w:rPr>
          <w:rFonts w:ascii="Arial" w:eastAsia="宋体" w:hAnsi="Arial"/>
          <w:b/>
          <w:sz w:val="24"/>
          <w:lang w:val="en-US" w:eastAsia="zh-CN"/>
        </w:rPr>
        <w:t>Simulation assumption on hypothetical PDCCH performance for RLM and BFD for RedCap UE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78F2D2A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851DE" w:rsidRPr="00D851DE">
        <w:rPr>
          <w:rFonts w:ascii="Arial" w:eastAsia="宋体" w:hAnsi="Arial"/>
          <w:b/>
          <w:sz w:val="24"/>
          <w:lang w:val="en-US" w:eastAsia="zh-CN"/>
        </w:rPr>
        <w:t>8</w:t>
      </w:r>
      <w:r w:rsidR="00617977" w:rsidRPr="00D851DE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D851DE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D851DE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D851DE">
        <w:rPr>
          <w:rFonts w:ascii="Arial" w:eastAsia="宋体" w:hAnsi="Arial"/>
          <w:b/>
          <w:sz w:val="24"/>
          <w:lang w:val="en-US" w:eastAsia="zh-CN"/>
        </w:rPr>
        <w:t>3.</w:t>
      </w:r>
      <w:r w:rsidR="00D851DE" w:rsidRPr="00D851DE">
        <w:rPr>
          <w:rFonts w:ascii="Arial" w:eastAsia="宋体" w:hAnsi="Arial"/>
          <w:b/>
          <w:sz w:val="24"/>
          <w:lang w:val="en-US" w:eastAsia="zh-CN"/>
        </w:rPr>
        <w:t>1.4</w:t>
      </w:r>
      <w:bookmarkStart w:id="3" w:name="_GoBack"/>
      <w:bookmarkEnd w:id="3"/>
    </w:p>
    <w:p w14:paraId="10F51582" w14:textId="0B08C5FA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14525" w:rsidRPr="00114525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045133B4" w14:textId="42F53B26" w:rsidR="00E768B6" w:rsidRDefault="00177A73" w:rsidP="00E768B6">
      <w:pPr>
        <w:rPr>
          <w:lang w:eastAsia="zh-CN"/>
        </w:rPr>
      </w:pPr>
      <w:r>
        <w:rPr>
          <w:lang w:eastAsia="zh-CN"/>
        </w:rPr>
        <w:t>This simulation assumption on hypothetical PDCCH parameters for RedCap UE</w:t>
      </w:r>
      <w:r w:rsidR="00E768B6">
        <w:rPr>
          <w:lang w:eastAsia="zh-CN"/>
        </w:rPr>
        <w:t xml:space="preserve"> is to evaluate:</w:t>
      </w:r>
    </w:p>
    <w:p w14:paraId="35E61896" w14:textId="77264137" w:rsidR="00E768B6" w:rsidRPr="00177A73" w:rsidRDefault="00177A73" w:rsidP="00177A73">
      <w:pPr>
        <w:pStyle w:val="af8"/>
        <w:numPr>
          <w:ilvl w:val="0"/>
          <w:numId w:val="14"/>
        </w:numPr>
        <w:rPr>
          <w:rFonts w:eastAsia="MS Mincho"/>
          <w:sz w:val="20"/>
          <w:szCs w:val="20"/>
          <w:lang w:val="en-GB" w:eastAsia="zh-CN"/>
        </w:rPr>
      </w:pPr>
      <w:r w:rsidRPr="00177A73">
        <w:rPr>
          <w:rFonts w:eastAsia="MS Mincho"/>
          <w:sz w:val="20"/>
          <w:szCs w:val="20"/>
          <w:lang w:eastAsia="zh-CN"/>
        </w:rPr>
        <w:t>The PDCCH performance impact due to reducing the BW for CSI-RS based RLM and CSI-RS based BFD to 24PRBs</w:t>
      </w:r>
      <w:r w:rsidR="00D851DE">
        <w:rPr>
          <w:rFonts w:eastAsia="MS Mincho"/>
          <w:sz w:val="20"/>
          <w:szCs w:val="20"/>
          <w:lang w:eastAsia="zh-CN"/>
        </w:rPr>
        <w:t xml:space="preserve"> </w:t>
      </w:r>
      <w:r w:rsidR="00D851DE" w:rsidRPr="00D851DE">
        <w:rPr>
          <w:rFonts w:eastAsia="MS Mincho"/>
          <w:b/>
          <w:sz w:val="20"/>
          <w:szCs w:val="20"/>
          <w:lang w:eastAsia="zh-CN"/>
        </w:rPr>
        <w:t>@60kHz</w:t>
      </w:r>
      <w:r w:rsidRPr="00177A73">
        <w:rPr>
          <w:sz w:val="20"/>
          <w:szCs w:val="20"/>
          <w:lang w:eastAsia="zh-CN"/>
        </w:rPr>
        <w:t>;</w:t>
      </w:r>
    </w:p>
    <w:p w14:paraId="4D5A3D4F" w14:textId="43590E90" w:rsidR="00177A73" w:rsidRPr="00177A73" w:rsidRDefault="00177A73" w:rsidP="005B7F51">
      <w:pPr>
        <w:pStyle w:val="af8"/>
        <w:numPr>
          <w:ilvl w:val="0"/>
          <w:numId w:val="14"/>
        </w:numPr>
        <w:rPr>
          <w:rFonts w:eastAsia="MS Mincho"/>
          <w:lang w:val="en-GB" w:eastAsia="zh-CN"/>
        </w:rPr>
      </w:pPr>
      <w:r w:rsidRPr="00177A73">
        <w:rPr>
          <w:rFonts w:eastAsia="MS Mincho"/>
          <w:sz w:val="20"/>
          <w:szCs w:val="20"/>
          <w:lang w:eastAsia="zh-CN"/>
        </w:rPr>
        <w:t>The PDCCH performance</w:t>
      </w:r>
      <w:r w:rsidRPr="00177A73">
        <w:rPr>
          <w:sz w:val="20"/>
          <w:szCs w:val="20"/>
          <w:lang w:eastAsia="zh-CN"/>
        </w:rPr>
        <w:t xml:space="preserve"> </w:t>
      </w:r>
      <w:r w:rsidRPr="00177A73">
        <w:rPr>
          <w:rFonts w:eastAsia="MS Mincho"/>
          <w:sz w:val="20"/>
          <w:szCs w:val="20"/>
          <w:lang w:eastAsia="zh-CN"/>
        </w:rPr>
        <w:t>impact</w:t>
      </w:r>
      <w:r w:rsidRPr="00177A73">
        <w:rPr>
          <w:sz w:val="20"/>
          <w:szCs w:val="20"/>
          <w:lang w:eastAsia="zh-CN"/>
        </w:rPr>
        <w:t xml:space="preserve"> in RLM and BFD</w:t>
      </w:r>
      <w:r w:rsidRPr="00177A73">
        <w:rPr>
          <w:rFonts w:eastAsia="MS Mincho"/>
          <w:sz w:val="20"/>
          <w:szCs w:val="20"/>
          <w:lang w:eastAsia="zh-CN"/>
        </w:rPr>
        <w:t xml:space="preserve"> due to </w:t>
      </w:r>
      <w:r w:rsidRPr="00177A73">
        <w:rPr>
          <w:sz w:val="20"/>
          <w:szCs w:val="20"/>
          <w:lang w:eastAsia="zh-CN"/>
        </w:rPr>
        <w:t>reducing 2RX to 1RX.</w:t>
      </w:r>
    </w:p>
    <w:p w14:paraId="687ADD95" w14:textId="4F3DD5BA" w:rsidR="00754DE9" w:rsidRDefault="00733E39" w:rsidP="00754DE9">
      <w:pPr>
        <w:pStyle w:val="1"/>
        <w:jc w:val="both"/>
        <w:rPr>
          <w:lang w:val="en-US"/>
        </w:rPr>
      </w:pPr>
      <w:r>
        <w:rPr>
          <w:lang w:val="en-US"/>
        </w:rPr>
        <w:t>Simulation Assumption</w:t>
      </w:r>
    </w:p>
    <w:p w14:paraId="219EC551" w14:textId="7DC27B5F" w:rsidR="005F30D2" w:rsidRDefault="005F30D2" w:rsidP="005F30D2">
      <w:pPr>
        <w:rPr>
          <w:lang w:eastAsia="zh-CN"/>
        </w:rPr>
      </w:pPr>
      <w:r>
        <w:rPr>
          <w:lang w:eastAsia="zh-CN"/>
        </w:rPr>
        <w:t xml:space="preserve">The proposed simulation assumptions for PDCCH </w:t>
      </w:r>
      <w:r w:rsidR="00177A73">
        <w:rPr>
          <w:lang w:eastAsia="zh-CN"/>
        </w:rPr>
        <w:t xml:space="preserve">for RLM and BFD </w:t>
      </w:r>
      <w:r>
        <w:rPr>
          <w:lang w:eastAsia="zh-CN"/>
        </w:rPr>
        <w:t>are listed in Table 1</w:t>
      </w:r>
      <w:r w:rsidR="00177A73">
        <w:rPr>
          <w:lang w:eastAsia="zh-CN"/>
        </w:rPr>
        <w:t xml:space="preserve"> and Table 2</w:t>
      </w:r>
      <w:r>
        <w:rPr>
          <w:lang w:eastAsia="zh-CN"/>
        </w:rPr>
        <w:t>.</w:t>
      </w:r>
    </w:p>
    <w:p w14:paraId="63046C65" w14:textId="77777777" w:rsidR="005F30D2" w:rsidRDefault="005F30D2" w:rsidP="005F30D2">
      <w:pPr>
        <w:jc w:val="center"/>
        <w:rPr>
          <w:b/>
          <w:lang w:eastAsia="zh-CN"/>
        </w:rPr>
      </w:pPr>
      <w:bookmarkStart w:id="4" w:name="_Hlk503533443"/>
      <w:r>
        <w:rPr>
          <w:b/>
          <w:lang w:eastAsia="zh-CN"/>
        </w:rPr>
        <w:t>Table 1: Simulation assumptions for PDCCH performance for 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05"/>
        <w:gridCol w:w="3508"/>
        <w:gridCol w:w="3508"/>
      </w:tblGrid>
      <w:tr w:rsidR="005F30D2" w14:paraId="73B78746" w14:textId="77777777" w:rsidTr="004553E9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F52D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D97DB0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5F30D2" w14:paraId="4DCFEDA2" w14:textId="77777777" w:rsidTr="004553E9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D8D6D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77853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8FC6F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5F30D2" w14:paraId="1ED74536" w14:textId="77777777" w:rsidTr="004553E9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C47C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 / payload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74A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311A494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587A8A2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3C89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42027C4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746697B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62DD0BD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6FAA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21A1" w14:textId="7777777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SSB based RLM</w:t>
            </w:r>
          </w:p>
          <w:p w14:paraId="5955D71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24 PRB}</w:t>
            </w:r>
          </w:p>
          <w:p w14:paraId="4D2A1ACC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24 PRB}</w:t>
            </w:r>
          </w:p>
          <w:p w14:paraId="6352E4D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7E21F90C" w14:textId="7777777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CSI-RS based RLM</w:t>
            </w:r>
          </w:p>
          <w:p w14:paraId="785C459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48 PRB}</w:t>
            </w:r>
          </w:p>
          <w:p w14:paraId="06E73C14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48 PRB}</w:t>
            </w:r>
          </w:p>
          <w:p w14:paraId="1AE126B4" w14:textId="37E1FCF8" w:rsidR="00177A73" w:rsidRPr="00177A73" w:rsidRDefault="00177A73" w:rsidP="00177A7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5386ED4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7A49ABD5" w14:textId="7777777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775211EC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67B34" w14:textId="77777777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SSB based RLM</w:t>
            </w:r>
          </w:p>
          <w:p w14:paraId="1C31461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295AD62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24 PRB}</w:t>
            </w:r>
          </w:p>
          <w:p w14:paraId="1CD6119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5B6DF159" w14:textId="77777777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CSI-RS based RLM</w:t>
            </w:r>
          </w:p>
          <w:p w14:paraId="03F2B6FF" w14:textId="77777777" w:rsidR="00D851DE" w:rsidRDefault="00D851DE" w:rsidP="00D851D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23D0CA3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1BEA3C2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48 PRB}</w:t>
            </w:r>
          </w:p>
          <w:p w14:paraId="0412896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B17CEA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DD5D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0E076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DFDC6B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4E0E73EA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F0DEB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5CDE2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D824F4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278864A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1B898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357D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OOS:8 and 16</w:t>
            </w:r>
          </w:p>
          <w:p w14:paraId="619E9F6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4 and 8</w:t>
            </w:r>
          </w:p>
          <w:p w14:paraId="1D566F1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0871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OOS:8 and 16</w:t>
            </w:r>
          </w:p>
          <w:p w14:paraId="017A7C7C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4 and 8</w:t>
            </w:r>
          </w:p>
          <w:p w14:paraId="5306445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BB2184B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48B2A" w14:textId="28A06483" w:rsidR="005F30D2" w:rsidRDefault="005F30D2" w:rsidP="00751DDB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 w:rsidR="00751DDB">
              <w:rPr>
                <w:rFonts w:ascii="Arial" w:eastAsia="?? ??" w:hAnsi="Arial" w:cs="Arial"/>
                <w:sz w:val="18"/>
                <w:szCs w:val="18"/>
                <w:lang w:eastAsia="x-none"/>
              </w:rPr>
              <w:t>RLM-RS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E55CC" w14:textId="346596FC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OOS:4</w:t>
            </w:r>
          </w:p>
          <w:p w14:paraId="131BB2A3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198D75" w14:textId="162C5AEF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OOS:4</w:t>
            </w:r>
          </w:p>
          <w:p w14:paraId="28A0CBA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 and 3dB</w:t>
            </w:r>
          </w:p>
        </w:tc>
      </w:tr>
      <w:tr w:rsidR="005F30D2" w14:paraId="7190FCA6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ABF6D" w14:textId="402711F8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 w:rsidR="004553E9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RLM-RS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1692E" w14:textId="79EDC586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OOS:4</w:t>
            </w:r>
          </w:p>
          <w:p w14:paraId="466E8BB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D0AE94" w14:textId="02D67FB4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OOS:4</w:t>
            </w:r>
          </w:p>
          <w:p w14:paraId="19F1F000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 and 3dB</w:t>
            </w:r>
          </w:p>
        </w:tc>
      </w:tr>
      <w:tr w:rsidR="005F30D2" w14:paraId="4F0B9B10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9658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Precoder granularity in frequency domain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93513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7600D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5F30D2" w14:paraId="6599E0AE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895EC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C41C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64F864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5F30D2" w14:paraId="3B9B9E6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D509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8D75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0915F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5F30D2" w14:paraId="156F41DC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7FBA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1EA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8A65C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5F30D2" w14:paraId="6745CB24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E621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6365E" w14:textId="40A98180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A09374" w14:textId="5EECB007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</w:tr>
      <w:tr w:rsidR="005F30D2" w14:paraId="0EFA62A8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7EC6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0E7E4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02ED02C7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TDL-A 30ns</w:t>
            </w:r>
          </w:p>
          <w:p w14:paraId="599043D0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TDL-B 100ns</w:t>
            </w:r>
          </w:p>
          <w:p w14:paraId="0E867343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TDL-C 300ns</w:t>
            </w:r>
          </w:p>
          <w:p w14:paraId="08E418DD" w14:textId="77777777" w:rsidR="004553E9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AF0EF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3189CBE7" w14:textId="77777777" w:rsidR="004553E9" w:rsidRPr="00447899" w:rsidRDefault="004553E9" w:rsidP="004553E9">
            <w:pPr>
              <w:pStyle w:val="TAL"/>
              <w:jc w:val="center"/>
              <w:rPr>
                <w:rFonts w:eastAsia="宋体"/>
              </w:rPr>
            </w:pPr>
            <w:r w:rsidRPr="00447899">
              <w:t>TDL-A 30ns</w:t>
            </w:r>
          </w:p>
          <w:p w14:paraId="319A7EAC" w14:textId="403F0BE4" w:rsidR="005F30D2" w:rsidRDefault="005F30D2" w:rsidP="004553E9">
            <w:pPr>
              <w:pStyle w:val="TAL"/>
              <w:rPr>
                <w:rFonts w:eastAsia="?? ??" w:cs="Arial"/>
                <w:szCs w:val="18"/>
              </w:rPr>
            </w:pPr>
          </w:p>
        </w:tc>
      </w:tr>
      <w:tr w:rsidR="005F30D2" w14:paraId="15EE2A88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7762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E66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79606C6F" w14:textId="77777777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1104046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8D56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032CDF5B" w14:textId="77777777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708E15F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2EE81E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2700E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1C25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3km/h, 42km/h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B899B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3km/h, 30km/h</w:t>
            </w:r>
          </w:p>
        </w:tc>
      </w:tr>
      <w:tr w:rsidR="005F30D2" w14:paraId="5F20CD33" w14:textId="77777777" w:rsidTr="004553E9">
        <w:trPr>
          <w:jc w:val="center"/>
        </w:trPr>
        <w:tc>
          <w:tcPr>
            <w:tcW w:w="962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AAF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Note: Companies are encouraged to clarify whether the 2Tx simulation results are based Tx diversity or not.</w:t>
            </w:r>
          </w:p>
        </w:tc>
      </w:tr>
    </w:tbl>
    <w:bookmarkEnd w:id="4"/>
    <w:p w14:paraId="086D06F5" w14:textId="77777777" w:rsidR="005F30D2" w:rsidRDefault="005F30D2" w:rsidP="005F30D2">
      <w:pPr>
        <w:spacing w:before="120"/>
        <w:rPr>
          <w:rFonts w:eastAsia="宋体"/>
          <w:lang w:eastAsia="zh-CN"/>
        </w:rPr>
      </w:pPr>
      <w:r>
        <w:rPr>
          <w:lang w:eastAsia="zh-CN"/>
        </w:rPr>
        <w:t>The outcome metric is the SNR levels corresponding to 10% and 2% PDCCH BLER.</w:t>
      </w:r>
    </w:p>
    <w:p w14:paraId="59B087EB" w14:textId="77777777" w:rsidR="005F30D2" w:rsidRDefault="005F30D2" w:rsidP="005F30D2">
      <w:pPr>
        <w:jc w:val="center"/>
        <w:rPr>
          <w:b/>
          <w:lang w:eastAsia="zh-CN"/>
        </w:rPr>
      </w:pPr>
      <w:r>
        <w:rPr>
          <w:b/>
          <w:lang w:eastAsia="zh-CN"/>
        </w:rPr>
        <w:t>Table 2: Simulation assumptions for PDCCH performance for BFD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05"/>
        <w:gridCol w:w="3508"/>
        <w:gridCol w:w="3508"/>
      </w:tblGrid>
      <w:tr w:rsidR="005F30D2" w14:paraId="26401131" w14:textId="77777777" w:rsidTr="00751DDB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B34EF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0AAA9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5F30D2" w14:paraId="58727391" w14:textId="77777777" w:rsidTr="00751DDB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05B9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5B08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F2FA1F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5F30D2" w14:paraId="2154A0C7" w14:textId="77777777" w:rsidTr="00751DDB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868A1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 / payload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2B1F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5D533E6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5D8CF8A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C5B0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34AD5AD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7982932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1A7A6DB6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8C92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0B32" w14:textId="194AA118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SSB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2B6F61F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24 PRB}</w:t>
            </w:r>
          </w:p>
          <w:p w14:paraId="6B0D402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24 PRB}</w:t>
            </w:r>
          </w:p>
          <w:p w14:paraId="7662FDB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4EAB744C" w14:textId="6EE872E5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CSI-RS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2299715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48 PRB}</w:t>
            </w:r>
          </w:p>
          <w:p w14:paraId="739DAF0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48 PRB}</w:t>
            </w:r>
          </w:p>
          <w:p w14:paraId="0350A7F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5B0B898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64A7E5B8" w14:textId="77777777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1824B058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DD40B" w14:textId="4CCF0CA0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SSB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260C8D0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4A8C0A8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24 PRB}</w:t>
            </w:r>
          </w:p>
          <w:p w14:paraId="797BEE7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227787B9" w14:textId="3C68EC9E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CSI-RS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524C4297" w14:textId="77777777" w:rsidR="00186A9A" w:rsidRDefault="00186A9A" w:rsidP="00186A9A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5E9E84D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025C2F7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48 PRB}</w:t>
            </w:r>
          </w:p>
          <w:p w14:paraId="2596850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71AA1079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F958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7BDD8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2AFFF5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22447A8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6F42F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27D39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5ADEDB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24F64721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DD88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FE2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 and 16</w:t>
            </w:r>
          </w:p>
          <w:p w14:paraId="62CBC83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D6F0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 and 16</w:t>
            </w:r>
          </w:p>
          <w:p w14:paraId="6A283E9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D494CE0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384C6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953D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72CDA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 and 3dB</w:t>
            </w:r>
          </w:p>
        </w:tc>
      </w:tr>
      <w:tr w:rsidR="005F30D2" w14:paraId="7E552E53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6FDD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54AD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E41DB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 and 3dB</w:t>
            </w:r>
          </w:p>
        </w:tc>
      </w:tr>
      <w:tr w:rsidR="005F30D2" w14:paraId="5773224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F2A7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Precoder granularity in frequency domain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D5BC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66590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5F30D2" w14:paraId="141EEED3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821B0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159D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0858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5F30D2" w14:paraId="68DBB3D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CCE4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2210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FAF6D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5F30D2" w14:paraId="1796713E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6D31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9E250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2C1E6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5F30D2" w14:paraId="46AFFD4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3109F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166FA" w14:textId="32006954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7835AD" w14:textId="1E711105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</w:tr>
      <w:tr w:rsidR="005F30D2" w14:paraId="5B229A02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58C16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E6001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60C5CE5E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TDL-A 30ns</w:t>
            </w:r>
          </w:p>
          <w:p w14:paraId="1F8ADB58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TDL-B 100ns</w:t>
            </w:r>
          </w:p>
          <w:p w14:paraId="2D0D87BA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TDL-C 300ns</w:t>
            </w:r>
          </w:p>
          <w:p w14:paraId="652C0B7F" w14:textId="184F3FC6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0C686F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6E0F43DC" w14:textId="77777777" w:rsidR="004553E9" w:rsidRPr="00447899" w:rsidRDefault="004553E9" w:rsidP="004553E9">
            <w:pPr>
              <w:pStyle w:val="TAL"/>
              <w:jc w:val="center"/>
              <w:rPr>
                <w:rFonts w:eastAsia="宋体"/>
              </w:rPr>
            </w:pPr>
            <w:r w:rsidRPr="00447899">
              <w:t>TDL-A 30ns</w:t>
            </w:r>
          </w:p>
          <w:p w14:paraId="65C1E95E" w14:textId="0D78817E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BC513FE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B16E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073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61F4EF11" w14:textId="36412EE1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03BA19F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331F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6D74D8EB" w14:textId="77777777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285ABB0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F569654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D011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6D90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3km/h, 42km/h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205B2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3km/h, 30km/h</w:t>
            </w:r>
          </w:p>
        </w:tc>
      </w:tr>
      <w:tr w:rsidR="005F30D2" w14:paraId="4B393029" w14:textId="77777777" w:rsidTr="00751DDB">
        <w:trPr>
          <w:jc w:val="center"/>
        </w:trPr>
        <w:tc>
          <w:tcPr>
            <w:tcW w:w="962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EB34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Note: Companies are encouraged to clarify whether the 2Tx simulation results are based Tx diversity or not.</w:t>
            </w:r>
          </w:p>
        </w:tc>
      </w:tr>
    </w:tbl>
    <w:p w14:paraId="6BF981EA" w14:textId="77777777" w:rsidR="005F30D2" w:rsidRDefault="005F30D2" w:rsidP="005F30D2">
      <w:pPr>
        <w:spacing w:before="120"/>
        <w:rPr>
          <w:rFonts w:eastAsia="宋体"/>
          <w:lang w:eastAsia="zh-CN"/>
        </w:rPr>
      </w:pPr>
      <w:r>
        <w:rPr>
          <w:lang w:eastAsia="zh-CN"/>
        </w:rPr>
        <w:t>The outcome metric is the SNR levels corresponding to 10% PDCCH BLER.</w:t>
      </w:r>
    </w:p>
    <w:p w14:paraId="0C3F8523" w14:textId="44E6979C" w:rsidR="001B0BA7" w:rsidRDefault="004553E9" w:rsidP="001B0BA7">
      <w:pPr>
        <w:pStyle w:val="1"/>
        <w:jc w:val="both"/>
        <w:rPr>
          <w:lang w:val="en-US"/>
        </w:rPr>
      </w:pPr>
      <w:r>
        <w:rPr>
          <w:lang w:val="en-US"/>
        </w:rPr>
        <w:t>Conclusion</w:t>
      </w:r>
    </w:p>
    <w:p w14:paraId="0A3CE9B4" w14:textId="7A691495" w:rsidR="00E768B6" w:rsidRDefault="00E768B6" w:rsidP="00E768B6">
      <w:pPr>
        <w:rPr>
          <w:lang w:eastAsia="zh-CN"/>
        </w:rPr>
      </w:pPr>
      <w:r>
        <w:rPr>
          <w:lang w:eastAsia="zh-CN"/>
        </w:rPr>
        <w:t>In this paper, we provided simulation assumptions for PDCCH performance for RLM</w:t>
      </w:r>
      <w:r w:rsidR="004553E9">
        <w:rPr>
          <w:lang w:eastAsia="zh-CN"/>
        </w:rPr>
        <w:t xml:space="preserve"> and BFD</w:t>
      </w:r>
      <w:r>
        <w:rPr>
          <w:lang w:eastAsia="zh-CN"/>
        </w:rPr>
        <w:t>. We suggest RAN4 to use the assumptions in Table 1</w:t>
      </w:r>
      <w:r w:rsidR="00186A9A">
        <w:rPr>
          <w:lang w:eastAsia="zh-CN"/>
        </w:rPr>
        <w:t xml:space="preserve"> and Table 2</w:t>
      </w:r>
      <w:r>
        <w:rPr>
          <w:lang w:eastAsia="zh-CN"/>
        </w:rPr>
        <w:t xml:space="preserve"> for the simulation evaluation.</w:t>
      </w:r>
    </w:p>
    <w:p w14:paraId="5B1FBA46" w14:textId="77777777" w:rsidR="004553E9" w:rsidRDefault="004553E9" w:rsidP="00E768B6">
      <w:pPr>
        <w:rPr>
          <w:lang w:eastAsia="zh-CN"/>
        </w:rPr>
      </w:pPr>
    </w:p>
    <w:p w14:paraId="40B13A33" w14:textId="77777777" w:rsidR="00B44104" w:rsidRPr="00B44104" w:rsidRDefault="00B44104" w:rsidP="00B44104">
      <w:pPr>
        <w:rPr>
          <w:rFonts w:eastAsia="宋体"/>
          <w:sz w:val="22"/>
          <w:szCs w:val="22"/>
          <w:lang w:eastAsia="zh-CN"/>
        </w:rPr>
      </w:pPr>
    </w:p>
    <w:sectPr w:rsidR="00B44104" w:rsidRPr="00B4410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DC24" w14:textId="77777777" w:rsidR="001E6F84" w:rsidRDefault="001E6F84">
      <w:r>
        <w:separator/>
      </w:r>
    </w:p>
  </w:endnote>
  <w:endnote w:type="continuationSeparator" w:id="0">
    <w:p w14:paraId="45CCBD13" w14:textId="77777777" w:rsidR="001E6F84" w:rsidRDefault="001E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459BC" w:rsidRDefault="002459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B3938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2459BC" w:rsidRDefault="002459B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03997" w14:textId="77777777" w:rsidR="001E6F84" w:rsidRDefault="001E6F84">
      <w:r>
        <w:separator/>
      </w:r>
    </w:p>
  </w:footnote>
  <w:footnote w:type="continuationSeparator" w:id="0">
    <w:p w14:paraId="465B7B9C" w14:textId="77777777" w:rsidR="001E6F84" w:rsidRDefault="001E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A80006"/>
    <w:multiLevelType w:val="hybridMultilevel"/>
    <w:tmpl w:val="11FAFC5E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  <w:num w:numId="13">
    <w:abstractNumId w:val="1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77A73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A9A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6F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0FF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1F1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3E9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0D2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8D9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1DDB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3938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7D1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8D8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1DE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68B6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8A2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3F19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5D6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98E231-AF10-458C-832B-FBD8209E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2021-10-22T13:30:00Z</dcterms:created>
  <dcterms:modified xsi:type="dcterms:W3CDTF">2021-10-22T13:30:00Z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(3)XcEYLtttJ46JRHeJrni9L2kH6rhPD9+8Vi0haEHM/6FA3Pz7/bG7TWUh6kEzyhnNwg/oW0eL
ECt0K4ARcUGXcTuwzuAacHWoAV63OzT3mCLzE3qWbElPnsV6oEHkscMJ6bkLilZ/mhxDtP+R
EfolvhMCXAXojCUK2kvZqhJc9ay9FVusl64PRGwhjCeWng4CaNTHTkFVClWzgjkEdpIFSKJp
SeAacx6r7ywitKppfC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JWoN5TGmny2GobCCJTTixAV66VEL3GkjJGRVRLMO1FaeQUoR1unWMZ
qHdWvQTd7IuXrhm/N7Jk9nZWUUQxGPTBJjWeb0/PfZ9vQKMkQQzWtbJV6XbMX6H+ZyuPrDzW
cGyo+thAOVXHkSx/cWZdi+zEGAwfgidBQP2kbaO35IbTQXpVgE2FlWI3pY15BpEWYm/VuNJK
+iw0rMfq8EcMH1rXFKpaIwEuZDCaBUBjMO+B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ZQumh2YkQUJiJiXNc2zwHKoIubyya26YA0sf
40NluahAgs1Q/uaN6bIzwk4cCFym/8d6E/Gj/5ruWUpnqUtiaqo=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