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FB0D05C"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1A0460">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AA7B02">
        <w:rPr>
          <w:b/>
          <w:noProof/>
          <w:sz w:val="24"/>
        </w:rPr>
        <w:t>7633</w:t>
      </w:r>
    </w:p>
    <w:p w14:paraId="5379D604" w14:textId="70A2C714"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A0460">
        <w:rPr>
          <w:rFonts w:ascii="Arial" w:hAnsi="Arial" w:cs="Arial"/>
          <w:b/>
          <w:sz w:val="24"/>
        </w:rPr>
        <w:t>November</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508A498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47042">
        <w:rPr>
          <w:rFonts w:ascii="Arial" w:hAnsi="Arial" w:cs="Arial"/>
          <w:b/>
        </w:rPr>
        <w:t xml:space="preserve">On enabling </w:t>
      </w:r>
      <w:r w:rsidR="00A17DA4">
        <w:rPr>
          <w:rFonts w:ascii="Arial" w:hAnsi="Arial" w:cs="Arial"/>
          <w:b/>
        </w:rPr>
        <w:t>23+26</w:t>
      </w:r>
      <w:r w:rsidR="00C47042">
        <w:rPr>
          <w:rFonts w:ascii="Arial" w:hAnsi="Arial" w:cs="Arial"/>
          <w:b/>
        </w:rPr>
        <w:t xml:space="preserve"> </w:t>
      </w:r>
      <w:r w:rsidR="00B61F79">
        <w:rPr>
          <w:rFonts w:ascii="Arial" w:hAnsi="Arial" w:cs="Arial"/>
          <w:b/>
        </w:rPr>
        <w:t xml:space="preserve">PC2 </w:t>
      </w:r>
      <w:r w:rsidR="00C47042">
        <w:rPr>
          <w:rFonts w:ascii="Arial" w:hAnsi="Arial" w:cs="Arial"/>
          <w:b/>
        </w:rPr>
        <w:t xml:space="preserve">UEs </w:t>
      </w:r>
      <w:r w:rsidR="00A17DA4">
        <w:rPr>
          <w:rFonts w:ascii="Arial" w:hAnsi="Arial" w:cs="Arial"/>
          <w:b/>
        </w:rPr>
        <w:t>for ULCA and ULCA+MIMO</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2EC4EB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D4FC4">
        <w:rPr>
          <w:rFonts w:ascii="Arial" w:hAnsi="Arial" w:cs="Arial"/>
          <w:b/>
        </w:rPr>
        <w:t>8.3.2.3</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064CC81" w:rsidR="00DC5180" w:rsidRPr="006905B0" w:rsidRDefault="0010618D" w:rsidP="000F7ECB">
      <w:pPr>
        <w:spacing w:after="60"/>
        <w:ind w:left="1985" w:hanging="1985"/>
        <w:rPr>
          <w:rFonts w:ascii="Arial" w:hAnsi="Arial" w:cs="Arial"/>
          <w:b/>
          <w:bCs/>
        </w:rPr>
      </w:pPr>
      <w:r w:rsidRPr="005E4466">
        <w:rPr>
          <w:rFonts w:ascii="Arial" w:hAnsi="Arial" w:cs="Arial"/>
          <w:b/>
        </w:rPr>
        <w:t>Work Item:</w:t>
      </w:r>
      <w:r w:rsidRPr="005E4466">
        <w:rPr>
          <w:rFonts w:ascii="Arial" w:hAnsi="Arial" w:cs="Arial"/>
          <w:b/>
        </w:rPr>
        <w:tab/>
      </w:r>
      <w:r w:rsidR="004658DF" w:rsidRPr="00A33EAB">
        <w:rPr>
          <w:rFonts w:ascii="Arial" w:hAnsi="Arial" w:cs="Arial"/>
          <w:sz w:val="18"/>
          <w:szCs w:val="18"/>
          <w:lang w:eastAsia="ja-JP"/>
        </w:rPr>
        <w:t>NR_RF_FR1_enh-Core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42C7B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C564F1">
        <w:rPr>
          <w:rFonts w:ascii="Arial" w:hAnsi="Arial" w:cs="Arial"/>
          <w:b/>
        </w:rPr>
        <w:t>A</w:t>
      </w:r>
      <w:r w:rsidR="00E770B3">
        <w:rPr>
          <w:rFonts w:ascii="Arial" w:hAnsi="Arial" w:cs="Arial"/>
          <w:b/>
        </w:rPr>
        <w:t>pproval</w:t>
      </w:r>
    </w:p>
    <w:p w14:paraId="5BDE04A3" w14:textId="77777777" w:rsidR="0045428D" w:rsidRDefault="000A567D" w:rsidP="002A1C01">
      <w:pPr>
        <w:pStyle w:val="Heading1"/>
      </w:pPr>
      <w:r>
        <w:t>1.</w:t>
      </w:r>
      <w:r>
        <w:tab/>
      </w:r>
      <w:r w:rsidR="002A1C01">
        <w:t>Introduction</w:t>
      </w:r>
    </w:p>
    <w:p w14:paraId="6F64D7D3" w14:textId="1AB2B1E2" w:rsidR="002B2323" w:rsidRPr="002E2724" w:rsidRDefault="0019102D" w:rsidP="002B2323">
      <w:pPr>
        <w:rPr>
          <w:rFonts w:ascii="Calibri" w:hAnsi="Calibri" w:cs="Calibri"/>
        </w:rPr>
      </w:pPr>
      <w:r>
        <w:rPr>
          <w:rFonts w:ascii="Calibri" w:hAnsi="Calibri" w:cs="Calibri"/>
        </w:rPr>
        <w:t>MPRs</w:t>
      </w:r>
      <w:r w:rsidR="00FC2354">
        <w:rPr>
          <w:rFonts w:ascii="Calibri" w:hAnsi="Calibri" w:cs="Calibri"/>
        </w:rPr>
        <w:t xml:space="preserve"> for </w:t>
      </w:r>
      <w:r>
        <w:rPr>
          <w:rFonts w:ascii="Calibri" w:hAnsi="Calibri" w:cs="Calibri"/>
        </w:rPr>
        <w:t xml:space="preserve">contiguous ULCA for </w:t>
      </w:r>
      <w:r w:rsidR="004227B7">
        <w:rPr>
          <w:rFonts w:ascii="Calibri" w:hAnsi="Calibri" w:cs="Calibri"/>
        </w:rPr>
        <w:t>2</w:t>
      </w:r>
      <w:r w:rsidR="004A2E88">
        <w:rPr>
          <w:rFonts w:ascii="Calibri" w:hAnsi="Calibri" w:cs="Calibri"/>
        </w:rPr>
        <w:t>-</w:t>
      </w:r>
      <w:r w:rsidR="004227B7">
        <w:rPr>
          <w:rFonts w:ascii="Calibri" w:hAnsi="Calibri" w:cs="Calibri"/>
        </w:rPr>
        <w:t>Tx PC2 U</w:t>
      </w:r>
      <w:r>
        <w:rPr>
          <w:rFonts w:ascii="Calibri" w:hAnsi="Calibri" w:cs="Calibri"/>
        </w:rPr>
        <w:t>Es were tentatively agreed in [1]</w:t>
      </w:r>
      <w:r w:rsidR="002532EE">
        <w:rPr>
          <w:rFonts w:ascii="Calibri" w:hAnsi="Calibri" w:cs="Calibri"/>
        </w:rPr>
        <w:t xml:space="preserve"> for 23+23 and 2</w:t>
      </w:r>
      <w:r w:rsidR="003D1382">
        <w:rPr>
          <w:rFonts w:ascii="Calibri" w:hAnsi="Calibri" w:cs="Calibri"/>
        </w:rPr>
        <w:t>6</w:t>
      </w:r>
      <w:r w:rsidR="002532EE">
        <w:rPr>
          <w:rFonts w:ascii="Calibri" w:hAnsi="Calibri" w:cs="Calibri"/>
        </w:rPr>
        <w:t xml:space="preserve">+36 implementations. In this contribution we determine </w:t>
      </w:r>
      <w:r w:rsidR="00E9505E">
        <w:rPr>
          <w:rFonts w:ascii="Calibri" w:hAnsi="Calibri" w:cs="Calibri"/>
        </w:rPr>
        <w:t>MPR applicability to 23+26 PC2 implementations.</w:t>
      </w:r>
    </w:p>
    <w:p w14:paraId="0AB8A81A" w14:textId="3F5F6C8F" w:rsidR="004E0CD1" w:rsidRDefault="000A567D" w:rsidP="004E0CD1">
      <w:pPr>
        <w:pStyle w:val="Heading1"/>
      </w:pPr>
      <w:r>
        <w:t xml:space="preserve">2. </w:t>
      </w:r>
      <w:r>
        <w:tab/>
      </w:r>
      <w:r w:rsidR="002A1C01">
        <w:t>Discussion</w:t>
      </w:r>
    </w:p>
    <w:p w14:paraId="4AD473C1" w14:textId="537FB68C" w:rsidR="00D721E0" w:rsidRDefault="00FC7CA5" w:rsidP="00D721E0">
      <w:r>
        <w:t xml:space="preserve">In the discussion below, </w:t>
      </w:r>
      <w:r w:rsidR="00AC37AA">
        <w:t xml:space="preserve">it is assumed that if a UE asserts </w:t>
      </w:r>
      <w:proofErr w:type="spellStart"/>
      <w:r w:rsidR="00AC37AA" w:rsidRPr="0006537E">
        <w:rPr>
          <w:i/>
          <w:iCs/>
        </w:rPr>
        <w:t>DualPA_architecture</w:t>
      </w:r>
      <w:proofErr w:type="spellEnd"/>
      <w:r w:rsidR="00AC37AA">
        <w:t xml:space="preserve"> </w:t>
      </w:r>
      <w:r w:rsidR="00166BCB">
        <w:t>the network interprets that the UE uses multiple</w:t>
      </w:r>
      <w:r w:rsidR="00AC37AA">
        <w:t xml:space="preserve"> Tx chains</w:t>
      </w:r>
      <w:r w:rsidR="00166BCB">
        <w:t>, each</w:t>
      </w:r>
      <w:r w:rsidR="00AC37AA">
        <w:t xml:space="preserve"> tuned to</w:t>
      </w:r>
      <w:r w:rsidR="0007561B">
        <w:t xml:space="preserve"> a</w:t>
      </w:r>
      <w:r w:rsidR="00AC37AA">
        <w:t xml:space="preserve"> different frequenc</w:t>
      </w:r>
      <w:r w:rsidR="0007561B">
        <w:t>y.</w:t>
      </w:r>
      <w:r w:rsidR="005B4D86">
        <w:t xml:space="preserve"> </w:t>
      </w:r>
      <w:proofErr w:type="gramStart"/>
      <w:r w:rsidR="005B4D86">
        <w:t>i.e.</w:t>
      </w:r>
      <w:proofErr w:type="gramEnd"/>
      <w:r w:rsidR="005B4D86">
        <w:t xml:space="preserve"> There are multiple LO leakage locations</w:t>
      </w:r>
      <w:r w:rsidR="004612A9">
        <w:t xml:space="preserve"> in the UL</w:t>
      </w:r>
      <w:r w:rsidR="005B4D86">
        <w:t>, one per Tx chain.</w:t>
      </w:r>
      <w:r w:rsidR="00931BF0">
        <w:t xml:space="preserve"> A BW-challenged PA is one whose bandwidth is less than that of the </w:t>
      </w:r>
      <w:r w:rsidR="003453C0">
        <w:t>CA configuration it helps support.</w:t>
      </w:r>
    </w:p>
    <w:p w14:paraId="4036DD45" w14:textId="5CF42753" w:rsidR="005E2448" w:rsidRDefault="005E2448" w:rsidP="00D721E0">
      <w:r>
        <w:t>Similarly</w:t>
      </w:r>
      <w:r w:rsidR="00D91E74">
        <w:t>,</w:t>
      </w:r>
      <w:r>
        <w:t xml:space="preserve"> </w:t>
      </w:r>
      <w:r w:rsidR="00880948">
        <w:t xml:space="preserve">if a UE asserts </w:t>
      </w:r>
      <w:proofErr w:type="spellStart"/>
      <w:r w:rsidR="00880948">
        <w:t>TxD</w:t>
      </w:r>
      <w:proofErr w:type="spellEnd"/>
      <w:r w:rsidR="00880948">
        <w:t xml:space="preserve">, the network interprets that the UE uses multiple Tx chains, </w:t>
      </w:r>
      <w:r w:rsidR="005F003F">
        <w:t>all of them</w:t>
      </w:r>
      <w:r w:rsidR="00880948">
        <w:t xml:space="preserve"> tuned to </w:t>
      </w:r>
      <w:r w:rsidR="005F003F">
        <w:t>the same</w:t>
      </w:r>
      <w:r w:rsidR="00880948">
        <w:t xml:space="preserve"> frequency. </w:t>
      </w:r>
      <w:proofErr w:type="gramStart"/>
      <w:r w:rsidR="00880948">
        <w:t>i.e.</w:t>
      </w:r>
      <w:proofErr w:type="gramEnd"/>
      <w:r w:rsidR="00880948">
        <w:t xml:space="preserve"> There </w:t>
      </w:r>
      <w:r w:rsidR="00D91E74">
        <w:t>is a single</w:t>
      </w:r>
      <w:r w:rsidR="00880948">
        <w:t xml:space="preserve"> LO leakage location in the UL.</w:t>
      </w:r>
    </w:p>
    <w:p w14:paraId="1D958E2B" w14:textId="3808407A" w:rsidR="00EF2E24" w:rsidRPr="00D721E0" w:rsidRDefault="00EF2E24" w:rsidP="00D721E0">
      <w:r>
        <w:t>Finally, ‘MPR’ refers to intra-band CA MPR</w:t>
      </w:r>
      <w:r w:rsidR="00CF3966">
        <w:t xml:space="preserve"> unless otherwise stated.</w:t>
      </w:r>
    </w:p>
    <w:p w14:paraId="650F7A8A" w14:textId="523AFB89" w:rsidR="001F4A5A" w:rsidRPr="00F12AF0" w:rsidRDefault="001F4A5A" w:rsidP="00F12AF0">
      <w:pPr>
        <w:pStyle w:val="Heading2"/>
      </w:pPr>
      <w:r w:rsidRPr="00F12AF0">
        <w:t>2.</w:t>
      </w:r>
      <w:r w:rsidR="008C5F5F">
        <w:t>1</w:t>
      </w:r>
      <w:r w:rsidRPr="00F12AF0">
        <w:tab/>
      </w:r>
      <w:r w:rsidR="0026696F">
        <w:t xml:space="preserve">23+26 </w:t>
      </w:r>
      <w:r w:rsidR="001845D5">
        <w:t xml:space="preserve">Contig. </w:t>
      </w:r>
      <w:r w:rsidR="0026696F">
        <w:t>ULCA</w:t>
      </w:r>
    </w:p>
    <w:p w14:paraId="652A93FA" w14:textId="52C91EBE" w:rsidR="00510BEE" w:rsidRDefault="00510BEE" w:rsidP="00E803B7">
      <w:pPr>
        <w:spacing w:after="0"/>
      </w:pPr>
    </w:p>
    <w:tbl>
      <w:tblPr>
        <w:tblStyle w:val="TableGrid"/>
        <w:tblW w:w="8049" w:type="dxa"/>
        <w:tblInd w:w="1080" w:type="dxa"/>
        <w:tblLook w:val="04A0" w:firstRow="1" w:lastRow="0" w:firstColumn="1" w:lastColumn="0" w:noHBand="0" w:noVBand="1"/>
      </w:tblPr>
      <w:tblGrid>
        <w:gridCol w:w="583"/>
        <w:gridCol w:w="2858"/>
        <w:gridCol w:w="4608"/>
      </w:tblGrid>
      <w:tr w:rsidR="004612A9" w14:paraId="54EE7AED" w14:textId="77777777" w:rsidTr="004612A9">
        <w:tc>
          <w:tcPr>
            <w:tcW w:w="583" w:type="dxa"/>
          </w:tcPr>
          <w:p w14:paraId="60E39576" w14:textId="77777777" w:rsidR="000C232F" w:rsidRDefault="000C232F" w:rsidP="000C232F">
            <w:pPr>
              <w:spacing w:after="0"/>
            </w:pPr>
          </w:p>
        </w:tc>
        <w:tc>
          <w:tcPr>
            <w:tcW w:w="2858" w:type="dxa"/>
          </w:tcPr>
          <w:p w14:paraId="15E9B09A" w14:textId="5C94208E" w:rsidR="000C232F" w:rsidRDefault="00936DF1" w:rsidP="000C232F">
            <w:pPr>
              <w:spacing w:after="0"/>
            </w:pPr>
            <w:proofErr w:type="spellStart"/>
            <w:r w:rsidRPr="0006537E">
              <w:rPr>
                <w:i/>
                <w:iCs/>
              </w:rPr>
              <w:t>DualPA_architecture</w:t>
            </w:r>
            <w:proofErr w:type="spellEnd"/>
            <w:r>
              <w:t xml:space="preserve"> asserted </w:t>
            </w:r>
            <w:r w:rsidR="00B24B80">
              <w:t>(BW-challenged PAs)</w:t>
            </w:r>
          </w:p>
        </w:tc>
        <w:tc>
          <w:tcPr>
            <w:tcW w:w="4608" w:type="dxa"/>
          </w:tcPr>
          <w:p w14:paraId="4128CA87" w14:textId="06B8A201" w:rsidR="000C232F" w:rsidRDefault="00337D56" w:rsidP="000C232F">
            <w:pPr>
              <w:spacing w:after="0"/>
            </w:pPr>
            <w:r>
              <w:t xml:space="preserve">No </w:t>
            </w:r>
            <w:proofErr w:type="spellStart"/>
            <w:r w:rsidR="00936DF1" w:rsidRPr="0006537E">
              <w:rPr>
                <w:i/>
                <w:iCs/>
              </w:rPr>
              <w:t>DualPA_architecture</w:t>
            </w:r>
            <w:proofErr w:type="spellEnd"/>
            <w:r w:rsidR="00936DF1">
              <w:t xml:space="preserve"> </w:t>
            </w:r>
            <w:r w:rsidR="00B24B80">
              <w:t>(full</w:t>
            </w:r>
            <w:r w:rsidR="00EC3FB1">
              <w:t>-</w:t>
            </w:r>
            <w:r w:rsidR="00B24B80">
              <w:t>BW PAs)</w:t>
            </w:r>
          </w:p>
        </w:tc>
      </w:tr>
      <w:tr w:rsidR="004612A9" w14:paraId="4C05B948" w14:textId="77777777" w:rsidTr="009A63C7">
        <w:tc>
          <w:tcPr>
            <w:tcW w:w="583" w:type="dxa"/>
          </w:tcPr>
          <w:p w14:paraId="5BEEC6CA" w14:textId="079EC612" w:rsidR="000C232F" w:rsidRDefault="00337D56" w:rsidP="000C232F">
            <w:pPr>
              <w:spacing w:after="0"/>
            </w:pPr>
            <w:proofErr w:type="spellStart"/>
            <w:r>
              <w:t>TxD</w:t>
            </w:r>
            <w:proofErr w:type="spellEnd"/>
          </w:p>
        </w:tc>
        <w:tc>
          <w:tcPr>
            <w:tcW w:w="2858" w:type="dxa"/>
            <w:shd w:val="clear" w:color="auto" w:fill="D9D9D9" w:themeFill="background1" w:themeFillShade="D9"/>
          </w:tcPr>
          <w:p w14:paraId="724D146A" w14:textId="7E555122" w:rsidR="000C232F" w:rsidRDefault="008900C8" w:rsidP="000C232F">
            <w:pPr>
              <w:spacing w:after="0"/>
            </w:pPr>
            <w:r>
              <w:t>N/A</w:t>
            </w:r>
            <w:r w:rsidR="00AF61C9">
              <w:t xml:space="preserve"> – Invalid configuration</w:t>
            </w:r>
          </w:p>
        </w:tc>
        <w:tc>
          <w:tcPr>
            <w:tcW w:w="4608" w:type="dxa"/>
          </w:tcPr>
          <w:p w14:paraId="38BFB9F7" w14:textId="7AACFDB0" w:rsidR="00211081" w:rsidRDefault="009C75D5" w:rsidP="000C232F">
            <w:pPr>
              <w:spacing w:after="0"/>
            </w:pPr>
            <w:r>
              <w:t xml:space="preserve">Logically, MPRs </w:t>
            </w:r>
            <w:r w:rsidR="009D21B7">
              <w:t xml:space="preserve">for 23+26 PC2 </w:t>
            </w:r>
            <w:r>
              <w:t xml:space="preserve">are </w:t>
            </w:r>
            <w:r w:rsidR="00817F82">
              <w:t>lower-</w:t>
            </w:r>
            <w:r>
              <w:t xml:space="preserve">bounded by </w:t>
            </w:r>
            <w:r w:rsidR="00664BF9">
              <w:t xml:space="preserve">26+26 </w:t>
            </w:r>
            <w:r w:rsidR="009D21B7">
              <w:t xml:space="preserve">PC2 </w:t>
            </w:r>
            <w:r w:rsidR="00664BF9">
              <w:t xml:space="preserve">MPRs and </w:t>
            </w:r>
            <w:r w:rsidR="00817F82">
              <w:t xml:space="preserve">upper-bounded </w:t>
            </w:r>
            <w:r w:rsidR="00C42C6E">
              <w:t xml:space="preserve">by </w:t>
            </w:r>
            <w:r w:rsidR="00664BF9">
              <w:t xml:space="preserve">23+23 </w:t>
            </w:r>
            <w:r w:rsidR="009D21B7">
              <w:t xml:space="preserve">PC2 </w:t>
            </w:r>
            <w:r w:rsidR="00664BF9">
              <w:t xml:space="preserve">MPRs. The differences are </w:t>
            </w:r>
            <w:r w:rsidR="004A5E12">
              <w:t>[0-1] dB</w:t>
            </w:r>
            <w:r w:rsidR="00C42C6E">
              <w:t>, per [1]</w:t>
            </w:r>
            <w:r w:rsidR="004A5E12">
              <w:t>.</w:t>
            </w:r>
          </w:p>
          <w:p w14:paraId="02C9AC9F" w14:textId="77777777" w:rsidR="00211081" w:rsidRDefault="00211081" w:rsidP="000C232F">
            <w:pPr>
              <w:spacing w:after="0"/>
            </w:pPr>
          </w:p>
          <w:p w14:paraId="121508F7" w14:textId="72FB30C5" w:rsidR="009E466B" w:rsidRDefault="00DB4D13" w:rsidP="000C232F">
            <w:pPr>
              <w:spacing w:after="0"/>
            </w:pPr>
            <w:r>
              <w:t>For reduction of fragmentation</w:t>
            </w:r>
            <w:r w:rsidR="00BC3B55">
              <w:t xml:space="preserve"> over the many implementations possible</w:t>
            </w:r>
            <w:r>
              <w:t xml:space="preserve">, </w:t>
            </w:r>
            <w:r w:rsidR="00215AE9">
              <w:t xml:space="preserve">a safe choice is to re-use </w:t>
            </w:r>
            <w:r w:rsidR="00215AE9" w:rsidRPr="00DA48C7">
              <w:rPr>
                <w:highlight w:val="yellow"/>
              </w:rPr>
              <w:t>23+23 MPRs</w:t>
            </w:r>
            <w:r w:rsidR="00215AE9">
              <w:t xml:space="preserve"> </w:t>
            </w:r>
            <w:r w:rsidR="00AA443D">
              <w:t>for 23+26 PC2</w:t>
            </w:r>
          </w:p>
        </w:tc>
      </w:tr>
      <w:tr w:rsidR="004612A9" w14:paraId="6FBE6060" w14:textId="77777777" w:rsidTr="004612A9">
        <w:tc>
          <w:tcPr>
            <w:tcW w:w="583" w:type="dxa"/>
          </w:tcPr>
          <w:p w14:paraId="12A1D8EC" w14:textId="28240309" w:rsidR="000C232F" w:rsidRDefault="00337D56" w:rsidP="000C232F">
            <w:pPr>
              <w:spacing w:after="0"/>
            </w:pPr>
            <w:r>
              <w:t xml:space="preserve">No </w:t>
            </w:r>
            <w:proofErr w:type="spellStart"/>
            <w:r>
              <w:t>TxD</w:t>
            </w:r>
            <w:proofErr w:type="spellEnd"/>
          </w:p>
        </w:tc>
        <w:tc>
          <w:tcPr>
            <w:tcW w:w="2858" w:type="dxa"/>
          </w:tcPr>
          <w:p w14:paraId="660BA070" w14:textId="6C73D305" w:rsidR="000C232F" w:rsidRDefault="00863C74" w:rsidP="000C232F">
            <w:pPr>
              <w:spacing w:after="0"/>
            </w:pPr>
            <w:r>
              <w:t xml:space="preserve">UE </w:t>
            </w:r>
            <w:r w:rsidR="00261E86">
              <w:t>assigns 23 PA to one carrier and 26 PA to the second. PA swapping needed</w:t>
            </w:r>
            <w:r w:rsidR="00CB730D">
              <w:t xml:space="preserve">, </w:t>
            </w:r>
            <w:r w:rsidR="00CB730D" w:rsidRPr="00CB730D">
              <w:rPr>
                <w:highlight w:val="yellow"/>
              </w:rPr>
              <w:t>may not be practical as a UE</w:t>
            </w:r>
          </w:p>
        </w:tc>
        <w:tc>
          <w:tcPr>
            <w:tcW w:w="4608" w:type="dxa"/>
          </w:tcPr>
          <w:p w14:paraId="6716C632" w14:textId="0D09D273" w:rsidR="000C232F" w:rsidRDefault="00DA48C7" w:rsidP="000C232F">
            <w:pPr>
              <w:spacing w:after="0"/>
            </w:pPr>
            <w:r>
              <w:t>T</w:t>
            </w:r>
            <w:r w:rsidR="003F27CC">
              <w:t xml:space="preserve">his UE only uses the 26 </w:t>
            </w:r>
            <w:proofErr w:type="gramStart"/>
            <w:r w:rsidR="003F27CC">
              <w:t>branch</w:t>
            </w:r>
            <w:proofErr w:type="gramEnd"/>
            <w:r w:rsidR="003F27CC">
              <w:t xml:space="preserve"> (no </w:t>
            </w:r>
            <w:proofErr w:type="spellStart"/>
            <w:r w:rsidR="003F27CC">
              <w:t>TxD</w:t>
            </w:r>
            <w:proofErr w:type="spellEnd"/>
            <w:r w:rsidR="003F27CC">
              <w:t xml:space="preserve">), so it would use the </w:t>
            </w:r>
            <w:r w:rsidR="003F27CC" w:rsidRPr="00883E82">
              <w:rPr>
                <w:highlight w:val="yellow"/>
              </w:rPr>
              <w:t>1</w:t>
            </w:r>
            <w:r w:rsidR="00B61F79">
              <w:rPr>
                <w:highlight w:val="yellow"/>
              </w:rPr>
              <w:t>-</w:t>
            </w:r>
            <w:r w:rsidR="003F27CC" w:rsidRPr="00883E82">
              <w:rPr>
                <w:highlight w:val="yellow"/>
              </w:rPr>
              <w:t>Tx CA MPRs</w:t>
            </w:r>
          </w:p>
        </w:tc>
      </w:tr>
    </w:tbl>
    <w:p w14:paraId="3EF7B895" w14:textId="2F1B06E5" w:rsidR="000C232F" w:rsidRDefault="000C232F" w:rsidP="000C232F">
      <w:pPr>
        <w:spacing w:after="0"/>
        <w:ind w:left="1080"/>
      </w:pPr>
    </w:p>
    <w:p w14:paraId="3AE44639" w14:textId="7B3C1751" w:rsidR="00DA48C7" w:rsidRDefault="00506845" w:rsidP="00DA48C7">
      <w:pPr>
        <w:spacing w:after="0"/>
      </w:pPr>
      <w:r>
        <w:t>There are 3 valid variants, based on</w:t>
      </w:r>
      <w:r w:rsidR="00996F36">
        <w:t xml:space="preserve"> state of</w:t>
      </w:r>
      <w:r>
        <w:t xml:space="preserve"> </w:t>
      </w:r>
      <w:proofErr w:type="spellStart"/>
      <w:r>
        <w:t>TxD</w:t>
      </w:r>
      <w:proofErr w:type="spellEnd"/>
      <w:r>
        <w:t xml:space="preserve"> and </w:t>
      </w:r>
      <w:proofErr w:type="spellStart"/>
      <w:r w:rsidR="00BB4BDE" w:rsidRPr="0006537E">
        <w:rPr>
          <w:i/>
          <w:iCs/>
        </w:rPr>
        <w:t>DualPA_architecture</w:t>
      </w:r>
      <w:proofErr w:type="spellEnd"/>
      <w:r w:rsidR="00936DF1">
        <w:t>.</w:t>
      </w:r>
      <w:r w:rsidR="00BB4BDE">
        <w:t xml:space="preserve"> Of these</w:t>
      </w:r>
      <w:r w:rsidR="00996F36">
        <w:t xml:space="preserve"> 3 combinations</w:t>
      </w:r>
      <w:r w:rsidR="00BB4BDE">
        <w:t xml:space="preserve">, </w:t>
      </w:r>
      <w:r w:rsidR="00143C3E">
        <w:t xml:space="preserve">it appears that there is no practical </w:t>
      </w:r>
      <w:r w:rsidR="00996F36">
        <w:t xml:space="preserve">UE </w:t>
      </w:r>
      <w:r w:rsidR="00143C3E">
        <w:t xml:space="preserve">implementation </w:t>
      </w:r>
      <w:r w:rsidR="000B75A9">
        <w:t>with bandwidth-challenged PAs</w:t>
      </w:r>
      <w:r w:rsidR="00996F36">
        <w:t>, due to reliance on PA swapping</w:t>
      </w:r>
      <w:r w:rsidR="000B75A9">
        <w:t xml:space="preserve">. With full-BW PAs, </w:t>
      </w:r>
      <w:r w:rsidR="00CF00DE">
        <w:t xml:space="preserve">however, </w:t>
      </w:r>
      <w:r w:rsidR="000B75A9">
        <w:t xml:space="preserve">the UEs </w:t>
      </w:r>
      <w:r w:rsidR="00CF5C4E">
        <w:t xml:space="preserve">would use </w:t>
      </w:r>
      <w:r w:rsidR="00A915D4">
        <w:t>the same</w:t>
      </w:r>
      <w:r w:rsidR="00CF5C4E">
        <w:t xml:space="preserve"> MPRs </w:t>
      </w:r>
      <w:r w:rsidR="00A915D4">
        <w:t xml:space="preserve">used by a 23+23 </w:t>
      </w:r>
      <w:r w:rsidR="0022490A">
        <w:t xml:space="preserve">UE for contiguous ULCA </w:t>
      </w:r>
      <w:r w:rsidR="00CF5C4E">
        <w:t xml:space="preserve">if </w:t>
      </w:r>
      <w:proofErr w:type="spellStart"/>
      <w:r w:rsidR="00CF00DE">
        <w:t>T</w:t>
      </w:r>
      <w:r w:rsidR="00CF5C4E">
        <w:t>xD</w:t>
      </w:r>
      <w:proofErr w:type="spellEnd"/>
      <w:r w:rsidR="00CF5C4E">
        <w:t xml:space="preserve"> is asserted and 1 Tx CA MPRs if </w:t>
      </w:r>
      <w:proofErr w:type="spellStart"/>
      <w:r w:rsidR="00CF00DE">
        <w:t>TxD</w:t>
      </w:r>
      <w:proofErr w:type="spellEnd"/>
      <w:r w:rsidR="00CF00DE">
        <w:t xml:space="preserve"> </w:t>
      </w:r>
      <w:r w:rsidR="00CF5C4E">
        <w:t>is not asserted.</w:t>
      </w:r>
    </w:p>
    <w:p w14:paraId="3E21B944" w14:textId="2ECD2F22" w:rsidR="00CF5C4E" w:rsidRDefault="00CF5C4E" w:rsidP="00DA48C7">
      <w:pPr>
        <w:spacing w:after="0"/>
      </w:pPr>
    </w:p>
    <w:p w14:paraId="780BECE3" w14:textId="53790812" w:rsidR="0028052F" w:rsidRPr="00CF00DE" w:rsidRDefault="0028052F" w:rsidP="0028052F">
      <w:pPr>
        <w:spacing w:after="0"/>
        <w:rPr>
          <w:b/>
          <w:bCs/>
        </w:rPr>
      </w:pPr>
      <w:r w:rsidRPr="00CF00DE">
        <w:rPr>
          <w:b/>
          <w:bCs/>
        </w:rPr>
        <w:lastRenderedPageBreak/>
        <w:t xml:space="preserve">Proposal 1: </w:t>
      </w:r>
      <w:r>
        <w:rPr>
          <w:b/>
          <w:bCs/>
        </w:rPr>
        <w:t xml:space="preserve">For contiguous UL CA, CA MPRs applicable to </w:t>
      </w:r>
      <w:r w:rsidRPr="00CF00DE">
        <w:rPr>
          <w:b/>
          <w:bCs/>
        </w:rPr>
        <w:t xml:space="preserve">23+26 </w:t>
      </w:r>
      <w:r>
        <w:rPr>
          <w:b/>
          <w:bCs/>
        </w:rPr>
        <w:t xml:space="preserve">PC2 </w:t>
      </w:r>
      <w:r w:rsidRPr="00CF00DE">
        <w:rPr>
          <w:b/>
          <w:bCs/>
        </w:rPr>
        <w:t xml:space="preserve">UEs </w:t>
      </w:r>
      <w:r>
        <w:rPr>
          <w:b/>
          <w:bCs/>
        </w:rPr>
        <w:t xml:space="preserve">depend on state of </w:t>
      </w:r>
      <w:proofErr w:type="spellStart"/>
      <w:r>
        <w:rPr>
          <w:b/>
          <w:bCs/>
        </w:rPr>
        <w:t>TxD</w:t>
      </w:r>
      <w:proofErr w:type="spellEnd"/>
      <w:r>
        <w:rPr>
          <w:b/>
          <w:bCs/>
        </w:rPr>
        <w:t xml:space="preserve">. If </w:t>
      </w:r>
      <w:proofErr w:type="spellStart"/>
      <w:r>
        <w:rPr>
          <w:b/>
          <w:bCs/>
        </w:rPr>
        <w:t>TxD</w:t>
      </w:r>
      <w:proofErr w:type="spellEnd"/>
      <w:r>
        <w:rPr>
          <w:b/>
          <w:bCs/>
        </w:rPr>
        <w:t xml:space="preserve"> is asserted, </w:t>
      </w:r>
      <w:r w:rsidRPr="00CF00DE">
        <w:rPr>
          <w:b/>
          <w:bCs/>
        </w:rPr>
        <w:t xml:space="preserve">the </w:t>
      </w:r>
      <w:r>
        <w:rPr>
          <w:b/>
          <w:bCs/>
        </w:rPr>
        <w:t xml:space="preserve">CA </w:t>
      </w:r>
      <w:r w:rsidRPr="00CF00DE">
        <w:rPr>
          <w:b/>
          <w:bCs/>
        </w:rPr>
        <w:t xml:space="preserve">MPRs </w:t>
      </w:r>
      <w:r w:rsidR="00DC3316">
        <w:rPr>
          <w:b/>
          <w:bCs/>
        </w:rPr>
        <w:t>for</w:t>
      </w:r>
      <w:r w:rsidRPr="00CF00DE">
        <w:rPr>
          <w:b/>
          <w:bCs/>
        </w:rPr>
        <w:t xml:space="preserve"> the 23+23 </w:t>
      </w:r>
      <w:r>
        <w:rPr>
          <w:b/>
          <w:bCs/>
        </w:rPr>
        <w:t xml:space="preserve">PC2 </w:t>
      </w:r>
      <w:r w:rsidRPr="00CF00DE">
        <w:rPr>
          <w:b/>
          <w:bCs/>
        </w:rPr>
        <w:t xml:space="preserve">variant </w:t>
      </w:r>
      <w:r>
        <w:rPr>
          <w:b/>
          <w:bCs/>
        </w:rPr>
        <w:t xml:space="preserve">are applicable and </w:t>
      </w:r>
      <w:r w:rsidRPr="00CF00DE">
        <w:rPr>
          <w:b/>
          <w:bCs/>
        </w:rPr>
        <w:t xml:space="preserve">if </w:t>
      </w:r>
      <w:proofErr w:type="spellStart"/>
      <w:r w:rsidRPr="00CF00DE">
        <w:rPr>
          <w:b/>
          <w:bCs/>
        </w:rPr>
        <w:t>TxD</w:t>
      </w:r>
      <w:proofErr w:type="spellEnd"/>
      <w:r w:rsidRPr="00CF00DE">
        <w:rPr>
          <w:b/>
          <w:bCs/>
        </w:rPr>
        <w:t xml:space="preserve"> is </w:t>
      </w:r>
      <w:r>
        <w:rPr>
          <w:b/>
          <w:bCs/>
        </w:rPr>
        <w:t xml:space="preserve">not </w:t>
      </w:r>
      <w:r w:rsidRPr="00CF00DE">
        <w:rPr>
          <w:b/>
          <w:bCs/>
        </w:rPr>
        <w:t xml:space="preserve">asserted </w:t>
      </w:r>
      <w:r>
        <w:rPr>
          <w:b/>
          <w:bCs/>
        </w:rPr>
        <w:t xml:space="preserve">the CA MPRs </w:t>
      </w:r>
      <w:r w:rsidR="00DC3316">
        <w:rPr>
          <w:b/>
          <w:bCs/>
        </w:rPr>
        <w:t>for the</w:t>
      </w:r>
      <w:r w:rsidRPr="00CF00DE">
        <w:rPr>
          <w:b/>
          <w:bCs/>
        </w:rPr>
        <w:t xml:space="preserve"> 1Tx PC2</w:t>
      </w:r>
      <w:r>
        <w:rPr>
          <w:b/>
          <w:bCs/>
        </w:rPr>
        <w:t xml:space="preserve"> variant are applicable</w:t>
      </w:r>
      <w:r w:rsidRPr="00CF00DE">
        <w:rPr>
          <w:b/>
          <w:bCs/>
        </w:rPr>
        <w:t>.</w:t>
      </w:r>
    </w:p>
    <w:p w14:paraId="636AADC1" w14:textId="6434B5A2" w:rsidR="00B82E45" w:rsidRPr="00B82E45" w:rsidRDefault="001845D5" w:rsidP="00B82E45">
      <w:pPr>
        <w:pStyle w:val="Heading2"/>
      </w:pPr>
      <w:r w:rsidRPr="00F12AF0">
        <w:t>2.</w:t>
      </w:r>
      <w:r w:rsidR="008C5F5F">
        <w:t>2</w:t>
      </w:r>
      <w:r w:rsidRPr="00F12AF0">
        <w:tab/>
      </w:r>
      <w:r>
        <w:t>23+26 ULCA +</w:t>
      </w:r>
      <w:r w:rsidR="00B61F79">
        <w:t xml:space="preserve"> </w:t>
      </w:r>
      <w:r>
        <w:t>ULMIMO</w:t>
      </w:r>
    </w:p>
    <w:p w14:paraId="1C0AB818" w14:textId="6FAC4C42" w:rsidR="001845D5" w:rsidRDefault="00F95BEB" w:rsidP="00F95BEB">
      <w:pPr>
        <w:spacing w:after="0"/>
      </w:pPr>
      <w:r>
        <w:t xml:space="preserve">Per </w:t>
      </w:r>
      <w:r w:rsidR="009F6010">
        <w:t xml:space="preserve">the RAN1 power control equation, when the UE is configured for 2 SRS ports, </w:t>
      </w:r>
      <w:r w:rsidR="00E91161">
        <w:t xml:space="preserve">and scheduled for rank2 transmission, </w:t>
      </w:r>
      <w:r w:rsidR="00506BB0">
        <w:t xml:space="preserve">each port is limited to </w:t>
      </w:r>
      <w:proofErr w:type="spellStart"/>
      <w:r w:rsidR="00506BB0">
        <w:t>P</w:t>
      </w:r>
      <w:r w:rsidR="00506BB0" w:rsidRPr="00725698">
        <w:rPr>
          <w:vertAlign w:val="subscript"/>
        </w:rPr>
        <w:t>p</w:t>
      </w:r>
      <w:r w:rsidR="00725698" w:rsidRPr="00725698">
        <w:rPr>
          <w:vertAlign w:val="subscript"/>
        </w:rPr>
        <w:t>o</w:t>
      </w:r>
      <w:r w:rsidR="00506BB0" w:rsidRPr="00725698">
        <w:rPr>
          <w:vertAlign w:val="subscript"/>
        </w:rPr>
        <w:t>werclass</w:t>
      </w:r>
      <w:proofErr w:type="spellEnd"/>
      <w:r w:rsidR="00506BB0">
        <w:t xml:space="preserve"> - 3 </w:t>
      </w:r>
      <w:proofErr w:type="spellStart"/>
      <w:r w:rsidR="00506BB0">
        <w:t>dB</w:t>
      </w:r>
      <w:r w:rsidR="0070005E">
        <w:t>.</w:t>
      </w:r>
      <w:proofErr w:type="spellEnd"/>
      <w:r w:rsidR="0070005E">
        <w:t xml:space="preserve"> </w:t>
      </w:r>
      <w:r w:rsidR="00725698">
        <w:t xml:space="preserve">Each ‘port’ is limited to 23 dBm, so a </w:t>
      </w:r>
      <w:r w:rsidR="0070005E">
        <w:t>23+26</w:t>
      </w:r>
      <w:r w:rsidR="00725698">
        <w:t xml:space="preserve"> implementation</w:t>
      </w:r>
      <w:r w:rsidR="0070005E">
        <w:t xml:space="preserve"> can support rank 2 PC2 without the need for PA swapping.</w:t>
      </w:r>
    </w:p>
    <w:p w14:paraId="58F03893" w14:textId="12B74A41" w:rsidR="00127417" w:rsidRDefault="00127417" w:rsidP="00F95BEB">
      <w:pPr>
        <w:spacing w:after="0"/>
      </w:pPr>
    </w:p>
    <w:p w14:paraId="1CA853D7" w14:textId="0FD7A69E" w:rsidR="00127417" w:rsidRPr="00725698" w:rsidRDefault="00127417" w:rsidP="00EC2742">
      <w:pPr>
        <w:spacing w:after="0"/>
        <w:rPr>
          <w:b/>
          <w:bCs/>
        </w:rPr>
      </w:pPr>
      <w:r w:rsidRPr="00725698">
        <w:rPr>
          <w:b/>
          <w:bCs/>
        </w:rPr>
        <w:t xml:space="preserve">Observation 1: PA swapping is not needed by 23+26 </w:t>
      </w:r>
      <w:r w:rsidR="00447475">
        <w:rPr>
          <w:b/>
          <w:bCs/>
        </w:rPr>
        <w:t xml:space="preserve">PC2 </w:t>
      </w:r>
      <w:r w:rsidRPr="00725698">
        <w:rPr>
          <w:b/>
          <w:bCs/>
        </w:rPr>
        <w:t>UEs for any feature that involves rank 2 UL.</w:t>
      </w:r>
    </w:p>
    <w:p w14:paraId="1B0C719D" w14:textId="77777777" w:rsidR="00EC2742" w:rsidRDefault="00EC2742" w:rsidP="005F3C9F"/>
    <w:p w14:paraId="6ED728D2" w14:textId="3F4C2C3F" w:rsidR="00E54500" w:rsidRDefault="00725698" w:rsidP="00EC2742">
      <w:pPr>
        <w:spacing w:after="100" w:afterAutospacing="1"/>
      </w:pPr>
      <w:r>
        <w:t>Further</w:t>
      </w:r>
      <w:r w:rsidR="00621B32">
        <w:t xml:space="preserve">more, </w:t>
      </w:r>
      <w:r w:rsidR="00EB4465">
        <w:t>it was</w:t>
      </w:r>
      <w:r w:rsidR="00621B32">
        <w:t xml:space="preserve"> </w:t>
      </w:r>
      <w:r w:rsidR="00962656">
        <w:t>established</w:t>
      </w:r>
      <w:r w:rsidR="00EB4465">
        <w:t xml:space="preserve"> [1]</w:t>
      </w:r>
      <w:r w:rsidR="00962656">
        <w:t xml:space="preserve"> that </w:t>
      </w:r>
      <w:r w:rsidR="005F3C9F">
        <w:t xml:space="preserve">PC2 2Tx contiguous ULCA MPR is the same for </w:t>
      </w:r>
      <w:r w:rsidR="005F3C9F" w:rsidRPr="0016472C">
        <w:t xml:space="preserve">UL </w:t>
      </w:r>
      <w:proofErr w:type="spellStart"/>
      <w:r w:rsidR="005F3C9F" w:rsidRPr="0016472C">
        <w:t>CA+TxD</w:t>
      </w:r>
      <w:proofErr w:type="spellEnd"/>
      <w:r w:rsidR="005F3C9F" w:rsidRPr="0016472C">
        <w:t xml:space="preserve"> or ULCA+ULMIMO for </w:t>
      </w:r>
      <w:r w:rsidR="005F3C9F">
        <w:t>the same architectur</w:t>
      </w:r>
      <w:r w:rsidR="00B31CC4">
        <w:t>e</w:t>
      </w:r>
      <w:r w:rsidR="00E649A1">
        <w:t xml:space="preserve">. </w:t>
      </w:r>
      <w:r w:rsidR="00B31CC4">
        <w:t xml:space="preserve"> </w:t>
      </w:r>
      <w:proofErr w:type="spellStart"/>
      <w:r w:rsidR="006A0FB1">
        <w:t>ULCA+TxD</w:t>
      </w:r>
      <w:proofErr w:type="spellEnd"/>
      <w:r w:rsidR="006A0FB1">
        <w:t xml:space="preserve"> MPR </w:t>
      </w:r>
      <w:r w:rsidR="00EB4465">
        <w:t xml:space="preserve">for 23+26 PC2 </w:t>
      </w:r>
      <w:r w:rsidR="006A0FB1">
        <w:t xml:space="preserve">was </w:t>
      </w:r>
      <w:r w:rsidR="00D00860">
        <w:t>proposed</w:t>
      </w:r>
      <w:r w:rsidR="006A0FB1">
        <w:t xml:space="preserve"> in section 2.1</w:t>
      </w:r>
      <w:r w:rsidR="00D00860">
        <w:t xml:space="preserve"> as </w:t>
      </w:r>
      <w:r w:rsidR="006E65FF">
        <w:t>being identical to 23+23 UL contiguous CA MPR</w:t>
      </w:r>
      <w:r w:rsidR="006A0FB1">
        <w:t xml:space="preserve">, and this MPR </w:t>
      </w:r>
      <w:r w:rsidR="00E54500">
        <w:t xml:space="preserve">would </w:t>
      </w:r>
      <w:r w:rsidR="00C94F92">
        <w:t xml:space="preserve">therefore </w:t>
      </w:r>
      <w:r w:rsidR="00E54500">
        <w:t>apply to 2</w:t>
      </w:r>
      <w:r w:rsidR="00D832C3">
        <w:t>3+26 ULCA+ULMIMO</w:t>
      </w:r>
      <w:r w:rsidR="000D20B1">
        <w:t>.</w:t>
      </w:r>
    </w:p>
    <w:p w14:paraId="1808226B" w14:textId="1F8A7D45" w:rsidR="000A375A" w:rsidRDefault="000A375A" w:rsidP="000A375A">
      <w:pPr>
        <w:rPr>
          <w:b/>
          <w:bCs/>
        </w:rPr>
      </w:pPr>
      <w:r w:rsidRPr="0016472C">
        <w:rPr>
          <w:b/>
          <w:bCs/>
        </w:rPr>
        <w:t>Proposal 2:</w:t>
      </w:r>
      <w:r w:rsidR="00684102">
        <w:rPr>
          <w:b/>
          <w:bCs/>
        </w:rPr>
        <w:t xml:space="preserve"> T</w:t>
      </w:r>
      <w:r w:rsidRPr="0016472C">
        <w:rPr>
          <w:b/>
          <w:bCs/>
        </w:rPr>
        <w:t xml:space="preserve">he </w:t>
      </w:r>
      <w:r w:rsidR="007C5278">
        <w:rPr>
          <w:b/>
          <w:bCs/>
        </w:rPr>
        <w:t xml:space="preserve">UL contiguous CA </w:t>
      </w:r>
      <w:r w:rsidRPr="0016472C">
        <w:rPr>
          <w:b/>
          <w:bCs/>
        </w:rPr>
        <w:t xml:space="preserve">MPRs </w:t>
      </w:r>
      <w:r w:rsidR="007C5278">
        <w:rPr>
          <w:b/>
          <w:bCs/>
        </w:rPr>
        <w:t>applicable to the 23+23 PC2</w:t>
      </w:r>
      <w:r w:rsidRPr="0016472C">
        <w:rPr>
          <w:b/>
          <w:bCs/>
        </w:rPr>
        <w:t xml:space="preserve"> variant </w:t>
      </w:r>
      <w:r w:rsidR="007C5278">
        <w:rPr>
          <w:b/>
          <w:bCs/>
        </w:rPr>
        <w:t>are also</w:t>
      </w:r>
      <w:r>
        <w:rPr>
          <w:b/>
          <w:bCs/>
        </w:rPr>
        <w:t xml:space="preserve"> applicable to the 23+26</w:t>
      </w:r>
      <w:r w:rsidR="006E65FF">
        <w:rPr>
          <w:b/>
          <w:bCs/>
        </w:rPr>
        <w:t xml:space="preserve"> PC2</w:t>
      </w:r>
      <w:r>
        <w:rPr>
          <w:b/>
          <w:bCs/>
        </w:rPr>
        <w:t xml:space="preserve"> UEs</w:t>
      </w:r>
      <w:r w:rsidR="007C5278">
        <w:rPr>
          <w:b/>
          <w:bCs/>
        </w:rPr>
        <w:t xml:space="preserve"> </w:t>
      </w:r>
      <w:r w:rsidR="00684102">
        <w:rPr>
          <w:b/>
          <w:bCs/>
        </w:rPr>
        <w:t>f</w:t>
      </w:r>
      <w:r w:rsidR="00684102" w:rsidRPr="0016472C">
        <w:rPr>
          <w:b/>
          <w:bCs/>
        </w:rPr>
        <w:t>or contiguous UL CA + MIMO</w:t>
      </w:r>
      <w:r w:rsidRPr="0016472C">
        <w:rPr>
          <w:b/>
          <w:bCs/>
        </w:rPr>
        <w:t>.</w:t>
      </w:r>
    </w:p>
    <w:p w14:paraId="7E839BF9" w14:textId="77777777" w:rsidR="00BF00EB" w:rsidRPr="00F12AF0" w:rsidRDefault="00BF00EB" w:rsidP="00BF00EB">
      <w:pPr>
        <w:pStyle w:val="Heading2"/>
      </w:pPr>
      <w:r w:rsidRPr="00F12AF0">
        <w:t>2.</w:t>
      </w:r>
      <w:r>
        <w:t>3</w:t>
      </w:r>
      <w:r w:rsidRPr="00F12AF0">
        <w:tab/>
      </w:r>
      <w:r>
        <w:t>23+26 NC ULCA?</w:t>
      </w:r>
    </w:p>
    <w:p w14:paraId="102B9FAC" w14:textId="7253D2D6" w:rsidR="0072770E" w:rsidRDefault="0072770E" w:rsidP="00BF00EB">
      <w:pPr>
        <w:spacing w:after="0"/>
      </w:pPr>
      <w:r>
        <w:t xml:space="preserve">In the NC CA case, the </w:t>
      </w:r>
      <w:r w:rsidR="00F57ADE">
        <w:t xml:space="preserve">BW capability of the PA is judged relative to the declared frequency separation class. </w:t>
      </w:r>
    </w:p>
    <w:p w14:paraId="14CC53A1" w14:textId="7DB112F0" w:rsidR="007A505A" w:rsidRDefault="007A505A" w:rsidP="00BF00EB">
      <w:pPr>
        <w:spacing w:after="0"/>
      </w:pPr>
    </w:p>
    <w:tbl>
      <w:tblPr>
        <w:tblStyle w:val="TableGrid"/>
        <w:tblW w:w="8049" w:type="dxa"/>
        <w:tblInd w:w="1080" w:type="dxa"/>
        <w:tblLook w:val="04A0" w:firstRow="1" w:lastRow="0" w:firstColumn="1" w:lastColumn="0" w:noHBand="0" w:noVBand="1"/>
      </w:tblPr>
      <w:tblGrid>
        <w:gridCol w:w="583"/>
        <w:gridCol w:w="2858"/>
        <w:gridCol w:w="4608"/>
      </w:tblGrid>
      <w:tr w:rsidR="007A505A" w14:paraId="03CFF225" w14:textId="77777777" w:rsidTr="00020D90">
        <w:tc>
          <w:tcPr>
            <w:tcW w:w="583" w:type="dxa"/>
          </w:tcPr>
          <w:p w14:paraId="185F50F9" w14:textId="77777777" w:rsidR="007A505A" w:rsidRDefault="007A505A" w:rsidP="00020D90">
            <w:pPr>
              <w:spacing w:after="0"/>
            </w:pPr>
          </w:p>
        </w:tc>
        <w:tc>
          <w:tcPr>
            <w:tcW w:w="2858" w:type="dxa"/>
          </w:tcPr>
          <w:p w14:paraId="1BB21B0E" w14:textId="77777777" w:rsidR="007A505A" w:rsidRDefault="007A505A" w:rsidP="00020D90">
            <w:pPr>
              <w:spacing w:after="0"/>
            </w:pPr>
            <w:proofErr w:type="spellStart"/>
            <w:r w:rsidRPr="0006537E">
              <w:rPr>
                <w:i/>
                <w:iCs/>
              </w:rPr>
              <w:t>DualPA_architecture</w:t>
            </w:r>
            <w:proofErr w:type="spellEnd"/>
            <w:r>
              <w:t xml:space="preserve"> asserted (BW-challenged PAs)</w:t>
            </w:r>
          </w:p>
        </w:tc>
        <w:tc>
          <w:tcPr>
            <w:tcW w:w="4608" w:type="dxa"/>
          </w:tcPr>
          <w:p w14:paraId="1AC49D36" w14:textId="77777777" w:rsidR="007A505A" w:rsidRDefault="007A505A" w:rsidP="00020D90">
            <w:pPr>
              <w:spacing w:after="0"/>
            </w:pPr>
            <w:r>
              <w:t xml:space="preserve">No </w:t>
            </w:r>
            <w:proofErr w:type="spellStart"/>
            <w:r w:rsidRPr="0006537E">
              <w:rPr>
                <w:i/>
                <w:iCs/>
              </w:rPr>
              <w:t>DualPA_architecture</w:t>
            </w:r>
            <w:proofErr w:type="spellEnd"/>
            <w:r>
              <w:t xml:space="preserve"> (full-BW PAs)</w:t>
            </w:r>
          </w:p>
        </w:tc>
      </w:tr>
      <w:tr w:rsidR="007A505A" w14:paraId="036B3C88" w14:textId="77777777" w:rsidTr="00020D90">
        <w:tc>
          <w:tcPr>
            <w:tcW w:w="583" w:type="dxa"/>
          </w:tcPr>
          <w:p w14:paraId="5B891A88" w14:textId="77777777" w:rsidR="007A505A" w:rsidRDefault="007A505A" w:rsidP="00020D90">
            <w:pPr>
              <w:spacing w:after="0"/>
            </w:pPr>
            <w:proofErr w:type="spellStart"/>
            <w:r>
              <w:t>TxD</w:t>
            </w:r>
            <w:proofErr w:type="spellEnd"/>
          </w:p>
        </w:tc>
        <w:tc>
          <w:tcPr>
            <w:tcW w:w="2858" w:type="dxa"/>
            <w:shd w:val="clear" w:color="auto" w:fill="D9D9D9" w:themeFill="background1" w:themeFillShade="D9"/>
          </w:tcPr>
          <w:p w14:paraId="35CBA9E0" w14:textId="77777777" w:rsidR="007A505A" w:rsidRDefault="007A505A" w:rsidP="00020D90">
            <w:pPr>
              <w:spacing w:after="0"/>
            </w:pPr>
            <w:r>
              <w:t>N/A – Invalid configuration</w:t>
            </w:r>
          </w:p>
        </w:tc>
        <w:tc>
          <w:tcPr>
            <w:tcW w:w="4608" w:type="dxa"/>
          </w:tcPr>
          <w:p w14:paraId="0C477943" w14:textId="7B1676CE" w:rsidR="007A505A" w:rsidRDefault="001933CC" w:rsidP="00020D90">
            <w:pPr>
              <w:spacing w:after="0"/>
            </w:pPr>
            <w:r>
              <w:t xml:space="preserve">MPRs applicable for this design will depend partially on </w:t>
            </w:r>
            <w:r w:rsidR="009C5BBC">
              <w:t>1-</w:t>
            </w:r>
            <w:r>
              <w:t xml:space="preserve">Tx NC ULCA MPRs that are being discussed separately. </w:t>
            </w:r>
          </w:p>
          <w:p w14:paraId="2D03BCB5" w14:textId="4B9CA80D" w:rsidR="007A505A" w:rsidRDefault="007A505A" w:rsidP="00020D90">
            <w:pPr>
              <w:spacing w:after="0"/>
            </w:pPr>
            <w:r w:rsidRPr="00DA48C7">
              <w:rPr>
                <w:highlight w:val="yellow"/>
              </w:rPr>
              <w:t xml:space="preserve"> MPR</w:t>
            </w:r>
            <w:r w:rsidR="009C5BBC">
              <w:rPr>
                <w:highlight w:val="yellow"/>
              </w:rPr>
              <w:t xml:space="preserve"> is FFS</w:t>
            </w:r>
            <w:r>
              <w:t xml:space="preserve"> </w:t>
            </w:r>
          </w:p>
        </w:tc>
      </w:tr>
      <w:tr w:rsidR="007A505A" w14:paraId="30E27C38" w14:textId="77777777" w:rsidTr="00020D90">
        <w:tc>
          <w:tcPr>
            <w:tcW w:w="583" w:type="dxa"/>
          </w:tcPr>
          <w:p w14:paraId="43FDD98A" w14:textId="77777777" w:rsidR="007A505A" w:rsidRDefault="007A505A" w:rsidP="00020D90">
            <w:pPr>
              <w:spacing w:after="0"/>
            </w:pPr>
            <w:r>
              <w:t xml:space="preserve">No </w:t>
            </w:r>
            <w:proofErr w:type="spellStart"/>
            <w:r>
              <w:t>TxD</w:t>
            </w:r>
            <w:proofErr w:type="spellEnd"/>
          </w:p>
        </w:tc>
        <w:tc>
          <w:tcPr>
            <w:tcW w:w="2858" w:type="dxa"/>
          </w:tcPr>
          <w:p w14:paraId="7C8F5C72" w14:textId="77777777" w:rsidR="007A505A" w:rsidRDefault="007A505A" w:rsidP="00020D90">
            <w:pPr>
              <w:spacing w:after="0"/>
            </w:pPr>
            <w:r>
              <w:t xml:space="preserve">UE assigns 23 PA to one carrier and 26 PA to the second. PA swapping needed, </w:t>
            </w:r>
            <w:r w:rsidRPr="00CB730D">
              <w:rPr>
                <w:highlight w:val="yellow"/>
              </w:rPr>
              <w:t>may not be practical as a UE</w:t>
            </w:r>
          </w:p>
        </w:tc>
        <w:tc>
          <w:tcPr>
            <w:tcW w:w="4608" w:type="dxa"/>
          </w:tcPr>
          <w:p w14:paraId="22DA6F09" w14:textId="59FF725A" w:rsidR="007A505A" w:rsidRDefault="007A505A" w:rsidP="00020D90">
            <w:pPr>
              <w:spacing w:after="0"/>
            </w:pPr>
            <w:r>
              <w:t xml:space="preserve">This UE only uses the 26 </w:t>
            </w:r>
            <w:proofErr w:type="gramStart"/>
            <w:r>
              <w:t>branch</w:t>
            </w:r>
            <w:proofErr w:type="gramEnd"/>
            <w:r>
              <w:t xml:space="preserve"> (no </w:t>
            </w:r>
            <w:proofErr w:type="spellStart"/>
            <w:r>
              <w:t>TxD</w:t>
            </w:r>
            <w:proofErr w:type="spellEnd"/>
            <w:r>
              <w:t xml:space="preserve">), so it would use the </w:t>
            </w:r>
            <w:r w:rsidRPr="002B79CC">
              <w:t xml:space="preserve">1-Tx </w:t>
            </w:r>
            <w:r w:rsidR="009C5BBC" w:rsidRPr="002B79CC">
              <w:t xml:space="preserve">NC </w:t>
            </w:r>
            <w:r w:rsidRPr="002B79CC">
              <w:t>CA MPRs</w:t>
            </w:r>
            <w:r w:rsidR="0009269C">
              <w:t xml:space="preserve"> that are being discussed separately</w:t>
            </w:r>
          </w:p>
        </w:tc>
      </w:tr>
    </w:tbl>
    <w:p w14:paraId="0D307E05" w14:textId="77777777" w:rsidR="007A505A" w:rsidRDefault="007A505A" w:rsidP="00BF00EB">
      <w:pPr>
        <w:spacing w:after="0"/>
      </w:pPr>
    </w:p>
    <w:p w14:paraId="4856ABD9" w14:textId="77777777" w:rsidR="00F57ADE" w:rsidRDefault="00F57ADE" w:rsidP="00BF00EB">
      <w:pPr>
        <w:spacing w:after="0"/>
      </w:pPr>
    </w:p>
    <w:p w14:paraId="3B4B9ABF" w14:textId="3DEA4F47" w:rsidR="00910FD9" w:rsidRDefault="007D7555" w:rsidP="00BF00EB">
      <w:pPr>
        <w:spacing w:after="0"/>
      </w:pPr>
      <w:r>
        <w:t>MPR determination of viable variants require completion of 1-Tx NC CA MPRs, so this section cannot be completed yet</w:t>
      </w:r>
      <w:r w:rsidR="0072770E">
        <w:t xml:space="preserve">. </w:t>
      </w:r>
    </w:p>
    <w:p w14:paraId="1872A3BF" w14:textId="29884D60" w:rsidR="00BF00EB" w:rsidRPr="00F12AF0" w:rsidRDefault="00BF00EB" w:rsidP="00BF00EB">
      <w:pPr>
        <w:pStyle w:val="Heading2"/>
      </w:pPr>
      <w:r w:rsidRPr="00F12AF0">
        <w:t>2.</w:t>
      </w:r>
      <w:r>
        <w:t>4</w:t>
      </w:r>
      <w:r w:rsidRPr="00F12AF0">
        <w:tab/>
      </w:r>
      <w:r>
        <w:t>Applicability of requirements</w:t>
      </w:r>
    </w:p>
    <w:p w14:paraId="01009DB9" w14:textId="6EC31FDB" w:rsidR="00BF00EB" w:rsidRDefault="00E46149" w:rsidP="00BF00EB">
      <w:pPr>
        <w:spacing w:after="0"/>
      </w:pPr>
      <w:r>
        <w:t xml:space="preserve">The standard </w:t>
      </w:r>
      <w:r w:rsidR="00AA7321">
        <w:t>specifies</w:t>
      </w:r>
      <w:r w:rsidR="00E075E7">
        <w:t xml:space="preserve"> in</w:t>
      </w:r>
      <w:r w:rsidR="00625B51">
        <w:t xml:space="preserve"> sub-clause</w:t>
      </w:r>
      <w:r w:rsidR="00E075E7">
        <w:t xml:space="preserve"> 4.3 that </w:t>
      </w:r>
      <w:r w:rsidR="008D6B96">
        <w:t xml:space="preserve">if </w:t>
      </w:r>
      <w:r w:rsidR="000B3990">
        <w:t xml:space="preserve">a UE that elects to support features A through F, it must comply with </w:t>
      </w:r>
      <w:r w:rsidR="009229A2">
        <w:t xml:space="preserve">the </w:t>
      </w:r>
      <w:r w:rsidR="002A0089">
        <w:t>requirements for th</w:t>
      </w:r>
      <w:r w:rsidR="00AA7321">
        <w:t>ose</w:t>
      </w:r>
      <w:r w:rsidR="002A0089">
        <w:t xml:space="preserve"> feature</w:t>
      </w:r>
      <w:r w:rsidR="00AA7321">
        <w:t>s</w:t>
      </w:r>
      <w:r w:rsidR="002A0089">
        <w:t xml:space="preserve"> in addition to the </w:t>
      </w:r>
      <w:r w:rsidR="009229A2">
        <w:t>suffix-</w:t>
      </w:r>
      <w:proofErr w:type="gramStart"/>
      <w:r w:rsidR="009229A2">
        <w:t>less</w:t>
      </w:r>
      <w:proofErr w:type="gramEnd"/>
      <w:r w:rsidR="009229A2">
        <w:t xml:space="preserve"> general requirements</w:t>
      </w:r>
      <w:r w:rsidR="00BF00EB">
        <w:t xml:space="preserve">. </w:t>
      </w:r>
      <w:r w:rsidR="00F167CB">
        <w:t xml:space="preserve">This understanding must be generalized for the ULCA+MIMO case. </w:t>
      </w:r>
    </w:p>
    <w:p w14:paraId="5497986E" w14:textId="4C0FF401" w:rsidR="00F167CB" w:rsidRDefault="00557E7D" w:rsidP="00557E7D">
      <w:pPr>
        <w:spacing w:after="0"/>
        <w:jc w:val="center"/>
      </w:pPr>
      <w:r>
        <w:rPr>
          <w:noProof/>
        </w:rPr>
        <w:drawing>
          <wp:inline distT="0" distB="0" distL="0" distR="0" wp14:anchorId="1B109704" wp14:editId="62459A4E">
            <wp:extent cx="2433637" cy="1668666"/>
            <wp:effectExtent l="152400" t="152400" r="367030" b="3702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2438771" cy="1672186"/>
                    </a:xfrm>
                    <a:prstGeom prst="rect">
                      <a:avLst/>
                    </a:prstGeom>
                    <a:ln>
                      <a:noFill/>
                    </a:ln>
                    <a:effectLst>
                      <a:outerShdw blurRad="292100" dist="139700" dir="2700000" algn="tl" rotWithShape="0">
                        <a:srgbClr val="333333">
                          <a:alpha val="65000"/>
                        </a:srgbClr>
                      </a:outerShdw>
                    </a:effectLst>
                  </pic:spPr>
                </pic:pic>
              </a:graphicData>
            </a:graphic>
          </wp:inline>
        </w:drawing>
      </w:r>
    </w:p>
    <w:p w14:paraId="6B4B43A6" w14:textId="4384E382" w:rsidR="004541D0" w:rsidRDefault="00F167CB" w:rsidP="00BF00EB">
      <w:pPr>
        <w:spacing w:after="0"/>
      </w:pPr>
      <w:r>
        <w:t xml:space="preserve">Signaling design </w:t>
      </w:r>
      <w:r w:rsidR="00905106">
        <w:t xml:space="preserve">shows that a UE signals ability to </w:t>
      </w:r>
      <w:r w:rsidR="00507608">
        <w:t xml:space="preserve">support CA+ULMIMO </w:t>
      </w:r>
      <w:r w:rsidR="00095532">
        <w:t xml:space="preserve">by declaring support for </w:t>
      </w:r>
      <w:r w:rsidR="00E25C1F">
        <w:t xml:space="preserve">an </w:t>
      </w:r>
      <w:r w:rsidR="00095532">
        <w:t xml:space="preserve">intra-band CA BW class, </w:t>
      </w:r>
      <w:r w:rsidR="00E25C1F">
        <w:t>followed by</w:t>
      </w:r>
      <w:r w:rsidR="00095532">
        <w:t xml:space="preserve"> the ability to </w:t>
      </w:r>
      <w:r w:rsidR="00905106">
        <w:t xml:space="preserve">be configured for </w:t>
      </w:r>
      <w:r w:rsidR="002D0FAD">
        <w:t>2</w:t>
      </w:r>
      <w:r w:rsidR="00AA7321">
        <w:t>-</w:t>
      </w:r>
      <w:r w:rsidR="002D0FAD">
        <w:t xml:space="preserve">layer for each CC in </w:t>
      </w:r>
      <w:r w:rsidR="00095532">
        <w:t>the</w:t>
      </w:r>
      <w:r w:rsidR="002D0FAD">
        <w:t xml:space="preserve"> CA combination</w:t>
      </w:r>
      <w:r w:rsidR="00095532">
        <w:t xml:space="preserve">. </w:t>
      </w:r>
      <w:r w:rsidR="00436192">
        <w:t xml:space="preserve">This design means </w:t>
      </w:r>
      <w:r w:rsidR="00436192">
        <w:lastRenderedPageBreak/>
        <w:t xml:space="preserve">that </w:t>
      </w:r>
      <w:r w:rsidR="00AC0950">
        <w:t xml:space="preserve">both, </w:t>
      </w:r>
      <w:r w:rsidR="00436192">
        <w:t>rank1</w:t>
      </w:r>
      <w:r w:rsidR="009D5617">
        <w:t xml:space="preserve"> CA </w:t>
      </w:r>
      <w:r w:rsidR="00AC0950">
        <w:t>and</w:t>
      </w:r>
      <w:r w:rsidR="009D5617">
        <w:t xml:space="preserve"> </w:t>
      </w:r>
      <w:r w:rsidR="00436192">
        <w:t>rank2</w:t>
      </w:r>
      <w:r w:rsidR="009D5617">
        <w:t xml:space="preserve"> single carrier </w:t>
      </w:r>
      <w:r w:rsidR="00B77D21">
        <w:t>UL MIMO</w:t>
      </w:r>
      <w:r w:rsidR="00436192">
        <w:t xml:space="preserve"> are subset</w:t>
      </w:r>
      <w:r w:rsidR="00AC0950">
        <w:t>-</w:t>
      </w:r>
      <w:r w:rsidR="00436192">
        <w:t xml:space="preserve"> or fallback</w:t>
      </w:r>
      <w:r w:rsidR="00AC0950">
        <w:t>-</w:t>
      </w:r>
      <w:r w:rsidR="00436192">
        <w:t>capabilities</w:t>
      </w:r>
      <w:r w:rsidR="00B77D21">
        <w:t xml:space="preserve">. The </w:t>
      </w:r>
      <w:r w:rsidR="004541D0">
        <w:t xml:space="preserve">requirement </w:t>
      </w:r>
      <w:r w:rsidR="00F70161">
        <w:t>applicability</w:t>
      </w:r>
      <w:r w:rsidR="004541D0">
        <w:t xml:space="preserve"> is thus:</w:t>
      </w:r>
      <w:r w:rsidR="00E33DAB">
        <w:t xml:space="preserve"> if a UE supports </w:t>
      </w:r>
      <w:r w:rsidR="00DC578F">
        <w:t xml:space="preserve">feature ‘H’, </w:t>
      </w:r>
      <w:r w:rsidR="00334DAC">
        <w:t xml:space="preserve">in addition to requirements in section ‘H’, </w:t>
      </w:r>
      <w:r w:rsidR="00DC578F">
        <w:t xml:space="preserve">it must separately comply with </w:t>
      </w:r>
      <w:r w:rsidR="008A2812">
        <w:t xml:space="preserve">general </w:t>
      </w:r>
      <w:proofErr w:type="gramStart"/>
      <w:r w:rsidR="00DC578F">
        <w:t>requirements</w:t>
      </w:r>
      <w:r w:rsidR="00C769A7">
        <w:t xml:space="preserve">, </w:t>
      </w:r>
      <w:r w:rsidR="00B039FF">
        <w:t xml:space="preserve"> </w:t>
      </w:r>
      <w:r w:rsidR="002D52F4">
        <w:t>as</w:t>
      </w:r>
      <w:proofErr w:type="gramEnd"/>
      <w:r w:rsidR="002D52F4">
        <w:t xml:space="preserve"> well as requirements</w:t>
      </w:r>
      <w:r w:rsidR="00B039FF">
        <w:t xml:space="preserve"> sections </w:t>
      </w:r>
      <w:r w:rsidR="00DC578F">
        <w:t>‘A’ and ‘D’</w:t>
      </w:r>
      <w:r w:rsidR="00A65333">
        <w:t>.</w:t>
      </w:r>
    </w:p>
    <w:p w14:paraId="607B0186" w14:textId="77777777" w:rsidR="004541D0" w:rsidRDefault="004541D0" w:rsidP="00BF00EB">
      <w:pPr>
        <w:spacing w:after="0"/>
      </w:pPr>
    </w:p>
    <w:p w14:paraId="102266F4" w14:textId="1602BDA0" w:rsidR="00F167CB" w:rsidRPr="00D0439C" w:rsidRDefault="00D0439C" w:rsidP="00BF00EB">
      <w:pPr>
        <w:spacing w:after="0"/>
        <w:rPr>
          <w:b/>
          <w:bCs/>
        </w:rPr>
      </w:pPr>
      <w:r w:rsidRPr="00D0439C">
        <w:rPr>
          <w:b/>
          <w:bCs/>
        </w:rPr>
        <w:t>Proposal</w:t>
      </w:r>
      <w:r w:rsidR="009407C8">
        <w:rPr>
          <w:b/>
          <w:bCs/>
        </w:rPr>
        <w:t xml:space="preserve"> 3</w:t>
      </w:r>
      <w:r w:rsidR="00436192" w:rsidRPr="00D0439C">
        <w:rPr>
          <w:b/>
          <w:bCs/>
        </w:rPr>
        <w:t>: If a UE supports</w:t>
      </w:r>
      <w:r w:rsidR="00506FD9" w:rsidRPr="00D0439C">
        <w:rPr>
          <w:b/>
          <w:bCs/>
        </w:rPr>
        <w:t xml:space="preserve"> the ULCA+MIMO feature, </w:t>
      </w:r>
      <w:r w:rsidR="008A72E7">
        <w:rPr>
          <w:b/>
          <w:bCs/>
        </w:rPr>
        <w:t xml:space="preserve">in addition to meeting </w:t>
      </w:r>
      <w:r w:rsidR="008A72E7" w:rsidRPr="00D0439C">
        <w:rPr>
          <w:b/>
          <w:bCs/>
        </w:rPr>
        <w:t xml:space="preserve">the </w:t>
      </w:r>
      <w:r w:rsidR="00504C61">
        <w:rPr>
          <w:b/>
          <w:bCs/>
        </w:rPr>
        <w:t xml:space="preserve">feature’s </w:t>
      </w:r>
      <w:r w:rsidR="008A72E7" w:rsidRPr="00D0439C">
        <w:rPr>
          <w:b/>
          <w:bCs/>
        </w:rPr>
        <w:t xml:space="preserve">requirements </w:t>
      </w:r>
      <w:r w:rsidR="00ED41F3">
        <w:rPr>
          <w:b/>
          <w:bCs/>
        </w:rPr>
        <w:t>(suffix ‘H’)</w:t>
      </w:r>
      <w:r w:rsidR="008A72E7">
        <w:rPr>
          <w:b/>
          <w:bCs/>
        </w:rPr>
        <w:t xml:space="preserve">, </w:t>
      </w:r>
      <w:r w:rsidR="00506FD9" w:rsidRPr="00D0439C">
        <w:rPr>
          <w:b/>
          <w:bCs/>
        </w:rPr>
        <w:t>it must meet the general requirements</w:t>
      </w:r>
      <w:r w:rsidR="001B5793">
        <w:rPr>
          <w:b/>
          <w:bCs/>
        </w:rPr>
        <w:t xml:space="preserve"> </w:t>
      </w:r>
      <w:r w:rsidR="008A72E7">
        <w:rPr>
          <w:b/>
          <w:bCs/>
        </w:rPr>
        <w:t>as well as</w:t>
      </w:r>
      <w:r w:rsidR="00A75FD1" w:rsidRPr="00D0439C">
        <w:rPr>
          <w:b/>
          <w:bCs/>
        </w:rPr>
        <w:t xml:space="preserve"> the requirements </w:t>
      </w:r>
      <w:r w:rsidR="005B7216">
        <w:rPr>
          <w:b/>
          <w:bCs/>
        </w:rPr>
        <w:t>for ULCA</w:t>
      </w:r>
      <w:r w:rsidR="002A0295">
        <w:rPr>
          <w:b/>
          <w:bCs/>
        </w:rPr>
        <w:t xml:space="preserve"> (suffix ‘A’)</w:t>
      </w:r>
      <w:r w:rsidR="00ED41F3">
        <w:rPr>
          <w:b/>
          <w:bCs/>
        </w:rPr>
        <w:t xml:space="preserve"> and the requirements for ULMIMO (suffix ‘D’)</w:t>
      </w:r>
      <w:r w:rsidR="001B5793">
        <w:rPr>
          <w:b/>
          <w:bCs/>
        </w:rPr>
        <w:t>.</w:t>
      </w:r>
    </w:p>
    <w:p w14:paraId="547097FD" w14:textId="77777777" w:rsidR="00BF00EB" w:rsidRDefault="00BF00EB" w:rsidP="005F3C9F">
      <w:pPr>
        <w:rPr>
          <w:lang w:val="en-US" w:eastAsia="en-US"/>
        </w:rPr>
      </w:pPr>
    </w:p>
    <w:p w14:paraId="59D47AB3" w14:textId="77777777" w:rsidR="001F4A5A" w:rsidRDefault="001F4A5A" w:rsidP="001F4A5A">
      <w:pPr>
        <w:pStyle w:val="Heading1"/>
      </w:pPr>
      <w:r>
        <w:t xml:space="preserve">3. </w:t>
      </w:r>
      <w:r>
        <w:tab/>
        <w:t>Conclusion</w:t>
      </w:r>
    </w:p>
    <w:p w14:paraId="15027113" w14:textId="7F528649" w:rsidR="00D51DCC" w:rsidRDefault="00D51DCC" w:rsidP="00D51DCC">
      <w:pPr>
        <w:spacing w:after="0"/>
        <w:rPr>
          <w:b/>
          <w:bCs/>
        </w:rPr>
      </w:pPr>
      <w:r w:rsidRPr="00CF00DE">
        <w:rPr>
          <w:b/>
          <w:bCs/>
        </w:rPr>
        <w:t xml:space="preserve">Proposal 1: </w:t>
      </w:r>
      <w:r>
        <w:rPr>
          <w:b/>
          <w:bCs/>
        </w:rPr>
        <w:t xml:space="preserve">For contiguous UL CA, CA MPRs applicable to </w:t>
      </w:r>
      <w:r w:rsidRPr="00CF00DE">
        <w:rPr>
          <w:b/>
          <w:bCs/>
        </w:rPr>
        <w:t xml:space="preserve">23+26 </w:t>
      </w:r>
      <w:r>
        <w:rPr>
          <w:b/>
          <w:bCs/>
        </w:rPr>
        <w:t xml:space="preserve">PC2 </w:t>
      </w:r>
      <w:r w:rsidRPr="00CF00DE">
        <w:rPr>
          <w:b/>
          <w:bCs/>
        </w:rPr>
        <w:t xml:space="preserve">UEs </w:t>
      </w:r>
      <w:r>
        <w:rPr>
          <w:b/>
          <w:bCs/>
        </w:rPr>
        <w:t xml:space="preserve">depend on state of </w:t>
      </w:r>
      <w:proofErr w:type="spellStart"/>
      <w:r>
        <w:rPr>
          <w:b/>
          <w:bCs/>
        </w:rPr>
        <w:t>TxD</w:t>
      </w:r>
      <w:proofErr w:type="spellEnd"/>
      <w:r>
        <w:rPr>
          <w:b/>
          <w:bCs/>
        </w:rPr>
        <w:t xml:space="preserve">. If </w:t>
      </w:r>
      <w:proofErr w:type="spellStart"/>
      <w:r>
        <w:rPr>
          <w:b/>
          <w:bCs/>
        </w:rPr>
        <w:t>TxD</w:t>
      </w:r>
      <w:proofErr w:type="spellEnd"/>
      <w:r>
        <w:rPr>
          <w:b/>
          <w:bCs/>
        </w:rPr>
        <w:t xml:space="preserve"> is asserted, </w:t>
      </w:r>
      <w:r w:rsidRPr="00CF00DE">
        <w:rPr>
          <w:b/>
          <w:bCs/>
        </w:rPr>
        <w:t xml:space="preserve">the </w:t>
      </w:r>
      <w:r>
        <w:rPr>
          <w:b/>
          <w:bCs/>
        </w:rPr>
        <w:t xml:space="preserve">CA </w:t>
      </w:r>
      <w:r w:rsidRPr="00CF00DE">
        <w:rPr>
          <w:b/>
          <w:bCs/>
        </w:rPr>
        <w:t xml:space="preserve">MPRs </w:t>
      </w:r>
      <w:r>
        <w:rPr>
          <w:b/>
          <w:bCs/>
        </w:rPr>
        <w:t>for</w:t>
      </w:r>
      <w:r w:rsidRPr="00CF00DE">
        <w:rPr>
          <w:b/>
          <w:bCs/>
        </w:rPr>
        <w:t xml:space="preserve"> the 23+23 </w:t>
      </w:r>
      <w:r>
        <w:rPr>
          <w:b/>
          <w:bCs/>
        </w:rPr>
        <w:t xml:space="preserve">PC2 </w:t>
      </w:r>
      <w:r w:rsidRPr="00CF00DE">
        <w:rPr>
          <w:b/>
          <w:bCs/>
        </w:rPr>
        <w:t xml:space="preserve">variant </w:t>
      </w:r>
      <w:r>
        <w:rPr>
          <w:b/>
          <w:bCs/>
        </w:rPr>
        <w:t xml:space="preserve">are applicable and </w:t>
      </w:r>
      <w:r w:rsidRPr="00CF00DE">
        <w:rPr>
          <w:b/>
          <w:bCs/>
        </w:rPr>
        <w:t xml:space="preserve">if </w:t>
      </w:r>
      <w:proofErr w:type="spellStart"/>
      <w:r w:rsidRPr="00CF00DE">
        <w:rPr>
          <w:b/>
          <w:bCs/>
        </w:rPr>
        <w:t>TxD</w:t>
      </w:r>
      <w:proofErr w:type="spellEnd"/>
      <w:r w:rsidRPr="00CF00DE">
        <w:rPr>
          <w:b/>
          <w:bCs/>
        </w:rPr>
        <w:t xml:space="preserve"> is </w:t>
      </w:r>
      <w:r>
        <w:rPr>
          <w:b/>
          <w:bCs/>
        </w:rPr>
        <w:t xml:space="preserve">not </w:t>
      </w:r>
      <w:r w:rsidRPr="00CF00DE">
        <w:rPr>
          <w:b/>
          <w:bCs/>
        </w:rPr>
        <w:t xml:space="preserve">asserted </w:t>
      </w:r>
      <w:r>
        <w:rPr>
          <w:b/>
          <w:bCs/>
        </w:rPr>
        <w:t>the CA MPRs for the</w:t>
      </w:r>
      <w:r w:rsidRPr="00CF00DE">
        <w:rPr>
          <w:b/>
          <w:bCs/>
        </w:rPr>
        <w:t xml:space="preserve"> 1Tx PC2</w:t>
      </w:r>
      <w:r>
        <w:rPr>
          <w:b/>
          <w:bCs/>
        </w:rPr>
        <w:t xml:space="preserve"> variant are applicable</w:t>
      </w:r>
      <w:r w:rsidRPr="00CF00DE">
        <w:rPr>
          <w:b/>
          <w:bCs/>
        </w:rPr>
        <w:t>.</w:t>
      </w:r>
    </w:p>
    <w:p w14:paraId="1BF6AC10" w14:textId="77777777" w:rsidR="00D51DCC" w:rsidRDefault="00D51DCC" w:rsidP="00D51DCC">
      <w:pPr>
        <w:spacing w:after="0"/>
        <w:rPr>
          <w:b/>
          <w:bCs/>
        </w:rPr>
      </w:pPr>
    </w:p>
    <w:p w14:paraId="661D901D" w14:textId="77777777" w:rsidR="009407C8" w:rsidRDefault="009407C8" w:rsidP="009407C8">
      <w:pPr>
        <w:spacing w:after="0"/>
        <w:rPr>
          <w:b/>
          <w:bCs/>
        </w:rPr>
      </w:pPr>
    </w:p>
    <w:p w14:paraId="68D163E4" w14:textId="01E916D5" w:rsidR="009407C8" w:rsidRPr="00725698" w:rsidRDefault="009407C8" w:rsidP="00A06B08">
      <w:pPr>
        <w:spacing w:after="0"/>
        <w:contextualSpacing/>
        <w:rPr>
          <w:b/>
          <w:bCs/>
        </w:rPr>
      </w:pPr>
      <w:r w:rsidRPr="00725698">
        <w:rPr>
          <w:b/>
          <w:bCs/>
        </w:rPr>
        <w:t xml:space="preserve">Observation 1: PA swapping is not needed by 23+26 </w:t>
      </w:r>
      <w:r>
        <w:rPr>
          <w:b/>
          <w:bCs/>
        </w:rPr>
        <w:t xml:space="preserve">PC2 </w:t>
      </w:r>
      <w:r w:rsidRPr="00725698">
        <w:rPr>
          <w:b/>
          <w:bCs/>
        </w:rPr>
        <w:t>UEs for any feature that involves rank 2 UL.</w:t>
      </w:r>
    </w:p>
    <w:p w14:paraId="561E9FCB" w14:textId="77777777" w:rsidR="00B87EC5" w:rsidRDefault="00B87EC5" w:rsidP="009407C8">
      <w:pPr>
        <w:spacing w:after="0"/>
        <w:rPr>
          <w:b/>
          <w:bCs/>
        </w:rPr>
      </w:pPr>
    </w:p>
    <w:p w14:paraId="6FE516F8" w14:textId="77777777" w:rsidR="00B87EC5" w:rsidRPr="00CF00DE" w:rsidRDefault="00B87EC5" w:rsidP="00B87EC5">
      <w:pPr>
        <w:rPr>
          <w:b/>
          <w:bCs/>
        </w:rPr>
      </w:pPr>
      <w:r w:rsidRPr="0016472C">
        <w:rPr>
          <w:b/>
          <w:bCs/>
        </w:rPr>
        <w:t>Proposal 2:</w:t>
      </w:r>
      <w:r>
        <w:rPr>
          <w:b/>
          <w:bCs/>
        </w:rPr>
        <w:t xml:space="preserve"> T</w:t>
      </w:r>
      <w:r w:rsidRPr="0016472C">
        <w:rPr>
          <w:b/>
          <w:bCs/>
        </w:rPr>
        <w:t xml:space="preserve">he </w:t>
      </w:r>
      <w:r>
        <w:rPr>
          <w:b/>
          <w:bCs/>
        </w:rPr>
        <w:t xml:space="preserve">UL contiguous CA </w:t>
      </w:r>
      <w:r w:rsidRPr="0016472C">
        <w:rPr>
          <w:b/>
          <w:bCs/>
        </w:rPr>
        <w:t xml:space="preserve">MPRs </w:t>
      </w:r>
      <w:r>
        <w:rPr>
          <w:b/>
          <w:bCs/>
        </w:rPr>
        <w:t>applicable to the 23+23 PC2</w:t>
      </w:r>
      <w:r w:rsidRPr="0016472C">
        <w:rPr>
          <w:b/>
          <w:bCs/>
        </w:rPr>
        <w:t xml:space="preserve"> variant </w:t>
      </w:r>
      <w:r>
        <w:rPr>
          <w:b/>
          <w:bCs/>
        </w:rPr>
        <w:t>are also applicable to the 23+26 PC2 UEs f</w:t>
      </w:r>
      <w:r w:rsidRPr="0016472C">
        <w:rPr>
          <w:b/>
          <w:bCs/>
        </w:rPr>
        <w:t>or contiguous UL CA + MIMO.</w:t>
      </w:r>
    </w:p>
    <w:p w14:paraId="445446FE" w14:textId="023166CA" w:rsidR="009407C8" w:rsidRPr="00D0439C" w:rsidRDefault="009407C8" w:rsidP="009407C8">
      <w:pPr>
        <w:spacing w:after="0"/>
        <w:rPr>
          <w:b/>
          <w:bCs/>
        </w:rPr>
      </w:pPr>
      <w:r w:rsidRPr="00D0439C">
        <w:rPr>
          <w:b/>
          <w:bCs/>
        </w:rPr>
        <w:t>Proposal</w:t>
      </w:r>
      <w:r>
        <w:rPr>
          <w:b/>
          <w:bCs/>
        </w:rPr>
        <w:t xml:space="preserve"> 3</w:t>
      </w:r>
      <w:r w:rsidRPr="00D0439C">
        <w:rPr>
          <w:b/>
          <w:bCs/>
        </w:rPr>
        <w:t xml:space="preserve">: If a UE supports the ULCA+MIMO feature, </w:t>
      </w:r>
      <w:r>
        <w:rPr>
          <w:b/>
          <w:bCs/>
        </w:rPr>
        <w:t xml:space="preserve">in addition to meeting </w:t>
      </w:r>
      <w:r w:rsidRPr="00D0439C">
        <w:rPr>
          <w:b/>
          <w:bCs/>
        </w:rPr>
        <w:t xml:space="preserve">the </w:t>
      </w:r>
      <w:r w:rsidR="003F63B2">
        <w:rPr>
          <w:b/>
          <w:bCs/>
        </w:rPr>
        <w:t xml:space="preserve">feature’s </w:t>
      </w:r>
      <w:r w:rsidRPr="00D0439C">
        <w:rPr>
          <w:b/>
          <w:bCs/>
        </w:rPr>
        <w:t xml:space="preserve">requirements </w:t>
      </w:r>
      <w:r>
        <w:rPr>
          <w:b/>
          <w:bCs/>
        </w:rPr>
        <w:t xml:space="preserve">(suffix ‘H’), </w:t>
      </w:r>
      <w:r w:rsidRPr="00D0439C">
        <w:rPr>
          <w:b/>
          <w:bCs/>
        </w:rPr>
        <w:t>it must meet the general requirements</w:t>
      </w:r>
      <w:r>
        <w:rPr>
          <w:b/>
          <w:bCs/>
        </w:rPr>
        <w:t xml:space="preserve"> as well as</w:t>
      </w:r>
      <w:r w:rsidRPr="00D0439C">
        <w:rPr>
          <w:b/>
          <w:bCs/>
        </w:rPr>
        <w:t xml:space="preserve"> the requirements </w:t>
      </w:r>
      <w:r>
        <w:rPr>
          <w:b/>
          <w:bCs/>
        </w:rPr>
        <w:t>for ULCA (suffix ‘A’) and the requirements for ULMIMO (suffix ‘D’).</w:t>
      </w:r>
    </w:p>
    <w:p w14:paraId="31EF4C71" w14:textId="77777777" w:rsidR="009407C8" w:rsidRPr="0016472C" w:rsidRDefault="009407C8" w:rsidP="009407C8">
      <w:pPr>
        <w:rPr>
          <w:b/>
          <w:bCs/>
        </w:rPr>
      </w:pP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1287DAB" w14:textId="5E5F0C32"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54E83">
        <w:rPr>
          <w:rFonts w:ascii="Arial" w:eastAsia="SimSun" w:hAnsi="Arial" w:cs="Arial"/>
          <w:bCs/>
          <w:sz w:val="18"/>
          <w:szCs w:val="18"/>
          <w:lang w:val="en-US" w:eastAsia="en-GB"/>
        </w:rPr>
        <w:t>11</w:t>
      </w:r>
      <w:r w:rsidR="00504C61">
        <w:rPr>
          <w:rFonts w:ascii="Arial" w:eastAsia="SimSun" w:hAnsi="Arial" w:cs="Arial"/>
          <w:bCs/>
          <w:sz w:val="18"/>
          <w:szCs w:val="18"/>
          <w:lang w:val="en-US" w:eastAsia="en-GB"/>
        </w:rPr>
        <w:t>4948</w:t>
      </w:r>
      <w:r w:rsidRPr="000B036D">
        <w:rPr>
          <w:rFonts w:ascii="Arial" w:eastAsia="SimSun" w:hAnsi="Arial" w:cs="Arial"/>
          <w:bCs/>
          <w:sz w:val="18"/>
          <w:szCs w:val="18"/>
          <w:lang w:val="en-US" w:eastAsia="en-GB"/>
        </w:rPr>
        <w:t>, ‘</w:t>
      </w:r>
      <w:r w:rsidR="00570150" w:rsidRPr="00570150">
        <w:rPr>
          <w:rFonts w:ascii="Arial" w:eastAsia="SimSun" w:hAnsi="Arial" w:cs="Arial"/>
          <w:bCs/>
          <w:sz w:val="18"/>
          <w:szCs w:val="18"/>
          <w:lang w:val="en-US" w:eastAsia="en-GB"/>
        </w:rPr>
        <w:t>WF on PC2 intra-band UL NC CA and contiguous CA with 2Tx architecture</w:t>
      </w:r>
      <w:r w:rsidRPr="000B036D">
        <w:rPr>
          <w:rFonts w:ascii="Arial" w:eastAsia="SimSun" w:hAnsi="Arial" w:cs="Arial"/>
          <w:bCs/>
          <w:sz w:val="18"/>
          <w:szCs w:val="18"/>
          <w:lang w:val="en-US" w:eastAsia="en-GB"/>
        </w:rPr>
        <w:t xml:space="preserve">’, </w:t>
      </w:r>
      <w:r w:rsidR="00504C61">
        <w:rPr>
          <w:rFonts w:ascii="Arial" w:eastAsia="SimSun" w:hAnsi="Arial" w:cs="Arial"/>
          <w:bCs/>
          <w:sz w:val="18"/>
          <w:szCs w:val="18"/>
          <w:lang w:val="en-US" w:eastAsia="en-GB"/>
        </w:rPr>
        <w:t>Skyworks</w:t>
      </w:r>
      <w:r w:rsidRPr="00190FD2">
        <w:rPr>
          <w:rFonts w:ascii="Arial" w:eastAsia="SimSun" w:hAnsi="Arial" w:cs="Arial"/>
          <w:bCs/>
          <w:sz w:val="18"/>
          <w:szCs w:val="18"/>
          <w:lang w:val="en-US" w:eastAsia="en-GB"/>
        </w:rPr>
        <w:t>, RAN4#</w:t>
      </w:r>
      <w:r w:rsidR="00554E83">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554E83">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sectPr w:rsidR="001A364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30D0FD4"/>
    <w:multiLevelType w:val="multilevel"/>
    <w:tmpl w:val="D4F8D94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C47A3"/>
    <w:multiLevelType w:val="multilevel"/>
    <w:tmpl w:val="D4F8D94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5"/>
  </w:num>
  <w:num w:numId="3">
    <w:abstractNumId w:val="10"/>
  </w:num>
  <w:num w:numId="4">
    <w:abstractNumId w:val="3"/>
  </w:num>
  <w:num w:numId="5">
    <w:abstractNumId w:val="2"/>
  </w:num>
  <w:num w:numId="6">
    <w:abstractNumId w:val="0"/>
  </w:num>
  <w:num w:numId="7">
    <w:abstractNumId w:val="9"/>
  </w:num>
  <w:num w:numId="8">
    <w:abstractNumId w:val="8"/>
  </w:num>
  <w:num w:numId="9">
    <w:abstractNumId w:val="7"/>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F2E"/>
    <w:rsid w:val="000032E6"/>
    <w:rsid w:val="0000500B"/>
    <w:rsid w:val="000052ED"/>
    <w:rsid w:val="00005E2B"/>
    <w:rsid w:val="0000794D"/>
    <w:rsid w:val="00010893"/>
    <w:rsid w:val="00010918"/>
    <w:rsid w:val="00010A16"/>
    <w:rsid w:val="000114B2"/>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0E"/>
    <w:rsid w:val="0003444E"/>
    <w:rsid w:val="00034760"/>
    <w:rsid w:val="00035518"/>
    <w:rsid w:val="00037A84"/>
    <w:rsid w:val="000400F4"/>
    <w:rsid w:val="00040657"/>
    <w:rsid w:val="000418D7"/>
    <w:rsid w:val="0004249C"/>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37E"/>
    <w:rsid w:val="0006555D"/>
    <w:rsid w:val="00066D96"/>
    <w:rsid w:val="000674DC"/>
    <w:rsid w:val="00070248"/>
    <w:rsid w:val="00070868"/>
    <w:rsid w:val="00072010"/>
    <w:rsid w:val="00072326"/>
    <w:rsid w:val="000726D8"/>
    <w:rsid w:val="00074051"/>
    <w:rsid w:val="0007417F"/>
    <w:rsid w:val="00074C38"/>
    <w:rsid w:val="0007561B"/>
    <w:rsid w:val="00076DED"/>
    <w:rsid w:val="00077EB3"/>
    <w:rsid w:val="00080921"/>
    <w:rsid w:val="00081306"/>
    <w:rsid w:val="000817D0"/>
    <w:rsid w:val="000831CC"/>
    <w:rsid w:val="00083838"/>
    <w:rsid w:val="000842C1"/>
    <w:rsid w:val="000856E2"/>
    <w:rsid w:val="00085B9A"/>
    <w:rsid w:val="00087ADC"/>
    <w:rsid w:val="000908D9"/>
    <w:rsid w:val="0009269C"/>
    <w:rsid w:val="00092B32"/>
    <w:rsid w:val="00093CF3"/>
    <w:rsid w:val="000941F2"/>
    <w:rsid w:val="0009445F"/>
    <w:rsid w:val="00094708"/>
    <w:rsid w:val="00094FBF"/>
    <w:rsid w:val="00095532"/>
    <w:rsid w:val="00095A42"/>
    <w:rsid w:val="00095CD3"/>
    <w:rsid w:val="00095EAA"/>
    <w:rsid w:val="0009678D"/>
    <w:rsid w:val="00096C4B"/>
    <w:rsid w:val="000976DD"/>
    <w:rsid w:val="000977F2"/>
    <w:rsid w:val="00097F44"/>
    <w:rsid w:val="000A0E97"/>
    <w:rsid w:val="000A1617"/>
    <w:rsid w:val="000A1EEE"/>
    <w:rsid w:val="000A1F0B"/>
    <w:rsid w:val="000A375A"/>
    <w:rsid w:val="000A5286"/>
    <w:rsid w:val="000A5612"/>
    <w:rsid w:val="000A567D"/>
    <w:rsid w:val="000A643B"/>
    <w:rsid w:val="000A6887"/>
    <w:rsid w:val="000A6B8A"/>
    <w:rsid w:val="000A6BF4"/>
    <w:rsid w:val="000B0067"/>
    <w:rsid w:val="000B036D"/>
    <w:rsid w:val="000B3990"/>
    <w:rsid w:val="000B4BEE"/>
    <w:rsid w:val="000B6E32"/>
    <w:rsid w:val="000B7016"/>
    <w:rsid w:val="000B75A9"/>
    <w:rsid w:val="000B7CA0"/>
    <w:rsid w:val="000C0F98"/>
    <w:rsid w:val="000C1800"/>
    <w:rsid w:val="000C21B9"/>
    <w:rsid w:val="000C232F"/>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0B1"/>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83F"/>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27417"/>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3C3E"/>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210"/>
    <w:rsid w:val="00157EA2"/>
    <w:rsid w:val="001608E0"/>
    <w:rsid w:val="00161793"/>
    <w:rsid w:val="00161C73"/>
    <w:rsid w:val="00163844"/>
    <w:rsid w:val="00164505"/>
    <w:rsid w:val="00164571"/>
    <w:rsid w:val="0016472C"/>
    <w:rsid w:val="00166BCB"/>
    <w:rsid w:val="00166DB4"/>
    <w:rsid w:val="00166E70"/>
    <w:rsid w:val="00167018"/>
    <w:rsid w:val="00170958"/>
    <w:rsid w:val="00171E66"/>
    <w:rsid w:val="00172EB5"/>
    <w:rsid w:val="001738E4"/>
    <w:rsid w:val="00173AB7"/>
    <w:rsid w:val="00174AE6"/>
    <w:rsid w:val="00176380"/>
    <w:rsid w:val="0017722C"/>
    <w:rsid w:val="00177423"/>
    <w:rsid w:val="00177687"/>
    <w:rsid w:val="001776CD"/>
    <w:rsid w:val="00180A92"/>
    <w:rsid w:val="00180BDB"/>
    <w:rsid w:val="00180BF8"/>
    <w:rsid w:val="001811BC"/>
    <w:rsid w:val="0018151D"/>
    <w:rsid w:val="00183945"/>
    <w:rsid w:val="00183B37"/>
    <w:rsid w:val="001845D5"/>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02D"/>
    <w:rsid w:val="00191C40"/>
    <w:rsid w:val="00192AF0"/>
    <w:rsid w:val="00192D3D"/>
    <w:rsid w:val="001933CC"/>
    <w:rsid w:val="00193E25"/>
    <w:rsid w:val="001940B3"/>
    <w:rsid w:val="00194778"/>
    <w:rsid w:val="00195A3B"/>
    <w:rsid w:val="00196045"/>
    <w:rsid w:val="00196080"/>
    <w:rsid w:val="0019690A"/>
    <w:rsid w:val="001A0460"/>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79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134"/>
    <w:rsid w:val="001F193B"/>
    <w:rsid w:val="001F1B7D"/>
    <w:rsid w:val="001F28E4"/>
    <w:rsid w:val="001F2DCD"/>
    <w:rsid w:val="001F302F"/>
    <w:rsid w:val="001F415A"/>
    <w:rsid w:val="001F4A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7CAA"/>
    <w:rsid w:val="00210FFD"/>
    <w:rsid w:val="00211081"/>
    <w:rsid w:val="00212EE5"/>
    <w:rsid w:val="00213812"/>
    <w:rsid w:val="00213AF2"/>
    <w:rsid w:val="00214B13"/>
    <w:rsid w:val="00214D3A"/>
    <w:rsid w:val="00215458"/>
    <w:rsid w:val="0021572E"/>
    <w:rsid w:val="00215AE9"/>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490A"/>
    <w:rsid w:val="00225172"/>
    <w:rsid w:val="0022764A"/>
    <w:rsid w:val="0022768E"/>
    <w:rsid w:val="0022788C"/>
    <w:rsid w:val="00227CA3"/>
    <w:rsid w:val="00227DD5"/>
    <w:rsid w:val="00230CC7"/>
    <w:rsid w:val="0023253D"/>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2EE"/>
    <w:rsid w:val="00253CE9"/>
    <w:rsid w:val="00254D82"/>
    <w:rsid w:val="0025642C"/>
    <w:rsid w:val="0025792B"/>
    <w:rsid w:val="002600B6"/>
    <w:rsid w:val="002604D6"/>
    <w:rsid w:val="0026064B"/>
    <w:rsid w:val="002611B2"/>
    <w:rsid w:val="002612D0"/>
    <w:rsid w:val="00261E86"/>
    <w:rsid w:val="00263D06"/>
    <w:rsid w:val="00263E52"/>
    <w:rsid w:val="002666B8"/>
    <w:rsid w:val="0026696F"/>
    <w:rsid w:val="00267ECA"/>
    <w:rsid w:val="002702A8"/>
    <w:rsid w:val="00271477"/>
    <w:rsid w:val="002715F5"/>
    <w:rsid w:val="00271B83"/>
    <w:rsid w:val="00272536"/>
    <w:rsid w:val="00273040"/>
    <w:rsid w:val="002758F1"/>
    <w:rsid w:val="002768D1"/>
    <w:rsid w:val="002769CD"/>
    <w:rsid w:val="0028052F"/>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089"/>
    <w:rsid w:val="002A0295"/>
    <w:rsid w:val="002A08FE"/>
    <w:rsid w:val="002A1B22"/>
    <w:rsid w:val="002A1C01"/>
    <w:rsid w:val="002A353B"/>
    <w:rsid w:val="002A368E"/>
    <w:rsid w:val="002A5622"/>
    <w:rsid w:val="002A5B9E"/>
    <w:rsid w:val="002A7497"/>
    <w:rsid w:val="002A7BFE"/>
    <w:rsid w:val="002A7D66"/>
    <w:rsid w:val="002A7EFC"/>
    <w:rsid w:val="002B07F4"/>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9CC"/>
    <w:rsid w:val="002C0E0C"/>
    <w:rsid w:val="002C0F18"/>
    <w:rsid w:val="002C1FBB"/>
    <w:rsid w:val="002C21D2"/>
    <w:rsid w:val="002C4407"/>
    <w:rsid w:val="002C5153"/>
    <w:rsid w:val="002C5814"/>
    <w:rsid w:val="002C5A51"/>
    <w:rsid w:val="002C5CC1"/>
    <w:rsid w:val="002C62E7"/>
    <w:rsid w:val="002C65B6"/>
    <w:rsid w:val="002D0370"/>
    <w:rsid w:val="002D0FAD"/>
    <w:rsid w:val="002D2A7E"/>
    <w:rsid w:val="002D3F49"/>
    <w:rsid w:val="002D4CC7"/>
    <w:rsid w:val="002D4FBE"/>
    <w:rsid w:val="002D526F"/>
    <w:rsid w:val="002D52A2"/>
    <w:rsid w:val="002D52F4"/>
    <w:rsid w:val="002D5381"/>
    <w:rsid w:val="002D5BF7"/>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073"/>
    <w:rsid w:val="002F03EC"/>
    <w:rsid w:val="002F1369"/>
    <w:rsid w:val="002F1C8C"/>
    <w:rsid w:val="002F1E4E"/>
    <w:rsid w:val="002F2467"/>
    <w:rsid w:val="002F25E8"/>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4DAC"/>
    <w:rsid w:val="00335CE1"/>
    <w:rsid w:val="00335F2B"/>
    <w:rsid w:val="00337D56"/>
    <w:rsid w:val="00340313"/>
    <w:rsid w:val="00340A5F"/>
    <w:rsid w:val="00340E3F"/>
    <w:rsid w:val="00341CC1"/>
    <w:rsid w:val="003421F8"/>
    <w:rsid w:val="0034268F"/>
    <w:rsid w:val="003453C0"/>
    <w:rsid w:val="003461A5"/>
    <w:rsid w:val="0034635A"/>
    <w:rsid w:val="00346BC7"/>
    <w:rsid w:val="003476B3"/>
    <w:rsid w:val="003479CA"/>
    <w:rsid w:val="00347BD1"/>
    <w:rsid w:val="00347D07"/>
    <w:rsid w:val="00350A27"/>
    <w:rsid w:val="00350DDB"/>
    <w:rsid w:val="00350EBC"/>
    <w:rsid w:val="00351A78"/>
    <w:rsid w:val="00351F14"/>
    <w:rsid w:val="003524CA"/>
    <w:rsid w:val="003526DF"/>
    <w:rsid w:val="00353085"/>
    <w:rsid w:val="00353095"/>
    <w:rsid w:val="0035349F"/>
    <w:rsid w:val="003534C6"/>
    <w:rsid w:val="00353901"/>
    <w:rsid w:val="003542AB"/>
    <w:rsid w:val="00354615"/>
    <w:rsid w:val="00354813"/>
    <w:rsid w:val="0035603E"/>
    <w:rsid w:val="003560C7"/>
    <w:rsid w:val="0035658A"/>
    <w:rsid w:val="00356C3D"/>
    <w:rsid w:val="0036016D"/>
    <w:rsid w:val="0036020C"/>
    <w:rsid w:val="00360FF4"/>
    <w:rsid w:val="003612B6"/>
    <w:rsid w:val="003615C7"/>
    <w:rsid w:val="00361A06"/>
    <w:rsid w:val="003626DF"/>
    <w:rsid w:val="003633FE"/>
    <w:rsid w:val="003636F7"/>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6E3E"/>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1382"/>
    <w:rsid w:val="003D353C"/>
    <w:rsid w:val="003D41E2"/>
    <w:rsid w:val="003D46AF"/>
    <w:rsid w:val="003D4978"/>
    <w:rsid w:val="003D579B"/>
    <w:rsid w:val="003D76EC"/>
    <w:rsid w:val="003E0174"/>
    <w:rsid w:val="003E0EF6"/>
    <w:rsid w:val="003E0F2B"/>
    <w:rsid w:val="003E11D3"/>
    <w:rsid w:val="003E13CC"/>
    <w:rsid w:val="003E1E32"/>
    <w:rsid w:val="003E3399"/>
    <w:rsid w:val="003E427D"/>
    <w:rsid w:val="003E4CBC"/>
    <w:rsid w:val="003E53A5"/>
    <w:rsid w:val="003E5FB9"/>
    <w:rsid w:val="003E61C3"/>
    <w:rsid w:val="003E6877"/>
    <w:rsid w:val="003E722B"/>
    <w:rsid w:val="003E7ADB"/>
    <w:rsid w:val="003F0999"/>
    <w:rsid w:val="003F0A17"/>
    <w:rsid w:val="003F0C7A"/>
    <w:rsid w:val="003F1E51"/>
    <w:rsid w:val="003F2703"/>
    <w:rsid w:val="003F273F"/>
    <w:rsid w:val="003F27CC"/>
    <w:rsid w:val="003F36E4"/>
    <w:rsid w:val="003F3BE5"/>
    <w:rsid w:val="003F63B2"/>
    <w:rsid w:val="003F6ABE"/>
    <w:rsid w:val="003F6DA5"/>
    <w:rsid w:val="004003BC"/>
    <w:rsid w:val="00400A46"/>
    <w:rsid w:val="00400AD6"/>
    <w:rsid w:val="00401112"/>
    <w:rsid w:val="00401552"/>
    <w:rsid w:val="00401B04"/>
    <w:rsid w:val="00401E65"/>
    <w:rsid w:val="00402892"/>
    <w:rsid w:val="00404558"/>
    <w:rsid w:val="00404655"/>
    <w:rsid w:val="00404E6B"/>
    <w:rsid w:val="00405503"/>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C01"/>
    <w:rsid w:val="00415DED"/>
    <w:rsid w:val="00416128"/>
    <w:rsid w:val="00416364"/>
    <w:rsid w:val="00416BB2"/>
    <w:rsid w:val="00417675"/>
    <w:rsid w:val="0042095B"/>
    <w:rsid w:val="00421CC7"/>
    <w:rsid w:val="004227B7"/>
    <w:rsid w:val="00423350"/>
    <w:rsid w:val="004234E9"/>
    <w:rsid w:val="00424A39"/>
    <w:rsid w:val="0043180B"/>
    <w:rsid w:val="00431A16"/>
    <w:rsid w:val="00432734"/>
    <w:rsid w:val="0043290B"/>
    <w:rsid w:val="00435767"/>
    <w:rsid w:val="004358DC"/>
    <w:rsid w:val="00435B76"/>
    <w:rsid w:val="00436192"/>
    <w:rsid w:val="00436495"/>
    <w:rsid w:val="004366AF"/>
    <w:rsid w:val="004379B7"/>
    <w:rsid w:val="00437A1B"/>
    <w:rsid w:val="00437D86"/>
    <w:rsid w:val="00437EAA"/>
    <w:rsid w:val="004417A5"/>
    <w:rsid w:val="0044305F"/>
    <w:rsid w:val="0044402A"/>
    <w:rsid w:val="004466F4"/>
    <w:rsid w:val="00446E9E"/>
    <w:rsid w:val="004470BC"/>
    <w:rsid w:val="00447475"/>
    <w:rsid w:val="004474F1"/>
    <w:rsid w:val="00450217"/>
    <w:rsid w:val="00450389"/>
    <w:rsid w:val="0045131C"/>
    <w:rsid w:val="00451787"/>
    <w:rsid w:val="00451809"/>
    <w:rsid w:val="00453431"/>
    <w:rsid w:val="004541D0"/>
    <w:rsid w:val="004541E5"/>
    <w:rsid w:val="0045428D"/>
    <w:rsid w:val="004544D6"/>
    <w:rsid w:val="004554BF"/>
    <w:rsid w:val="004562F1"/>
    <w:rsid w:val="00456349"/>
    <w:rsid w:val="00456B1F"/>
    <w:rsid w:val="00457F94"/>
    <w:rsid w:val="004609D7"/>
    <w:rsid w:val="004612A9"/>
    <w:rsid w:val="00462017"/>
    <w:rsid w:val="0046220C"/>
    <w:rsid w:val="004645F1"/>
    <w:rsid w:val="00464A49"/>
    <w:rsid w:val="00465165"/>
    <w:rsid w:val="0046541D"/>
    <w:rsid w:val="004658DF"/>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2E88"/>
    <w:rsid w:val="004A39D7"/>
    <w:rsid w:val="004A4D20"/>
    <w:rsid w:val="004A4E24"/>
    <w:rsid w:val="004A5E12"/>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700"/>
    <w:rsid w:val="004C5FCA"/>
    <w:rsid w:val="004C68C9"/>
    <w:rsid w:val="004C74BA"/>
    <w:rsid w:val="004D17AA"/>
    <w:rsid w:val="004D3585"/>
    <w:rsid w:val="004D3E69"/>
    <w:rsid w:val="004D43C9"/>
    <w:rsid w:val="004D55AC"/>
    <w:rsid w:val="004D59D7"/>
    <w:rsid w:val="004D6145"/>
    <w:rsid w:val="004D66B7"/>
    <w:rsid w:val="004E076B"/>
    <w:rsid w:val="004E0CD1"/>
    <w:rsid w:val="004E0FAB"/>
    <w:rsid w:val="004E11D3"/>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4C61"/>
    <w:rsid w:val="00505957"/>
    <w:rsid w:val="0050658B"/>
    <w:rsid w:val="00506845"/>
    <w:rsid w:val="00506BB0"/>
    <w:rsid w:val="00506FD9"/>
    <w:rsid w:val="00507608"/>
    <w:rsid w:val="00507ACB"/>
    <w:rsid w:val="00507D16"/>
    <w:rsid w:val="00510BEE"/>
    <w:rsid w:val="00510D5C"/>
    <w:rsid w:val="00511F2B"/>
    <w:rsid w:val="00511F68"/>
    <w:rsid w:val="005120D5"/>
    <w:rsid w:val="00514334"/>
    <w:rsid w:val="00514836"/>
    <w:rsid w:val="0051534D"/>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800"/>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16BF"/>
    <w:rsid w:val="005520D7"/>
    <w:rsid w:val="00552259"/>
    <w:rsid w:val="005534BC"/>
    <w:rsid w:val="005535B7"/>
    <w:rsid w:val="005536D9"/>
    <w:rsid w:val="00554A75"/>
    <w:rsid w:val="00554E83"/>
    <w:rsid w:val="0055505E"/>
    <w:rsid w:val="00555667"/>
    <w:rsid w:val="00557E7D"/>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0150"/>
    <w:rsid w:val="00571DBC"/>
    <w:rsid w:val="005722F7"/>
    <w:rsid w:val="00572F66"/>
    <w:rsid w:val="00573D8A"/>
    <w:rsid w:val="00574551"/>
    <w:rsid w:val="005746B5"/>
    <w:rsid w:val="0057490C"/>
    <w:rsid w:val="00575329"/>
    <w:rsid w:val="00575D36"/>
    <w:rsid w:val="00575E73"/>
    <w:rsid w:val="00576287"/>
    <w:rsid w:val="0057648E"/>
    <w:rsid w:val="005814F0"/>
    <w:rsid w:val="00581C42"/>
    <w:rsid w:val="00582270"/>
    <w:rsid w:val="00583485"/>
    <w:rsid w:val="005839AE"/>
    <w:rsid w:val="0058446F"/>
    <w:rsid w:val="00584CC5"/>
    <w:rsid w:val="005875C1"/>
    <w:rsid w:val="00587FA5"/>
    <w:rsid w:val="00590DCD"/>
    <w:rsid w:val="005912B7"/>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D86"/>
    <w:rsid w:val="005B4FA1"/>
    <w:rsid w:val="005B7193"/>
    <w:rsid w:val="005B7216"/>
    <w:rsid w:val="005B72D5"/>
    <w:rsid w:val="005B7CB8"/>
    <w:rsid w:val="005C0762"/>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5F67"/>
    <w:rsid w:val="005D6638"/>
    <w:rsid w:val="005D69A7"/>
    <w:rsid w:val="005E0115"/>
    <w:rsid w:val="005E0CF7"/>
    <w:rsid w:val="005E1237"/>
    <w:rsid w:val="005E13BD"/>
    <w:rsid w:val="005E1DB3"/>
    <w:rsid w:val="005E2448"/>
    <w:rsid w:val="005E290F"/>
    <w:rsid w:val="005E2B0B"/>
    <w:rsid w:val="005E3286"/>
    <w:rsid w:val="005E35F9"/>
    <w:rsid w:val="005E4466"/>
    <w:rsid w:val="005E5230"/>
    <w:rsid w:val="005E66D1"/>
    <w:rsid w:val="005E7211"/>
    <w:rsid w:val="005E7655"/>
    <w:rsid w:val="005E77DE"/>
    <w:rsid w:val="005E7993"/>
    <w:rsid w:val="005E7E77"/>
    <w:rsid w:val="005F003F"/>
    <w:rsid w:val="005F17FB"/>
    <w:rsid w:val="005F1D2E"/>
    <w:rsid w:val="005F20D8"/>
    <w:rsid w:val="005F33D7"/>
    <w:rsid w:val="005F343C"/>
    <w:rsid w:val="005F35A7"/>
    <w:rsid w:val="005F35B6"/>
    <w:rsid w:val="005F3C9F"/>
    <w:rsid w:val="005F65DE"/>
    <w:rsid w:val="005F699B"/>
    <w:rsid w:val="005F73ED"/>
    <w:rsid w:val="00600881"/>
    <w:rsid w:val="00600A82"/>
    <w:rsid w:val="00600F78"/>
    <w:rsid w:val="00601B1E"/>
    <w:rsid w:val="00602521"/>
    <w:rsid w:val="006027E0"/>
    <w:rsid w:val="00602D50"/>
    <w:rsid w:val="00603105"/>
    <w:rsid w:val="0060402D"/>
    <w:rsid w:val="006042B7"/>
    <w:rsid w:val="00606A5C"/>
    <w:rsid w:val="00606A5F"/>
    <w:rsid w:val="006072DA"/>
    <w:rsid w:val="006075D8"/>
    <w:rsid w:val="00610416"/>
    <w:rsid w:val="00610BAA"/>
    <w:rsid w:val="00613C45"/>
    <w:rsid w:val="00613E69"/>
    <w:rsid w:val="00614AB0"/>
    <w:rsid w:val="00615027"/>
    <w:rsid w:val="0061669D"/>
    <w:rsid w:val="00617238"/>
    <w:rsid w:val="00620B51"/>
    <w:rsid w:val="00621611"/>
    <w:rsid w:val="00621AF9"/>
    <w:rsid w:val="00621B32"/>
    <w:rsid w:val="00622683"/>
    <w:rsid w:val="006246A2"/>
    <w:rsid w:val="00625B51"/>
    <w:rsid w:val="00626D4A"/>
    <w:rsid w:val="00627680"/>
    <w:rsid w:val="00627ADB"/>
    <w:rsid w:val="00627AF4"/>
    <w:rsid w:val="00627E7E"/>
    <w:rsid w:val="0063092A"/>
    <w:rsid w:val="00631AC6"/>
    <w:rsid w:val="00633655"/>
    <w:rsid w:val="00634718"/>
    <w:rsid w:val="0063477F"/>
    <w:rsid w:val="00634A2A"/>
    <w:rsid w:val="00635D2A"/>
    <w:rsid w:val="00635D8A"/>
    <w:rsid w:val="00635DCB"/>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4BF9"/>
    <w:rsid w:val="00665BBC"/>
    <w:rsid w:val="00667CFB"/>
    <w:rsid w:val="00667D71"/>
    <w:rsid w:val="006705C6"/>
    <w:rsid w:val="0067065A"/>
    <w:rsid w:val="00670C5D"/>
    <w:rsid w:val="006723D8"/>
    <w:rsid w:val="006729C2"/>
    <w:rsid w:val="00674955"/>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102"/>
    <w:rsid w:val="006842D9"/>
    <w:rsid w:val="00686E81"/>
    <w:rsid w:val="00687BB4"/>
    <w:rsid w:val="006905B0"/>
    <w:rsid w:val="00690914"/>
    <w:rsid w:val="00690A02"/>
    <w:rsid w:val="00691155"/>
    <w:rsid w:val="00691500"/>
    <w:rsid w:val="006923C3"/>
    <w:rsid w:val="00693267"/>
    <w:rsid w:val="00693F66"/>
    <w:rsid w:val="00694771"/>
    <w:rsid w:val="00695119"/>
    <w:rsid w:val="00695F3B"/>
    <w:rsid w:val="0069606D"/>
    <w:rsid w:val="006961F6"/>
    <w:rsid w:val="006A0BAA"/>
    <w:rsid w:val="006A0BB2"/>
    <w:rsid w:val="006A0EBB"/>
    <w:rsid w:val="006A0FB1"/>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0C65"/>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E65FF"/>
    <w:rsid w:val="006E779F"/>
    <w:rsid w:val="006F027C"/>
    <w:rsid w:val="006F03DE"/>
    <w:rsid w:val="006F196D"/>
    <w:rsid w:val="006F1E98"/>
    <w:rsid w:val="006F2300"/>
    <w:rsid w:val="006F2678"/>
    <w:rsid w:val="006F2695"/>
    <w:rsid w:val="006F2FF5"/>
    <w:rsid w:val="006F48BE"/>
    <w:rsid w:val="006F4B47"/>
    <w:rsid w:val="006F5B50"/>
    <w:rsid w:val="006F62D2"/>
    <w:rsid w:val="006F6F6E"/>
    <w:rsid w:val="0070005E"/>
    <w:rsid w:val="0070012A"/>
    <w:rsid w:val="007009E6"/>
    <w:rsid w:val="007021FD"/>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279E"/>
    <w:rsid w:val="007133BD"/>
    <w:rsid w:val="0071399A"/>
    <w:rsid w:val="00714532"/>
    <w:rsid w:val="007145B0"/>
    <w:rsid w:val="0071479D"/>
    <w:rsid w:val="00714B79"/>
    <w:rsid w:val="00715E9F"/>
    <w:rsid w:val="007161CC"/>
    <w:rsid w:val="0071649A"/>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698"/>
    <w:rsid w:val="00725DA6"/>
    <w:rsid w:val="0072736C"/>
    <w:rsid w:val="0072770E"/>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119A"/>
    <w:rsid w:val="00764C42"/>
    <w:rsid w:val="007658D8"/>
    <w:rsid w:val="00765DA1"/>
    <w:rsid w:val="00765F8A"/>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2A2"/>
    <w:rsid w:val="00783343"/>
    <w:rsid w:val="00784962"/>
    <w:rsid w:val="00785DF0"/>
    <w:rsid w:val="0079011C"/>
    <w:rsid w:val="007907C2"/>
    <w:rsid w:val="007912F9"/>
    <w:rsid w:val="00791A1D"/>
    <w:rsid w:val="00791CE3"/>
    <w:rsid w:val="00792165"/>
    <w:rsid w:val="00792F66"/>
    <w:rsid w:val="00792FC5"/>
    <w:rsid w:val="00795AC4"/>
    <w:rsid w:val="00796485"/>
    <w:rsid w:val="00796D2F"/>
    <w:rsid w:val="007A0EF6"/>
    <w:rsid w:val="007A1A88"/>
    <w:rsid w:val="007A1E57"/>
    <w:rsid w:val="007A3F88"/>
    <w:rsid w:val="007A505A"/>
    <w:rsid w:val="007A5211"/>
    <w:rsid w:val="007A56F5"/>
    <w:rsid w:val="007A5FE3"/>
    <w:rsid w:val="007A6188"/>
    <w:rsid w:val="007A74BA"/>
    <w:rsid w:val="007B0169"/>
    <w:rsid w:val="007B0ABC"/>
    <w:rsid w:val="007B2100"/>
    <w:rsid w:val="007B23E2"/>
    <w:rsid w:val="007B386A"/>
    <w:rsid w:val="007B39BE"/>
    <w:rsid w:val="007B5CF7"/>
    <w:rsid w:val="007B5D9F"/>
    <w:rsid w:val="007B605F"/>
    <w:rsid w:val="007B6B10"/>
    <w:rsid w:val="007B6FCF"/>
    <w:rsid w:val="007C052A"/>
    <w:rsid w:val="007C0EF9"/>
    <w:rsid w:val="007C2038"/>
    <w:rsid w:val="007C347A"/>
    <w:rsid w:val="007C391C"/>
    <w:rsid w:val="007C426D"/>
    <w:rsid w:val="007C431F"/>
    <w:rsid w:val="007C47B1"/>
    <w:rsid w:val="007C5278"/>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4FC4"/>
    <w:rsid w:val="007D57F1"/>
    <w:rsid w:val="007D5C8E"/>
    <w:rsid w:val="007D67B5"/>
    <w:rsid w:val="007D755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2F3"/>
    <w:rsid w:val="007F5A2D"/>
    <w:rsid w:val="007F7AAD"/>
    <w:rsid w:val="007F7AE6"/>
    <w:rsid w:val="0080082C"/>
    <w:rsid w:val="0080109A"/>
    <w:rsid w:val="008023D3"/>
    <w:rsid w:val="00802812"/>
    <w:rsid w:val="00803112"/>
    <w:rsid w:val="0080320A"/>
    <w:rsid w:val="00803597"/>
    <w:rsid w:val="00804D26"/>
    <w:rsid w:val="00804D43"/>
    <w:rsid w:val="00805649"/>
    <w:rsid w:val="00805AEC"/>
    <w:rsid w:val="00806954"/>
    <w:rsid w:val="00806BAD"/>
    <w:rsid w:val="008078E6"/>
    <w:rsid w:val="00810EC4"/>
    <w:rsid w:val="00811226"/>
    <w:rsid w:val="00812B98"/>
    <w:rsid w:val="008151A2"/>
    <w:rsid w:val="008152BD"/>
    <w:rsid w:val="00815671"/>
    <w:rsid w:val="008157E8"/>
    <w:rsid w:val="0081713B"/>
    <w:rsid w:val="0081721A"/>
    <w:rsid w:val="00817F82"/>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5D09"/>
    <w:rsid w:val="0083775C"/>
    <w:rsid w:val="0083797B"/>
    <w:rsid w:val="008404F5"/>
    <w:rsid w:val="00841F46"/>
    <w:rsid w:val="00841FD4"/>
    <w:rsid w:val="008433AB"/>
    <w:rsid w:val="00843564"/>
    <w:rsid w:val="00843682"/>
    <w:rsid w:val="00843945"/>
    <w:rsid w:val="00843DB0"/>
    <w:rsid w:val="008454F8"/>
    <w:rsid w:val="00845645"/>
    <w:rsid w:val="008470E5"/>
    <w:rsid w:val="00850213"/>
    <w:rsid w:val="00850E53"/>
    <w:rsid w:val="008516A3"/>
    <w:rsid w:val="0085273D"/>
    <w:rsid w:val="00852ADB"/>
    <w:rsid w:val="00853108"/>
    <w:rsid w:val="00853C97"/>
    <w:rsid w:val="008541FA"/>
    <w:rsid w:val="00855039"/>
    <w:rsid w:val="0085521D"/>
    <w:rsid w:val="0085530D"/>
    <w:rsid w:val="008553DF"/>
    <w:rsid w:val="008560A6"/>
    <w:rsid w:val="00856578"/>
    <w:rsid w:val="00857E6D"/>
    <w:rsid w:val="00860C12"/>
    <w:rsid w:val="008619D6"/>
    <w:rsid w:val="00861EC1"/>
    <w:rsid w:val="0086262D"/>
    <w:rsid w:val="00862943"/>
    <w:rsid w:val="00862CB1"/>
    <w:rsid w:val="00863C74"/>
    <w:rsid w:val="0086488A"/>
    <w:rsid w:val="00865511"/>
    <w:rsid w:val="00865EE3"/>
    <w:rsid w:val="008660B4"/>
    <w:rsid w:val="008679BE"/>
    <w:rsid w:val="0087006E"/>
    <w:rsid w:val="00871606"/>
    <w:rsid w:val="00871D02"/>
    <w:rsid w:val="00871E09"/>
    <w:rsid w:val="0087200E"/>
    <w:rsid w:val="00873A89"/>
    <w:rsid w:val="008748F8"/>
    <w:rsid w:val="00875567"/>
    <w:rsid w:val="00876570"/>
    <w:rsid w:val="00876E35"/>
    <w:rsid w:val="008800AA"/>
    <w:rsid w:val="00880693"/>
    <w:rsid w:val="00880948"/>
    <w:rsid w:val="00881ABF"/>
    <w:rsid w:val="00881F33"/>
    <w:rsid w:val="00882AD5"/>
    <w:rsid w:val="00882BD5"/>
    <w:rsid w:val="0088303F"/>
    <w:rsid w:val="008835AB"/>
    <w:rsid w:val="00883E82"/>
    <w:rsid w:val="00884F09"/>
    <w:rsid w:val="00885355"/>
    <w:rsid w:val="008857E1"/>
    <w:rsid w:val="00885E3A"/>
    <w:rsid w:val="00886EFF"/>
    <w:rsid w:val="0088723A"/>
    <w:rsid w:val="008877B5"/>
    <w:rsid w:val="00887E42"/>
    <w:rsid w:val="008900C8"/>
    <w:rsid w:val="0089215D"/>
    <w:rsid w:val="0089271A"/>
    <w:rsid w:val="0089271D"/>
    <w:rsid w:val="008937EA"/>
    <w:rsid w:val="00894F4A"/>
    <w:rsid w:val="00894F87"/>
    <w:rsid w:val="00896B2C"/>
    <w:rsid w:val="008979F2"/>
    <w:rsid w:val="008A01FF"/>
    <w:rsid w:val="008A19C8"/>
    <w:rsid w:val="008A2793"/>
    <w:rsid w:val="008A2812"/>
    <w:rsid w:val="008A2FCA"/>
    <w:rsid w:val="008A30DD"/>
    <w:rsid w:val="008A3B39"/>
    <w:rsid w:val="008A44D8"/>
    <w:rsid w:val="008A4C1E"/>
    <w:rsid w:val="008A588B"/>
    <w:rsid w:val="008A6036"/>
    <w:rsid w:val="008A72E7"/>
    <w:rsid w:val="008A7460"/>
    <w:rsid w:val="008B0299"/>
    <w:rsid w:val="008B05C4"/>
    <w:rsid w:val="008B170D"/>
    <w:rsid w:val="008B1F51"/>
    <w:rsid w:val="008B23CB"/>
    <w:rsid w:val="008B25B2"/>
    <w:rsid w:val="008B5B7D"/>
    <w:rsid w:val="008B6450"/>
    <w:rsid w:val="008B6728"/>
    <w:rsid w:val="008B6935"/>
    <w:rsid w:val="008B6CC8"/>
    <w:rsid w:val="008B7966"/>
    <w:rsid w:val="008B7CF6"/>
    <w:rsid w:val="008B7EAB"/>
    <w:rsid w:val="008C127A"/>
    <w:rsid w:val="008C149F"/>
    <w:rsid w:val="008C2E2D"/>
    <w:rsid w:val="008C3929"/>
    <w:rsid w:val="008C3A6D"/>
    <w:rsid w:val="008C3E84"/>
    <w:rsid w:val="008C48DA"/>
    <w:rsid w:val="008C5463"/>
    <w:rsid w:val="008C5F5F"/>
    <w:rsid w:val="008C6021"/>
    <w:rsid w:val="008C6982"/>
    <w:rsid w:val="008C6D09"/>
    <w:rsid w:val="008D05AD"/>
    <w:rsid w:val="008D1AB6"/>
    <w:rsid w:val="008D252D"/>
    <w:rsid w:val="008D305A"/>
    <w:rsid w:val="008D3DD3"/>
    <w:rsid w:val="008D43BE"/>
    <w:rsid w:val="008D5F0E"/>
    <w:rsid w:val="008D63A8"/>
    <w:rsid w:val="008D656C"/>
    <w:rsid w:val="008D6B96"/>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A12"/>
    <w:rsid w:val="008F3EA8"/>
    <w:rsid w:val="008F63B0"/>
    <w:rsid w:val="008F67FD"/>
    <w:rsid w:val="0090064E"/>
    <w:rsid w:val="00901B3E"/>
    <w:rsid w:val="0090240B"/>
    <w:rsid w:val="009027D7"/>
    <w:rsid w:val="009034F1"/>
    <w:rsid w:val="00903E5B"/>
    <w:rsid w:val="009046F3"/>
    <w:rsid w:val="00904A03"/>
    <w:rsid w:val="00905106"/>
    <w:rsid w:val="0090521D"/>
    <w:rsid w:val="009058FA"/>
    <w:rsid w:val="0090644B"/>
    <w:rsid w:val="00906CD4"/>
    <w:rsid w:val="00906F45"/>
    <w:rsid w:val="00906FCF"/>
    <w:rsid w:val="00907F5A"/>
    <w:rsid w:val="00910FD9"/>
    <w:rsid w:val="00911524"/>
    <w:rsid w:val="00911C32"/>
    <w:rsid w:val="00911F22"/>
    <w:rsid w:val="009120B0"/>
    <w:rsid w:val="009127C3"/>
    <w:rsid w:val="009127F4"/>
    <w:rsid w:val="0091415E"/>
    <w:rsid w:val="0091485A"/>
    <w:rsid w:val="009172A5"/>
    <w:rsid w:val="009208E6"/>
    <w:rsid w:val="0092174F"/>
    <w:rsid w:val="00921940"/>
    <w:rsid w:val="00921D00"/>
    <w:rsid w:val="009229A2"/>
    <w:rsid w:val="00922C81"/>
    <w:rsid w:val="00923FE8"/>
    <w:rsid w:val="00925B09"/>
    <w:rsid w:val="009264DA"/>
    <w:rsid w:val="00927AC6"/>
    <w:rsid w:val="00927DC7"/>
    <w:rsid w:val="009316B7"/>
    <w:rsid w:val="00931BF0"/>
    <w:rsid w:val="00932C73"/>
    <w:rsid w:val="0093333D"/>
    <w:rsid w:val="00934DE1"/>
    <w:rsid w:val="00935FB3"/>
    <w:rsid w:val="0093688A"/>
    <w:rsid w:val="00936DF1"/>
    <w:rsid w:val="0093749A"/>
    <w:rsid w:val="009376C7"/>
    <w:rsid w:val="00937EBF"/>
    <w:rsid w:val="009407C8"/>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5766E"/>
    <w:rsid w:val="0096054F"/>
    <w:rsid w:val="00960582"/>
    <w:rsid w:val="00961BF0"/>
    <w:rsid w:val="00961D8E"/>
    <w:rsid w:val="00962566"/>
    <w:rsid w:val="0096265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BB3"/>
    <w:rsid w:val="00987DC6"/>
    <w:rsid w:val="0099013F"/>
    <w:rsid w:val="00990755"/>
    <w:rsid w:val="009915C5"/>
    <w:rsid w:val="00991C5E"/>
    <w:rsid w:val="00991F37"/>
    <w:rsid w:val="00992CBF"/>
    <w:rsid w:val="00994624"/>
    <w:rsid w:val="009951F3"/>
    <w:rsid w:val="00995457"/>
    <w:rsid w:val="00996849"/>
    <w:rsid w:val="00996A3A"/>
    <w:rsid w:val="00996F36"/>
    <w:rsid w:val="00997DFB"/>
    <w:rsid w:val="00997ED0"/>
    <w:rsid w:val="009A0482"/>
    <w:rsid w:val="009A0E3F"/>
    <w:rsid w:val="009A1466"/>
    <w:rsid w:val="009A2012"/>
    <w:rsid w:val="009A2557"/>
    <w:rsid w:val="009A2800"/>
    <w:rsid w:val="009A28E7"/>
    <w:rsid w:val="009A395C"/>
    <w:rsid w:val="009A4174"/>
    <w:rsid w:val="009A4446"/>
    <w:rsid w:val="009A458F"/>
    <w:rsid w:val="009A475A"/>
    <w:rsid w:val="009A4B68"/>
    <w:rsid w:val="009A4F07"/>
    <w:rsid w:val="009A4F79"/>
    <w:rsid w:val="009A63C7"/>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8F2"/>
    <w:rsid w:val="009B7B46"/>
    <w:rsid w:val="009B7CF0"/>
    <w:rsid w:val="009C054C"/>
    <w:rsid w:val="009C09CA"/>
    <w:rsid w:val="009C1D24"/>
    <w:rsid w:val="009C1D9E"/>
    <w:rsid w:val="009C1E7E"/>
    <w:rsid w:val="009C2A6C"/>
    <w:rsid w:val="009C443A"/>
    <w:rsid w:val="009C5BBC"/>
    <w:rsid w:val="009C611E"/>
    <w:rsid w:val="009C75D5"/>
    <w:rsid w:val="009C7EFC"/>
    <w:rsid w:val="009D0F5C"/>
    <w:rsid w:val="009D1612"/>
    <w:rsid w:val="009D21B1"/>
    <w:rsid w:val="009D21B7"/>
    <w:rsid w:val="009D22E9"/>
    <w:rsid w:val="009D29CF"/>
    <w:rsid w:val="009D3DA1"/>
    <w:rsid w:val="009D4034"/>
    <w:rsid w:val="009D415E"/>
    <w:rsid w:val="009D4229"/>
    <w:rsid w:val="009D51F8"/>
    <w:rsid w:val="009D5617"/>
    <w:rsid w:val="009D595B"/>
    <w:rsid w:val="009D5CFB"/>
    <w:rsid w:val="009D6519"/>
    <w:rsid w:val="009D6F57"/>
    <w:rsid w:val="009D7A8E"/>
    <w:rsid w:val="009E026A"/>
    <w:rsid w:val="009E0664"/>
    <w:rsid w:val="009E08C2"/>
    <w:rsid w:val="009E300F"/>
    <w:rsid w:val="009E322F"/>
    <w:rsid w:val="009E3820"/>
    <w:rsid w:val="009E3B42"/>
    <w:rsid w:val="009E4662"/>
    <w:rsid w:val="009E466B"/>
    <w:rsid w:val="009E4FD2"/>
    <w:rsid w:val="009E54DA"/>
    <w:rsid w:val="009E60F6"/>
    <w:rsid w:val="009E6DAC"/>
    <w:rsid w:val="009E78FF"/>
    <w:rsid w:val="009F0728"/>
    <w:rsid w:val="009F34B9"/>
    <w:rsid w:val="009F4E49"/>
    <w:rsid w:val="009F5FD5"/>
    <w:rsid w:val="009F6010"/>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6B6"/>
    <w:rsid w:val="00A06B08"/>
    <w:rsid w:val="00A06BB7"/>
    <w:rsid w:val="00A07D07"/>
    <w:rsid w:val="00A11A01"/>
    <w:rsid w:val="00A167BE"/>
    <w:rsid w:val="00A1739B"/>
    <w:rsid w:val="00A17597"/>
    <w:rsid w:val="00A17809"/>
    <w:rsid w:val="00A17D67"/>
    <w:rsid w:val="00A17DA4"/>
    <w:rsid w:val="00A202CA"/>
    <w:rsid w:val="00A215D9"/>
    <w:rsid w:val="00A21617"/>
    <w:rsid w:val="00A2185B"/>
    <w:rsid w:val="00A225F9"/>
    <w:rsid w:val="00A231D7"/>
    <w:rsid w:val="00A24015"/>
    <w:rsid w:val="00A26424"/>
    <w:rsid w:val="00A264BD"/>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07E"/>
    <w:rsid w:val="00A563F6"/>
    <w:rsid w:val="00A565D5"/>
    <w:rsid w:val="00A56E68"/>
    <w:rsid w:val="00A570CB"/>
    <w:rsid w:val="00A5772F"/>
    <w:rsid w:val="00A607F0"/>
    <w:rsid w:val="00A61490"/>
    <w:rsid w:val="00A61D03"/>
    <w:rsid w:val="00A62CCF"/>
    <w:rsid w:val="00A640FD"/>
    <w:rsid w:val="00A64A68"/>
    <w:rsid w:val="00A652B6"/>
    <w:rsid w:val="00A65333"/>
    <w:rsid w:val="00A6550B"/>
    <w:rsid w:val="00A655F2"/>
    <w:rsid w:val="00A65CA7"/>
    <w:rsid w:val="00A6615F"/>
    <w:rsid w:val="00A662BA"/>
    <w:rsid w:val="00A66C77"/>
    <w:rsid w:val="00A66DBB"/>
    <w:rsid w:val="00A67B29"/>
    <w:rsid w:val="00A67E12"/>
    <w:rsid w:val="00A7066E"/>
    <w:rsid w:val="00A71B54"/>
    <w:rsid w:val="00A7241B"/>
    <w:rsid w:val="00A72832"/>
    <w:rsid w:val="00A72A55"/>
    <w:rsid w:val="00A73F07"/>
    <w:rsid w:val="00A74454"/>
    <w:rsid w:val="00A74EF2"/>
    <w:rsid w:val="00A7502C"/>
    <w:rsid w:val="00A75FD1"/>
    <w:rsid w:val="00A761AF"/>
    <w:rsid w:val="00A767C3"/>
    <w:rsid w:val="00A80D00"/>
    <w:rsid w:val="00A812C2"/>
    <w:rsid w:val="00A81396"/>
    <w:rsid w:val="00A81CCD"/>
    <w:rsid w:val="00A81EFB"/>
    <w:rsid w:val="00A82C4D"/>
    <w:rsid w:val="00A8381B"/>
    <w:rsid w:val="00A8652F"/>
    <w:rsid w:val="00A86585"/>
    <w:rsid w:val="00A90CFF"/>
    <w:rsid w:val="00A9131D"/>
    <w:rsid w:val="00A915D4"/>
    <w:rsid w:val="00A92091"/>
    <w:rsid w:val="00A92C64"/>
    <w:rsid w:val="00A931F4"/>
    <w:rsid w:val="00A93A41"/>
    <w:rsid w:val="00A946C9"/>
    <w:rsid w:val="00A948A5"/>
    <w:rsid w:val="00A94933"/>
    <w:rsid w:val="00A94A25"/>
    <w:rsid w:val="00A95A7F"/>
    <w:rsid w:val="00A9622D"/>
    <w:rsid w:val="00A9644D"/>
    <w:rsid w:val="00A97D2C"/>
    <w:rsid w:val="00AA058A"/>
    <w:rsid w:val="00AA2151"/>
    <w:rsid w:val="00AA232A"/>
    <w:rsid w:val="00AA282A"/>
    <w:rsid w:val="00AA3186"/>
    <w:rsid w:val="00AA33EC"/>
    <w:rsid w:val="00AA443D"/>
    <w:rsid w:val="00AA6C2D"/>
    <w:rsid w:val="00AA6D82"/>
    <w:rsid w:val="00AA7321"/>
    <w:rsid w:val="00AA7851"/>
    <w:rsid w:val="00AA793A"/>
    <w:rsid w:val="00AA7958"/>
    <w:rsid w:val="00AA7B02"/>
    <w:rsid w:val="00AA7E3E"/>
    <w:rsid w:val="00AB00BD"/>
    <w:rsid w:val="00AB2C04"/>
    <w:rsid w:val="00AB3601"/>
    <w:rsid w:val="00AB4102"/>
    <w:rsid w:val="00AB4957"/>
    <w:rsid w:val="00AB4F64"/>
    <w:rsid w:val="00AB6ADB"/>
    <w:rsid w:val="00AB6DDF"/>
    <w:rsid w:val="00AB6E22"/>
    <w:rsid w:val="00AB775A"/>
    <w:rsid w:val="00AC0664"/>
    <w:rsid w:val="00AC0950"/>
    <w:rsid w:val="00AC2950"/>
    <w:rsid w:val="00AC37AA"/>
    <w:rsid w:val="00AC44B8"/>
    <w:rsid w:val="00AC47D4"/>
    <w:rsid w:val="00AC536A"/>
    <w:rsid w:val="00AD0073"/>
    <w:rsid w:val="00AD1267"/>
    <w:rsid w:val="00AD1CB4"/>
    <w:rsid w:val="00AD21B2"/>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1C9"/>
    <w:rsid w:val="00AF6F45"/>
    <w:rsid w:val="00AF7602"/>
    <w:rsid w:val="00B0049D"/>
    <w:rsid w:val="00B01CFD"/>
    <w:rsid w:val="00B02CFD"/>
    <w:rsid w:val="00B039CA"/>
    <w:rsid w:val="00B039FF"/>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A57"/>
    <w:rsid w:val="00B24B80"/>
    <w:rsid w:val="00B24FD6"/>
    <w:rsid w:val="00B267CB"/>
    <w:rsid w:val="00B27A7F"/>
    <w:rsid w:val="00B306DC"/>
    <w:rsid w:val="00B317F6"/>
    <w:rsid w:val="00B31821"/>
    <w:rsid w:val="00B31916"/>
    <w:rsid w:val="00B31CAF"/>
    <w:rsid w:val="00B31CC4"/>
    <w:rsid w:val="00B31D29"/>
    <w:rsid w:val="00B32A28"/>
    <w:rsid w:val="00B33522"/>
    <w:rsid w:val="00B36DD8"/>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3EB4"/>
    <w:rsid w:val="00B5499F"/>
    <w:rsid w:val="00B557F9"/>
    <w:rsid w:val="00B56903"/>
    <w:rsid w:val="00B5728B"/>
    <w:rsid w:val="00B575B5"/>
    <w:rsid w:val="00B57E31"/>
    <w:rsid w:val="00B60568"/>
    <w:rsid w:val="00B61468"/>
    <w:rsid w:val="00B61C5F"/>
    <w:rsid w:val="00B61F79"/>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97"/>
    <w:rsid w:val="00B757CC"/>
    <w:rsid w:val="00B75AB2"/>
    <w:rsid w:val="00B75E8B"/>
    <w:rsid w:val="00B764B4"/>
    <w:rsid w:val="00B764C8"/>
    <w:rsid w:val="00B77567"/>
    <w:rsid w:val="00B775E9"/>
    <w:rsid w:val="00B77A40"/>
    <w:rsid w:val="00B77D21"/>
    <w:rsid w:val="00B8015D"/>
    <w:rsid w:val="00B801B0"/>
    <w:rsid w:val="00B806FC"/>
    <w:rsid w:val="00B8116F"/>
    <w:rsid w:val="00B81A17"/>
    <w:rsid w:val="00B81F12"/>
    <w:rsid w:val="00B82872"/>
    <w:rsid w:val="00B828C7"/>
    <w:rsid w:val="00B82E45"/>
    <w:rsid w:val="00B85541"/>
    <w:rsid w:val="00B86591"/>
    <w:rsid w:val="00B8699F"/>
    <w:rsid w:val="00B86A9A"/>
    <w:rsid w:val="00B87EC5"/>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4BDE"/>
    <w:rsid w:val="00BB7CEA"/>
    <w:rsid w:val="00BC23EB"/>
    <w:rsid w:val="00BC2FCB"/>
    <w:rsid w:val="00BC38AC"/>
    <w:rsid w:val="00BC3AAF"/>
    <w:rsid w:val="00BC3B55"/>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00EB"/>
    <w:rsid w:val="00BF2233"/>
    <w:rsid w:val="00BF2553"/>
    <w:rsid w:val="00BF2B29"/>
    <w:rsid w:val="00BF2DB2"/>
    <w:rsid w:val="00BF3C2F"/>
    <w:rsid w:val="00BF52B5"/>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1CD8"/>
    <w:rsid w:val="00C1219E"/>
    <w:rsid w:val="00C131EA"/>
    <w:rsid w:val="00C13B08"/>
    <w:rsid w:val="00C13BA0"/>
    <w:rsid w:val="00C148E8"/>
    <w:rsid w:val="00C15436"/>
    <w:rsid w:val="00C16024"/>
    <w:rsid w:val="00C16887"/>
    <w:rsid w:val="00C1727E"/>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C6E"/>
    <w:rsid w:val="00C42EA1"/>
    <w:rsid w:val="00C431AD"/>
    <w:rsid w:val="00C440D5"/>
    <w:rsid w:val="00C453D1"/>
    <w:rsid w:val="00C45D61"/>
    <w:rsid w:val="00C45FFE"/>
    <w:rsid w:val="00C46FFD"/>
    <w:rsid w:val="00C47042"/>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9A7"/>
    <w:rsid w:val="00C76E0A"/>
    <w:rsid w:val="00C80D68"/>
    <w:rsid w:val="00C816D9"/>
    <w:rsid w:val="00C83E56"/>
    <w:rsid w:val="00C83EF0"/>
    <w:rsid w:val="00C847CF"/>
    <w:rsid w:val="00C8503D"/>
    <w:rsid w:val="00C85336"/>
    <w:rsid w:val="00C853CD"/>
    <w:rsid w:val="00C86A22"/>
    <w:rsid w:val="00C90749"/>
    <w:rsid w:val="00C908CF"/>
    <w:rsid w:val="00C9133C"/>
    <w:rsid w:val="00C91731"/>
    <w:rsid w:val="00C91785"/>
    <w:rsid w:val="00C92C49"/>
    <w:rsid w:val="00C937D4"/>
    <w:rsid w:val="00C9394B"/>
    <w:rsid w:val="00C94C34"/>
    <w:rsid w:val="00C94F92"/>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6886"/>
    <w:rsid w:val="00CB7150"/>
    <w:rsid w:val="00CB730D"/>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0DE"/>
    <w:rsid w:val="00CF024F"/>
    <w:rsid w:val="00CF0312"/>
    <w:rsid w:val="00CF0335"/>
    <w:rsid w:val="00CF0E49"/>
    <w:rsid w:val="00CF1518"/>
    <w:rsid w:val="00CF2289"/>
    <w:rsid w:val="00CF2FD6"/>
    <w:rsid w:val="00CF37AA"/>
    <w:rsid w:val="00CF3819"/>
    <w:rsid w:val="00CF3966"/>
    <w:rsid w:val="00CF3C3A"/>
    <w:rsid w:val="00CF5045"/>
    <w:rsid w:val="00CF5257"/>
    <w:rsid w:val="00CF5573"/>
    <w:rsid w:val="00CF5C4E"/>
    <w:rsid w:val="00CF760A"/>
    <w:rsid w:val="00CF7776"/>
    <w:rsid w:val="00D00609"/>
    <w:rsid w:val="00D00860"/>
    <w:rsid w:val="00D0106A"/>
    <w:rsid w:val="00D01653"/>
    <w:rsid w:val="00D01EB0"/>
    <w:rsid w:val="00D02764"/>
    <w:rsid w:val="00D0364F"/>
    <w:rsid w:val="00D04041"/>
    <w:rsid w:val="00D0439C"/>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27917"/>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1DCC"/>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8A3"/>
    <w:rsid w:val="00D70D7D"/>
    <w:rsid w:val="00D721E0"/>
    <w:rsid w:val="00D73CD2"/>
    <w:rsid w:val="00D743AB"/>
    <w:rsid w:val="00D74939"/>
    <w:rsid w:val="00D75C81"/>
    <w:rsid w:val="00D76FC9"/>
    <w:rsid w:val="00D81303"/>
    <w:rsid w:val="00D818D7"/>
    <w:rsid w:val="00D81AA4"/>
    <w:rsid w:val="00D81C65"/>
    <w:rsid w:val="00D832C3"/>
    <w:rsid w:val="00D84406"/>
    <w:rsid w:val="00D84C49"/>
    <w:rsid w:val="00D8571B"/>
    <w:rsid w:val="00D86166"/>
    <w:rsid w:val="00D87606"/>
    <w:rsid w:val="00D918AB"/>
    <w:rsid w:val="00D91E74"/>
    <w:rsid w:val="00D92257"/>
    <w:rsid w:val="00D92533"/>
    <w:rsid w:val="00D92581"/>
    <w:rsid w:val="00D93386"/>
    <w:rsid w:val="00D93511"/>
    <w:rsid w:val="00D935FF"/>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48C7"/>
    <w:rsid w:val="00DA57B9"/>
    <w:rsid w:val="00DA581E"/>
    <w:rsid w:val="00DA66E6"/>
    <w:rsid w:val="00DA736A"/>
    <w:rsid w:val="00DA7820"/>
    <w:rsid w:val="00DB01AD"/>
    <w:rsid w:val="00DB2D4A"/>
    <w:rsid w:val="00DB2E2C"/>
    <w:rsid w:val="00DB311C"/>
    <w:rsid w:val="00DB460E"/>
    <w:rsid w:val="00DB4641"/>
    <w:rsid w:val="00DB47B1"/>
    <w:rsid w:val="00DB4D13"/>
    <w:rsid w:val="00DB6B87"/>
    <w:rsid w:val="00DB6B91"/>
    <w:rsid w:val="00DC0BD0"/>
    <w:rsid w:val="00DC1E96"/>
    <w:rsid w:val="00DC1F87"/>
    <w:rsid w:val="00DC200B"/>
    <w:rsid w:val="00DC278D"/>
    <w:rsid w:val="00DC3316"/>
    <w:rsid w:val="00DC34AD"/>
    <w:rsid w:val="00DC3625"/>
    <w:rsid w:val="00DC38CB"/>
    <w:rsid w:val="00DC485E"/>
    <w:rsid w:val="00DC5180"/>
    <w:rsid w:val="00DC578F"/>
    <w:rsid w:val="00DC59A0"/>
    <w:rsid w:val="00DC5DB4"/>
    <w:rsid w:val="00DC67E4"/>
    <w:rsid w:val="00DC6A69"/>
    <w:rsid w:val="00DC7F24"/>
    <w:rsid w:val="00DD06A0"/>
    <w:rsid w:val="00DD0871"/>
    <w:rsid w:val="00DD0C70"/>
    <w:rsid w:val="00DD0CF2"/>
    <w:rsid w:val="00DD0D8C"/>
    <w:rsid w:val="00DD266B"/>
    <w:rsid w:val="00DD29CF"/>
    <w:rsid w:val="00DD34BB"/>
    <w:rsid w:val="00DD37B4"/>
    <w:rsid w:val="00DD3F77"/>
    <w:rsid w:val="00DD47D9"/>
    <w:rsid w:val="00DD7410"/>
    <w:rsid w:val="00DD7985"/>
    <w:rsid w:val="00DD7E45"/>
    <w:rsid w:val="00DE0425"/>
    <w:rsid w:val="00DE06EE"/>
    <w:rsid w:val="00DE077C"/>
    <w:rsid w:val="00DE0D51"/>
    <w:rsid w:val="00DE1037"/>
    <w:rsid w:val="00DE12B9"/>
    <w:rsid w:val="00DE1399"/>
    <w:rsid w:val="00DE2701"/>
    <w:rsid w:val="00DE3A60"/>
    <w:rsid w:val="00DE4900"/>
    <w:rsid w:val="00DE4F84"/>
    <w:rsid w:val="00DE5E63"/>
    <w:rsid w:val="00DE696D"/>
    <w:rsid w:val="00DE72BC"/>
    <w:rsid w:val="00DE7C6B"/>
    <w:rsid w:val="00DE7D63"/>
    <w:rsid w:val="00DF0574"/>
    <w:rsid w:val="00DF0961"/>
    <w:rsid w:val="00DF1D40"/>
    <w:rsid w:val="00DF1DF3"/>
    <w:rsid w:val="00DF2DFA"/>
    <w:rsid w:val="00DF2E33"/>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5E7"/>
    <w:rsid w:val="00E07822"/>
    <w:rsid w:val="00E07880"/>
    <w:rsid w:val="00E10152"/>
    <w:rsid w:val="00E10FAC"/>
    <w:rsid w:val="00E111AD"/>
    <w:rsid w:val="00E12615"/>
    <w:rsid w:val="00E1428D"/>
    <w:rsid w:val="00E15ADD"/>
    <w:rsid w:val="00E166DD"/>
    <w:rsid w:val="00E169B6"/>
    <w:rsid w:val="00E17816"/>
    <w:rsid w:val="00E207C7"/>
    <w:rsid w:val="00E20BC6"/>
    <w:rsid w:val="00E21B7F"/>
    <w:rsid w:val="00E23F22"/>
    <w:rsid w:val="00E2470B"/>
    <w:rsid w:val="00E24C0B"/>
    <w:rsid w:val="00E25089"/>
    <w:rsid w:val="00E25C12"/>
    <w:rsid w:val="00E25C1F"/>
    <w:rsid w:val="00E2707E"/>
    <w:rsid w:val="00E2763C"/>
    <w:rsid w:val="00E30BA1"/>
    <w:rsid w:val="00E322F3"/>
    <w:rsid w:val="00E32AB8"/>
    <w:rsid w:val="00E33DAB"/>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46149"/>
    <w:rsid w:val="00E509F8"/>
    <w:rsid w:val="00E510DE"/>
    <w:rsid w:val="00E51EC2"/>
    <w:rsid w:val="00E53964"/>
    <w:rsid w:val="00E53CBD"/>
    <w:rsid w:val="00E54299"/>
    <w:rsid w:val="00E54351"/>
    <w:rsid w:val="00E54500"/>
    <w:rsid w:val="00E545D3"/>
    <w:rsid w:val="00E54A0C"/>
    <w:rsid w:val="00E55BEF"/>
    <w:rsid w:val="00E5616F"/>
    <w:rsid w:val="00E56485"/>
    <w:rsid w:val="00E56DB5"/>
    <w:rsid w:val="00E57B52"/>
    <w:rsid w:val="00E61E38"/>
    <w:rsid w:val="00E63983"/>
    <w:rsid w:val="00E649A1"/>
    <w:rsid w:val="00E64B0C"/>
    <w:rsid w:val="00E64E71"/>
    <w:rsid w:val="00E662DD"/>
    <w:rsid w:val="00E6644C"/>
    <w:rsid w:val="00E66846"/>
    <w:rsid w:val="00E6764F"/>
    <w:rsid w:val="00E6792C"/>
    <w:rsid w:val="00E67F2F"/>
    <w:rsid w:val="00E702B6"/>
    <w:rsid w:val="00E70E24"/>
    <w:rsid w:val="00E7115C"/>
    <w:rsid w:val="00E71927"/>
    <w:rsid w:val="00E71B8C"/>
    <w:rsid w:val="00E7228C"/>
    <w:rsid w:val="00E727F4"/>
    <w:rsid w:val="00E733D3"/>
    <w:rsid w:val="00E7393F"/>
    <w:rsid w:val="00E73A82"/>
    <w:rsid w:val="00E74DF6"/>
    <w:rsid w:val="00E74F8B"/>
    <w:rsid w:val="00E76A31"/>
    <w:rsid w:val="00E76ADB"/>
    <w:rsid w:val="00E770B3"/>
    <w:rsid w:val="00E7734D"/>
    <w:rsid w:val="00E803B7"/>
    <w:rsid w:val="00E811F6"/>
    <w:rsid w:val="00E81204"/>
    <w:rsid w:val="00E81BF3"/>
    <w:rsid w:val="00E82517"/>
    <w:rsid w:val="00E828DB"/>
    <w:rsid w:val="00E82F3C"/>
    <w:rsid w:val="00E831C2"/>
    <w:rsid w:val="00E84B11"/>
    <w:rsid w:val="00E855E5"/>
    <w:rsid w:val="00E8596B"/>
    <w:rsid w:val="00E85F30"/>
    <w:rsid w:val="00E90C53"/>
    <w:rsid w:val="00E90EB9"/>
    <w:rsid w:val="00E91161"/>
    <w:rsid w:val="00E92048"/>
    <w:rsid w:val="00E92D6D"/>
    <w:rsid w:val="00E937A8"/>
    <w:rsid w:val="00E937AB"/>
    <w:rsid w:val="00E93A12"/>
    <w:rsid w:val="00E94751"/>
    <w:rsid w:val="00E9505E"/>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465"/>
    <w:rsid w:val="00EB4C7A"/>
    <w:rsid w:val="00EB576D"/>
    <w:rsid w:val="00EB65FD"/>
    <w:rsid w:val="00EB714D"/>
    <w:rsid w:val="00EB73E3"/>
    <w:rsid w:val="00EB750D"/>
    <w:rsid w:val="00EB75B0"/>
    <w:rsid w:val="00EB7BB8"/>
    <w:rsid w:val="00EC095C"/>
    <w:rsid w:val="00EC0C00"/>
    <w:rsid w:val="00EC1E38"/>
    <w:rsid w:val="00EC2742"/>
    <w:rsid w:val="00EC2DA8"/>
    <w:rsid w:val="00EC3988"/>
    <w:rsid w:val="00EC3FB1"/>
    <w:rsid w:val="00EC454A"/>
    <w:rsid w:val="00EC4BC0"/>
    <w:rsid w:val="00EC51E0"/>
    <w:rsid w:val="00EC5273"/>
    <w:rsid w:val="00EC5B50"/>
    <w:rsid w:val="00EC6B34"/>
    <w:rsid w:val="00EC6B37"/>
    <w:rsid w:val="00EC7DD0"/>
    <w:rsid w:val="00EC7E27"/>
    <w:rsid w:val="00ED01B0"/>
    <w:rsid w:val="00ED0548"/>
    <w:rsid w:val="00ED2217"/>
    <w:rsid w:val="00ED2F74"/>
    <w:rsid w:val="00ED372C"/>
    <w:rsid w:val="00ED414A"/>
    <w:rsid w:val="00ED41F3"/>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2E24"/>
    <w:rsid w:val="00EF4317"/>
    <w:rsid w:val="00EF4DBE"/>
    <w:rsid w:val="00EF5A27"/>
    <w:rsid w:val="00EF60CC"/>
    <w:rsid w:val="00EF6105"/>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2AF0"/>
    <w:rsid w:val="00F13034"/>
    <w:rsid w:val="00F1493E"/>
    <w:rsid w:val="00F14AA4"/>
    <w:rsid w:val="00F15412"/>
    <w:rsid w:val="00F167CB"/>
    <w:rsid w:val="00F171D2"/>
    <w:rsid w:val="00F20F67"/>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21E"/>
    <w:rsid w:val="00F44D73"/>
    <w:rsid w:val="00F45AE1"/>
    <w:rsid w:val="00F4686D"/>
    <w:rsid w:val="00F468A0"/>
    <w:rsid w:val="00F470E1"/>
    <w:rsid w:val="00F4731B"/>
    <w:rsid w:val="00F50EC3"/>
    <w:rsid w:val="00F51481"/>
    <w:rsid w:val="00F51A62"/>
    <w:rsid w:val="00F51BE3"/>
    <w:rsid w:val="00F521E1"/>
    <w:rsid w:val="00F529AD"/>
    <w:rsid w:val="00F542FE"/>
    <w:rsid w:val="00F5620E"/>
    <w:rsid w:val="00F56566"/>
    <w:rsid w:val="00F56CA2"/>
    <w:rsid w:val="00F56EBD"/>
    <w:rsid w:val="00F56F06"/>
    <w:rsid w:val="00F56F4E"/>
    <w:rsid w:val="00F57ADE"/>
    <w:rsid w:val="00F6006D"/>
    <w:rsid w:val="00F6064F"/>
    <w:rsid w:val="00F60C6E"/>
    <w:rsid w:val="00F613E1"/>
    <w:rsid w:val="00F61A7B"/>
    <w:rsid w:val="00F62075"/>
    <w:rsid w:val="00F62884"/>
    <w:rsid w:val="00F62A1B"/>
    <w:rsid w:val="00F6337A"/>
    <w:rsid w:val="00F636AB"/>
    <w:rsid w:val="00F641EA"/>
    <w:rsid w:val="00F65B2E"/>
    <w:rsid w:val="00F65FC1"/>
    <w:rsid w:val="00F66697"/>
    <w:rsid w:val="00F66F41"/>
    <w:rsid w:val="00F67502"/>
    <w:rsid w:val="00F6797D"/>
    <w:rsid w:val="00F67C80"/>
    <w:rsid w:val="00F70161"/>
    <w:rsid w:val="00F725BE"/>
    <w:rsid w:val="00F72902"/>
    <w:rsid w:val="00F73DDB"/>
    <w:rsid w:val="00F73F0E"/>
    <w:rsid w:val="00F742E9"/>
    <w:rsid w:val="00F74388"/>
    <w:rsid w:val="00F7439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BEB"/>
    <w:rsid w:val="00F95EDA"/>
    <w:rsid w:val="00F95FC5"/>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C0A3F"/>
    <w:rsid w:val="00FC1B4B"/>
    <w:rsid w:val="00FC1C17"/>
    <w:rsid w:val="00FC2093"/>
    <w:rsid w:val="00FC2354"/>
    <w:rsid w:val="00FC51FD"/>
    <w:rsid w:val="00FC5D45"/>
    <w:rsid w:val="00FC61A4"/>
    <w:rsid w:val="00FC7B97"/>
    <w:rsid w:val="00FC7CA5"/>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09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1972</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239</cp:revision>
  <dcterms:created xsi:type="dcterms:W3CDTF">2021-10-19T21:13:00Z</dcterms:created>
  <dcterms:modified xsi:type="dcterms:W3CDTF">2021-10-22T17:07:00Z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