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301D7" w14:textId="6C6623BB" w:rsidR="007F71C7" w:rsidRPr="009F283E" w:rsidRDefault="007F71C7" w:rsidP="007F71C7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bookmarkStart w:id="0" w:name="_Hlk40295327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="00E371B6" w:rsidRPr="00E371B6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R4-2117009</w:t>
      </w:r>
    </w:p>
    <w:p w14:paraId="0BAA582B" w14:textId="77777777" w:rsidR="007F71C7" w:rsidRPr="009F283E" w:rsidRDefault="007F71C7" w:rsidP="007F71C7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Electronic Meeting, 01 November – 12 November, 2021</w:t>
      </w:r>
    </w:p>
    <w:p w14:paraId="1CB24EED" w14:textId="77777777" w:rsidR="007F71C7" w:rsidRDefault="007F71C7" w:rsidP="007F71C7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44C3AA3" w14:textId="2FC8206B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7015EE">
        <w:rPr>
          <w:rFonts w:ascii="Arial" w:hAnsi="Arial" w:cs="Arial"/>
          <w:b/>
          <w:bCs/>
        </w:rPr>
        <w:t>8528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7B743B79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</w:t>
      </w:r>
      <w:r w:rsidR="005774F9">
        <w:rPr>
          <w:rFonts w:ascii="Arial" w:hAnsi="Arial" w:cs="Arial"/>
          <w:sz w:val="20"/>
          <w:szCs w:val="16"/>
        </w:rPr>
        <w:t>tric Inter-Cell Mobility to RAN4</w:t>
      </w:r>
    </w:p>
    <w:p w14:paraId="04F5D3BE" w14:textId="1FD69B1C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F2494">
        <w:rPr>
          <w:rFonts w:ascii="Arial" w:hAnsi="Arial" w:cs="Arial"/>
          <w:sz w:val="20"/>
          <w:szCs w:val="20"/>
        </w:rPr>
        <w:t>R4-2108356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572395">
        <w:rPr>
          <w:rFonts w:ascii="Arial" w:hAnsi="Arial" w:cs="Arial"/>
          <w:sz w:val="20"/>
          <w:szCs w:val="20"/>
        </w:rPr>
        <w:t>6426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0F5B7989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7015EE">
        <w:rPr>
          <w:rFonts w:ascii="Arial" w:hAnsi="Arial" w:cs="Arial"/>
          <w:bCs/>
          <w:sz w:val="20"/>
          <w:szCs w:val="20"/>
        </w:rPr>
        <w:t>RAN1</w:t>
      </w:r>
    </w:p>
    <w:p w14:paraId="56C80D42" w14:textId="06EBC269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5774F9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53B181FB" w14:textId="63DAE4D0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ED053B">
        <w:rPr>
          <w:rFonts w:ascii="Arial" w:hAnsi="Arial" w:cs="Arial"/>
          <w:bCs/>
          <w:sz w:val="20"/>
          <w:szCs w:val="20"/>
        </w:rPr>
        <w:t>RAN2</w:t>
      </w:r>
      <w:r w:rsidR="005774F9">
        <w:rPr>
          <w:rFonts w:ascii="Arial" w:hAnsi="Arial" w:cs="Arial"/>
          <w:bCs/>
          <w:sz w:val="20"/>
          <w:szCs w:val="20"/>
        </w:rPr>
        <w:t>, RAN3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2B7BA06C" w:rsidR="00196B34" w:rsidRDefault="003E324C" w:rsidP="003E324C">
      <w:pPr>
        <w:overflowPunct w:val="0"/>
        <w:adjustRightInd w:val="0"/>
        <w:spacing w:after="180"/>
        <w:textAlignment w:val="baseline"/>
        <w:rPr>
          <w:bCs/>
          <w:sz w:val="20"/>
          <w:szCs w:val="20"/>
          <w:lang w:val="en-GB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5774F9">
        <w:rPr>
          <w:rFonts w:eastAsia="DengXian"/>
          <w:sz w:val="20"/>
          <w:szCs w:val="20"/>
          <w:lang w:eastAsia="zh-CN"/>
        </w:rPr>
        <w:t>1 would like to thank RAN4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</w:t>
      </w:r>
      <w:r w:rsidR="005774F9">
        <w:rPr>
          <w:bCs/>
          <w:sz w:val="20"/>
          <w:szCs w:val="20"/>
          <w:lang w:val="en-GB"/>
        </w:rPr>
        <w:t xml:space="preserve">estion in the LS reply from RAN4 as follows. </w:t>
      </w:r>
    </w:p>
    <w:p w14:paraId="2F242C3C" w14:textId="77777777" w:rsidR="005774F9" w:rsidRPr="001F6816" w:rsidRDefault="005774F9" w:rsidP="005774F9">
      <w:pPr>
        <w:snapToGrid w:val="0"/>
        <w:spacing w:after="60"/>
        <w:jc w:val="both"/>
        <w:rPr>
          <w:rFonts w:eastAsia="Batang"/>
          <w:sz w:val="20"/>
          <w:szCs w:val="20"/>
          <w:lang w:eastAsia="en-US"/>
        </w:rPr>
      </w:pPr>
      <w:r>
        <w:rPr>
          <w:rFonts w:eastAsia="Batang"/>
          <w:sz w:val="20"/>
          <w:szCs w:val="20"/>
          <w:lang w:eastAsia="en-US"/>
        </w:rPr>
        <w:t xml:space="preserve">It is restated that ‘question 5’ refers to question 5 in </w:t>
      </w:r>
      <w:r>
        <w:rPr>
          <w:bCs/>
          <w:sz w:val="20"/>
          <w:szCs w:val="20"/>
          <w:lang w:eastAsia="zh-CN"/>
        </w:rPr>
        <w:t>RAN1 LS R1-2102248.</w:t>
      </w:r>
    </w:p>
    <w:p w14:paraId="36CC2199" w14:textId="3C169C64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561F3C2A" w14:textId="77777777" w:rsidR="00863132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b/>
                <w:noProof/>
                <w:sz w:val="20"/>
                <w:lang w:val="en-GB" w:eastAsia="zh-CN"/>
              </w:rPr>
            </w:pPr>
          </w:p>
          <w:p w14:paraId="3F6264E5" w14:textId="77777777" w:rsidR="005774F9" w:rsidRPr="001F6816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1</w:t>
            </w:r>
            <w:r w:rsidRPr="001F6816">
              <w:rPr>
                <w:rFonts w:ascii="Arial" w:hAnsi="Arial" w:cs="Arial"/>
                <w:sz w:val="20"/>
                <w:szCs w:val="20"/>
              </w:rPr>
              <w:t>: It is RAN4 common understanding that for the intra-band CA scenario the primary serving cell and secondary serving cell(s) belong to the same frequency band, rather than the serving and non-serving cells belong to the same frequency band as described in the question. Likewise intra-band CA explanation, for inter-band CA case a serving cell and secondary serving cell(s) belong to different frequency bands rather than the serving and non-serving cells.</w:t>
            </w:r>
            <w:r w:rsidRPr="001F6816" w:rsidDel="00C11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6816">
              <w:rPr>
                <w:rFonts w:ascii="Arial" w:hAnsi="Arial" w:cs="Arial"/>
                <w:sz w:val="20"/>
                <w:szCs w:val="20"/>
              </w:rPr>
              <w:t>Can RAN1 please further clarify the intra-band/inter-band scenarios based on above RAN4 common understanding?</w:t>
            </w:r>
          </w:p>
          <w:p w14:paraId="3509A853" w14:textId="77777777" w:rsidR="005774F9" w:rsidRDefault="005774F9" w:rsidP="005774F9">
            <w:pPr>
              <w:snapToGrid w:val="0"/>
              <w:spacing w:after="60"/>
              <w:jc w:val="both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79DFCD61" w14:textId="4538F487" w:rsidR="005774F9" w:rsidRDefault="005774F9" w:rsidP="005774F9">
            <w:pPr>
              <w:snapToGrid w:val="0"/>
              <w:spacing w:after="60"/>
              <w:jc w:val="both"/>
              <w:rPr>
                <w:sz w:val="20"/>
                <w:szCs w:val="22"/>
                <w:lang w:eastAsia="zh-CN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1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>: In the context of ‘question 5’, it should be noted that RAN1 is not redefining CA. Therefore, RAN1 shares the same understanding as RAN4.</w:t>
            </w:r>
          </w:p>
          <w:p w14:paraId="19D70584" w14:textId="77777777" w:rsidR="005774F9" w:rsidRDefault="005774F9" w:rsidP="005774F9">
            <w:pPr>
              <w:snapToGrid w:val="0"/>
              <w:spacing w:after="60"/>
              <w:jc w:val="both"/>
              <w:rPr>
                <w:sz w:val="20"/>
                <w:szCs w:val="22"/>
                <w:lang w:eastAsia="zh-CN"/>
              </w:rPr>
            </w:pPr>
            <w:r>
              <w:rPr>
                <w:sz w:val="20"/>
                <w:szCs w:val="22"/>
                <w:lang w:eastAsia="zh-CN"/>
              </w:rPr>
              <w:t xml:space="preserve">Note that in Rel-17,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the relevant scenario to be considered is intra-band. </w:t>
            </w:r>
          </w:p>
          <w:p w14:paraId="0C99016F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E1EDC8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C56DF3" w14:textId="2D2934F9" w:rsidR="005774F9" w:rsidRPr="001F6816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2</w:t>
            </w:r>
            <w:r w:rsidRPr="001F6816">
              <w:rPr>
                <w:rFonts w:ascii="Arial" w:hAnsi="Arial" w:cs="Arial"/>
                <w:sz w:val="20"/>
                <w:szCs w:val="20"/>
              </w:rPr>
              <w:t>: RAN4 would like RAN1 to clarify whether “the operation” in question 5 refers to only L1/L2-centric inter-cell mobility or both inter-cell mobility and inter-cell mTRP operations. Does RAN4 need to consider inter-cell mTRP operation into the “CA scenario” of Question 5?</w:t>
            </w:r>
          </w:p>
          <w:p w14:paraId="3F0DDAF7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32D07545" w14:textId="4239D0D9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2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 Furthermore, per the revised WID, the term “L1/L2-centric inter-cell mobility” should be replaced with “inter-cell beam management”. The “operation” in ‘question 5’ refers to both inter-cell beam management and inter-cell mTRP.</w:t>
            </w:r>
          </w:p>
          <w:p w14:paraId="6BFF82E2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DD878F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4C5E9" w14:textId="3D8CBCAD" w:rsidR="005774F9" w:rsidRP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lastRenderedPageBreak/>
              <w:t>Question 3:</w:t>
            </w:r>
            <w:r w:rsidRPr="001F6816">
              <w:rPr>
                <w:rFonts w:ascii="Arial" w:hAnsi="Arial" w:cs="Arial"/>
                <w:sz w:val="20"/>
                <w:szCs w:val="20"/>
              </w:rPr>
              <w:t xml:space="preserve"> RAN4 also would like RAN1 and RAN2 to further clarify on the definition of non-serving cell especially whether UE shall support data/control channel reception and transmission from non-serving cell including </w:t>
            </w:r>
            <w:bookmarkStart w:id="1" w:name="_Hlk72938458"/>
            <w:r w:rsidRPr="001F6816">
              <w:rPr>
                <w:rFonts w:ascii="Arial" w:hAnsi="Arial" w:cs="Arial"/>
                <w:sz w:val="20"/>
                <w:szCs w:val="20"/>
              </w:rPr>
              <w:t xml:space="preserve">simultaneous reception and transmission capabilities under CA scenarios. </w:t>
            </w:r>
            <w:bookmarkEnd w:id="1"/>
          </w:p>
          <w:p w14:paraId="6F294B37" w14:textId="77777777" w:rsidR="005774F9" w:rsidRDefault="005774F9" w:rsidP="005774F9">
            <w:pPr>
              <w:snapToGrid w:val="0"/>
              <w:spacing w:after="60"/>
              <w:jc w:val="both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1E377970" w14:textId="77777777" w:rsidR="005774F9" w:rsidRPr="00251AC7" w:rsidRDefault="005774F9" w:rsidP="005774F9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3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Batang"/>
                <w:sz w:val="20"/>
                <w:szCs w:val="20"/>
                <w:lang w:eastAsia="en-US"/>
              </w:rPr>
              <w:t>Therefore, the above question 3 is no longer relevant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>. The term “non-serving cell” is simply a reference to a TRP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 associated with a physical cell ID different from that of the serving cell.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Regarding simultaneous reception and transmission, based on the </w:t>
            </w:r>
            <w:r w:rsidRPr="00251AC7">
              <w:rPr>
                <w:rFonts w:eastAsia="Batang"/>
                <w:sz w:val="20"/>
                <w:szCs w:val="20"/>
                <w:lang w:val="en-GB" w:eastAsia="en-US"/>
              </w:rPr>
              <w:t>revised WID:</w:t>
            </w:r>
          </w:p>
          <w:p w14:paraId="513A8C49" w14:textId="77777777" w:rsidR="005774F9" w:rsidRPr="00251AC7" w:rsidRDefault="005774F9" w:rsidP="005774F9">
            <w:pPr>
              <w:pStyle w:val="ListParagraph"/>
              <w:numPr>
                <w:ilvl w:val="0"/>
                <w:numId w:val="36"/>
              </w:numPr>
              <w:snapToGrid w:val="0"/>
              <w:spacing w:after="60"/>
              <w:ind w:leftChars="0"/>
              <w:jc w:val="both"/>
              <w:rPr>
                <w:rFonts w:eastAsia="Batang"/>
                <w:sz w:val="20"/>
                <w:szCs w:val="20"/>
                <w:lang w:val="en-GB"/>
              </w:rPr>
            </w:pPr>
            <w:r w:rsidRPr="00251AC7">
              <w:rPr>
                <w:sz w:val="20"/>
                <w:szCs w:val="20"/>
              </w:rPr>
              <w:t xml:space="preserve">For inter-cell beam management, a UE can </w:t>
            </w:r>
            <w:r>
              <w:rPr>
                <w:sz w:val="20"/>
                <w:szCs w:val="20"/>
              </w:rPr>
              <w:t>only</w:t>
            </w:r>
            <w:r w:rsidRPr="00251A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communicate with a single cell and no change in serving cell is assumed</w:t>
            </w:r>
          </w:p>
          <w:p w14:paraId="4E24BB1D" w14:textId="77777777" w:rsidR="005774F9" w:rsidRPr="00251AC7" w:rsidRDefault="005774F9" w:rsidP="005774F9">
            <w:pPr>
              <w:pStyle w:val="ListParagraph"/>
              <w:numPr>
                <w:ilvl w:val="0"/>
                <w:numId w:val="36"/>
              </w:numPr>
              <w:snapToGrid w:val="0"/>
              <w:spacing w:after="60"/>
              <w:ind w:leftChars="0"/>
              <w:jc w:val="both"/>
              <w:rPr>
                <w:rFonts w:eastAsia="Batang"/>
                <w:sz w:val="20"/>
                <w:szCs w:val="20"/>
                <w:lang w:val="en-GB"/>
              </w:rPr>
            </w:pPr>
            <w:r w:rsidRPr="00251AC7">
              <w:rPr>
                <w:sz w:val="20"/>
                <w:szCs w:val="20"/>
              </w:rPr>
              <w:t xml:space="preserve">For inter-cell mTRP, </w:t>
            </w:r>
            <w:r>
              <w:rPr>
                <w:sz w:val="20"/>
                <w:szCs w:val="20"/>
              </w:rPr>
              <w:t>since it assumes multi-PDSCH reception and multi-DCI, simultaneous DL reception from the serving cell and a TRP associated with a physical cell ID different from that of the serving cell</w:t>
            </w:r>
            <w:r w:rsidRPr="00407E68">
              <w:rPr>
                <w:sz w:val="20"/>
                <w:szCs w:val="20"/>
              </w:rPr>
              <w:t xml:space="preserve"> is supported. There is </w:t>
            </w:r>
            <w:r w:rsidRPr="00407E68">
              <w:rPr>
                <w:bCs/>
                <w:sz w:val="20"/>
                <w:szCs w:val="20"/>
                <w:lang w:eastAsia="zh-CN"/>
              </w:rPr>
              <w:t>no impact on simultaneous reception and transmission capabilities under CA scenarios.</w:t>
            </w:r>
            <w:r w:rsidRPr="00407E68">
              <w:rPr>
                <w:sz w:val="20"/>
                <w:szCs w:val="20"/>
              </w:rPr>
              <w:t xml:space="preserve">  </w:t>
            </w:r>
          </w:p>
          <w:p w14:paraId="722B2545" w14:textId="77777777" w:rsidR="005774F9" w:rsidRDefault="005774F9" w:rsidP="005774F9">
            <w:pPr>
              <w:snapToGrid w:val="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The above includes cells in CA scenarios. </w:t>
            </w:r>
          </w:p>
          <w:p w14:paraId="378F0610" w14:textId="77777777" w:rsidR="00196B34" w:rsidRPr="00863132" w:rsidRDefault="00196B34" w:rsidP="005774F9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6A1B361D" w:rsidR="005C4BD3" w:rsidRPr="001E376C" w:rsidRDefault="00F45293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RAN4</w:t>
      </w:r>
    </w:p>
    <w:p w14:paraId="617864CA" w14:textId="10DB4E44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="00F45293">
        <w:rPr>
          <w:rFonts w:eastAsia="SimSun"/>
          <w:sz w:val="20"/>
          <w:szCs w:val="20"/>
          <w:lang w:eastAsia="zh-CN"/>
        </w:rPr>
        <w:t>4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3718E" w14:textId="77777777" w:rsidR="007B34F6" w:rsidRDefault="007B34F6">
      <w:r>
        <w:separator/>
      </w:r>
    </w:p>
  </w:endnote>
  <w:endnote w:type="continuationSeparator" w:id="0">
    <w:p w14:paraId="17A11C8E" w14:textId="77777777" w:rsidR="007B34F6" w:rsidRDefault="007B34F6">
      <w:r>
        <w:continuationSeparator/>
      </w:r>
    </w:p>
  </w:endnote>
  <w:endnote w:type="continuationNotice" w:id="1">
    <w:p w14:paraId="63BD9A87" w14:textId="77777777" w:rsidR="007B34F6" w:rsidRDefault="007B3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157C4" w14:textId="1D657512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15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015E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1B25A" w14:textId="77777777" w:rsidR="007B34F6" w:rsidRDefault="007B34F6">
      <w:r>
        <w:separator/>
      </w:r>
    </w:p>
  </w:footnote>
  <w:footnote w:type="continuationSeparator" w:id="0">
    <w:p w14:paraId="053BCD61" w14:textId="77777777" w:rsidR="007B34F6" w:rsidRDefault="007B34F6">
      <w:r>
        <w:continuationSeparator/>
      </w:r>
    </w:p>
  </w:footnote>
  <w:footnote w:type="continuationNotice" w:id="1">
    <w:p w14:paraId="328FF2AF" w14:textId="77777777" w:rsidR="007B34F6" w:rsidRDefault="007B3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33D9A"/>
    <w:multiLevelType w:val="hybridMultilevel"/>
    <w:tmpl w:val="11CE7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20"/>
  </w:num>
  <w:num w:numId="10">
    <w:abstractNumId w:val="2"/>
  </w:num>
  <w:num w:numId="11">
    <w:abstractNumId w:val="24"/>
  </w:num>
  <w:num w:numId="12">
    <w:abstractNumId w:val="26"/>
  </w:num>
  <w:num w:numId="13">
    <w:abstractNumId w:val="4"/>
  </w:num>
  <w:num w:numId="14">
    <w:abstractNumId w:val="12"/>
  </w:num>
  <w:num w:numId="15">
    <w:abstractNumId w:val="5"/>
  </w:num>
  <w:num w:numId="16">
    <w:abstractNumId w:val="19"/>
  </w:num>
  <w:num w:numId="17">
    <w:abstractNumId w:val="6"/>
  </w:num>
  <w:num w:numId="18">
    <w:abstractNumId w:val="0"/>
  </w:num>
  <w:num w:numId="19">
    <w:abstractNumId w:val="21"/>
  </w:num>
  <w:num w:numId="20">
    <w:abstractNumId w:val="7"/>
  </w:num>
  <w:num w:numId="21">
    <w:abstractNumId w:val="16"/>
  </w:num>
  <w:num w:numId="22">
    <w:abstractNumId w:val="25"/>
  </w:num>
  <w:num w:numId="23">
    <w:abstractNumId w:val="13"/>
  </w:num>
  <w:num w:numId="24">
    <w:abstractNumId w:val="17"/>
  </w:num>
  <w:num w:numId="25">
    <w:abstractNumId w:val="14"/>
  </w:num>
  <w:num w:numId="26">
    <w:abstractNumId w:val="26"/>
  </w:num>
  <w:num w:numId="27">
    <w:abstractNumId w:val="26"/>
  </w:num>
  <w:num w:numId="28">
    <w:abstractNumId w:val="26"/>
  </w:num>
  <w:num w:numId="29">
    <w:abstractNumId w:val="26"/>
  </w:num>
  <w:num w:numId="30">
    <w:abstractNumId w:val="26"/>
  </w:num>
  <w:num w:numId="31">
    <w:abstractNumId w:val="26"/>
  </w:num>
  <w:num w:numId="32">
    <w:abstractNumId w:val="1"/>
  </w:num>
  <w:num w:numId="33">
    <w:abstractNumId w:val="1"/>
  </w:num>
  <w:num w:numId="34">
    <w:abstractNumId w:val="27"/>
  </w:num>
  <w:num w:numId="35">
    <w:abstractNumId w:val="3"/>
  </w:num>
  <w:num w:numId="36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2D5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494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395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4F9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6B6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451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5EE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4F6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1C7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132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6905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B6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053B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9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,列表段落11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  <w:style w:type="paragraph" w:customStyle="1" w:styleId="00BodyText">
    <w:name w:val="00 BodyText"/>
    <w:basedOn w:val="Normal"/>
    <w:rsid w:val="0086313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A4F3D5-6022-416A-A286-913319DEEB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168</TotalTime>
  <Pages>2</Pages>
  <Words>540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3558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MCC</cp:lastModifiedBy>
  <cp:revision>26</cp:revision>
  <cp:lastPrinted>2008-01-30T23:09:00Z</cp:lastPrinted>
  <dcterms:created xsi:type="dcterms:W3CDTF">2021-06-03T00:30:00Z</dcterms:created>
  <dcterms:modified xsi:type="dcterms:W3CDTF">2021-10-14T07:33:00Z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