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7A6EF29F"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101</w:t>
      </w:r>
      <w:r w:rsidR="00650283">
        <w:rPr>
          <w:rFonts w:asciiTheme="minorHAnsi" w:hAnsiTheme="minorHAnsi" w:cstheme="minorHAnsi"/>
          <w:sz w:val="24"/>
          <w:szCs w:val="24"/>
        </w:rPr>
        <w:t>bis</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8E0068">
        <w:rPr>
          <w:rFonts w:asciiTheme="minorHAnsi" w:hAnsiTheme="minorHAnsi" w:cstheme="minorHAnsi"/>
          <w:sz w:val="24"/>
          <w:szCs w:val="24"/>
        </w:rPr>
        <w:t>201988</w:t>
      </w:r>
      <w:bookmarkStart w:id="2" w:name="_GoBack"/>
      <w:bookmarkEnd w:id="2"/>
    </w:p>
    <w:p w14:paraId="56A5A245" w14:textId="48A79D4F"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696055">
        <w:rPr>
          <w:rFonts w:asciiTheme="minorHAnsi" w:eastAsia="SimSun" w:hAnsiTheme="minorHAnsi" w:cstheme="minorHAnsi"/>
          <w:sz w:val="24"/>
          <w:szCs w:val="24"/>
          <w:lang w:eastAsia="zh-CN"/>
        </w:rPr>
        <w:t>17</w:t>
      </w:r>
      <w:r w:rsidR="00696055" w:rsidRPr="00696055">
        <w:rPr>
          <w:rFonts w:asciiTheme="minorHAnsi" w:eastAsia="SimSun" w:hAnsiTheme="minorHAnsi" w:cstheme="minorHAnsi"/>
          <w:sz w:val="24"/>
          <w:szCs w:val="24"/>
          <w:vertAlign w:val="superscript"/>
          <w:lang w:eastAsia="zh-CN"/>
        </w:rPr>
        <w:t>th</w:t>
      </w:r>
      <w:r w:rsidR="00696055">
        <w:rPr>
          <w:rFonts w:asciiTheme="minorHAnsi" w:eastAsia="SimSun" w:hAnsiTheme="minorHAnsi" w:cstheme="minorHAnsi"/>
          <w:sz w:val="24"/>
          <w:szCs w:val="24"/>
          <w:lang w:eastAsia="zh-CN"/>
        </w:rPr>
        <w:t xml:space="preserve"> – 25</w:t>
      </w:r>
      <w:r w:rsidR="00696055" w:rsidRPr="00696055">
        <w:rPr>
          <w:rFonts w:asciiTheme="minorHAnsi" w:eastAsia="SimSun" w:hAnsiTheme="minorHAnsi" w:cstheme="minorHAnsi"/>
          <w:sz w:val="24"/>
          <w:szCs w:val="24"/>
          <w:vertAlign w:val="superscript"/>
          <w:lang w:eastAsia="zh-CN"/>
        </w:rPr>
        <w:t>th</w:t>
      </w:r>
      <w:r w:rsidR="00696055">
        <w:rPr>
          <w:rFonts w:asciiTheme="minorHAnsi" w:eastAsia="SimSun" w:hAnsiTheme="minorHAnsi" w:cstheme="minorHAnsi"/>
          <w:sz w:val="24"/>
          <w:szCs w:val="24"/>
          <w:lang w:eastAsia="zh-CN"/>
        </w:rPr>
        <w:t xml:space="preserve"> </w:t>
      </w:r>
      <w:r w:rsidR="00650283">
        <w:rPr>
          <w:rFonts w:asciiTheme="minorHAnsi" w:eastAsia="SimSun" w:hAnsiTheme="minorHAnsi" w:cstheme="minorHAnsi"/>
          <w:sz w:val="24"/>
          <w:szCs w:val="24"/>
          <w:lang w:eastAsia="zh-CN"/>
        </w:rPr>
        <w:t>January</w:t>
      </w:r>
      <w:r w:rsidRPr="00F460AE">
        <w:rPr>
          <w:rFonts w:asciiTheme="minorHAnsi" w:eastAsia="SimSun" w:hAnsiTheme="minorHAnsi" w:cstheme="minorHAnsi"/>
          <w:sz w:val="24"/>
          <w:szCs w:val="24"/>
          <w:lang w:eastAsia="zh-CN"/>
        </w:rPr>
        <w:t>, 202</w:t>
      </w:r>
      <w:r w:rsidR="00696055">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EDC73BD"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ED06D6">
        <w:rPr>
          <w:rFonts w:asciiTheme="minorHAnsi" w:eastAsia="SimSun" w:hAnsiTheme="minorHAnsi" w:cstheme="minorHAnsi"/>
          <w:b/>
          <w:sz w:val="24"/>
          <w:szCs w:val="24"/>
          <w:lang w:val="en-US" w:eastAsia="zh-CN"/>
        </w:rPr>
        <w:t xml:space="preserve">RedCap general </w:t>
      </w:r>
      <w:r w:rsidR="00B00361">
        <w:rPr>
          <w:rFonts w:asciiTheme="minorHAnsi" w:eastAsia="SimSun" w:hAnsiTheme="minorHAnsi" w:cstheme="minorHAnsi"/>
          <w:b/>
          <w:sz w:val="24"/>
          <w:szCs w:val="24"/>
          <w:lang w:val="en-US" w:eastAsia="zh-CN"/>
        </w:rPr>
        <w:t xml:space="preserve">UE RF requirements </w:t>
      </w:r>
      <w:r w:rsidR="00ED06D6">
        <w:rPr>
          <w:rFonts w:asciiTheme="minorHAnsi" w:eastAsia="SimSun" w:hAnsiTheme="minorHAnsi" w:cstheme="minorHAnsi"/>
          <w:b/>
          <w:sz w:val="24"/>
          <w:szCs w:val="24"/>
          <w:lang w:val="en-US" w:eastAsia="zh-CN"/>
        </w:rPr>
        <w:t>aspects</w:t>
      </w:r>
    </w:p>
    <w:p w14:paraId="2B4F11BA" w14:textId="01FC8B7B"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B00361">
        <w:rPr>
          <w:rFonts w:asciiTheme="minorHAnsi" w:eastAsia="SimSun" w:hAnsiTheme="minorHAnsi" w:cstheme="minorHAnsi"/>
          <w:b/>
          <w:sz w:val="24"/>
          <w:szCs w:val="24"/>
          <w:lang w:val="en-US" w:eastAsia="zh-CN"/>
        </w:rPr>
        <w:t>6.20.2</w:t>
      </w:r>
      <w:r w:rsidR="008E3E54">
        <w:rPr>
          <w:rFonts w:asciiTheme="minorHAnsi" w:eastAsia="SimSun" w:hAnsiTheme="minorHAnsi" w:cstheme="minorHAnsi"/>
          <w:b/>
          <w:sz w:val="24"/>
          <w:szCs w:val="24"/>
          <w:lang w:val="en-US" w:eastAsia="zh-CN"/>
        </w:rPr>
        <w:t>.1</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3CAFAF73"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ED06D6">
        <w:rPr>
          <w:rFonts w:asciiTheme="minorHAnsi" w:hAnsiTheme="minorHAnsi" w:cstheme="minorHAnsi"/>
          <w:lang w:eastAsia="zh-TW"/>
        </w:rPr>
        <w:t xml:space="preserve">highlights some important aspects that need to be </w:t>
      </w:r>
      <w:r w:rsidR="00BF5365">
        <w:rPr>
          <w:rFonts w:asciiTheme="minorHAnsi" w:hAnsiTheme="minorHAnsi" w:cstheme="minorHAnsi"/>
          <w:lang w:eastAsia="zh-TW"/>
        </w:rPr>
        <w:t>defined clearly</w:t>
      </w:r>
      <w:r w:rsidR="00ED06D6">
        <w:rPr>
          <w:rFonts w:asciiTheme="minorHAnsi" w:hAnsiTheme="minorHAnsi" w:cstheme="minorHAnsi"/>
          <w:lang w:eastAsia="zh-TW"/>
        </w:rPr>
        <w:t xml:space="preserve"> when introducing RedCap into the RAN4 RF specifications.</w:t>
      </w:r>
    </w:p>
    <w:p w14:paraId="01997AEF" w14:textId="517BDA47" w:rsidR="00D8482C" w:rsidRDefault="00ED06D6" w:rsidP="00D8482C">
      <w:pPr>
        <w:pStyle w:val="Heading1"/>
        <w:numPr>
          <w:ilvl w:val="0"/>
          <w:numId w:val="1"/>
        </w:numPr>
        <w:rPr>
          <w:rFonts w:ascii="Calibri" w:hAnsi="Calibri" w:cs="Calibri"/>
          <w:sz w:val="32"/>
          <w:lang w:eastAsia="zh-TW"/>
        </w:rPr>
      </w:pPr>
      <w:r>
        <w:rPr>
          <w:rFonts w:ascii="Calibri" w:hAnsi="Calibri" w:cs="Calibri"/>
          <w:sz w:val="32"/>
          <w:lang w:eastAsia="zh-TW"/>
        </w:rPr>
        <w:t>Applicability for single band operation only</w:t>
      </w:r>
    </w:p>
    <w:p w14:paraId="592CA8A5" w14:textId="77777777" w:rsidR="006A4E2A" w:rsidRDefault="00ED06D6" w:rsidP="00ED06D6">
      <w:pPr>
        <w:rPr>
          <w:rFonts w:asciiTheme="minorHAnsi" w:hAnsiTheme="minorHAnsi" w:cstheme="minorHAnsi"/>
          <w:lang w:eastAsia="zh-TW"/>
        </w:rPr>
      </w:pPr>
      <w:r w:rsidRPr="00ED06D6">
        <w:rPr>
          <w:rFonts w:asciiTheme="minorHAnsi" w:hAnsiTheme="minorHAnsi" w:cstheme="minorHAnsi"/>
          <w:lang w:eastAsia="zh-TW"/>
        </w:rPr>
        <w:t xml:space="preserve">The RedCap WID </w:t>
      </w:r>
      <w:r>
        <w:rPr>
          <w:rFonts w:asciiTheme="minorHAnsi" w:hAnsiTheme="minorHAnsi" w:cstheme="minorHAnsi"/>
          <w:lang w:eastAsia="zh-TW"/>
        </w:rPr>
        <w:t xml:space="preserve">[1] </w:t>
      </w:r>
      <w:r w:rsidRPr="00ED06D6">
        <w:rPr>
          <w:rFonts w:asciiTheme="minorHAnsi" w:hAnsiTheme="minorHAnsi" w:cstheme="minorHAnsi"/>
          <w:lang w:eastAsia="zh-TW"/>
        </w:rPr>
        <w:t xml:space="preserve">indicates: </w:t>
      </w:r>
    </w:p>
    <w:p w14:paraId="5F453EA1" w14:textId="77777777" w:rsidR="006A4E2A" w:rsidRPr="006A4E2A" w:rsidRDefault="00ED06D6" w:rsidP="006A4E2A">
      <w:pPr>
        <w:ind w:firstLine="284"/>
        <w:rPr>
          <w:rFonts w:asciiTheme="minorHAnsi" w:hAnsiTheme="minorHAnsi" w:cstheme="minorHAnsi"/>
          <w:i/>
          <w:lang w:eastAsia="ja-JP"/>
        </w:rPr>
      </w:pPr>
      <w:r w:rsidRPr="006A4E2A">
        <w:rPr>
          <w:rFonts w:asciiTheme="minorHAnsi" w:hAnsiTheme="minorHAnsi" w:cstheme="minorHAnsi"/>
          <w:i/>
          <w:lang w:eastAsia="zh-TW"/>
        </w:rPr>
        <w:t>“</w:t>
      </w:r>
      <w:r w:rsidRPr="006A4E2A">
        <w:rPr>
          <w:rFonts w:asciiTheme="minorHAnsi" w:hAnsiTheme="minorHAnsi" w:cstheme="minorHAnsi"/>
          <w:i/>
          <w:lang w:eastAsia="ja-JP"/>
        </w:rPr>
        <w:t xml:space="preserve">This WI focuses on SA mode and single connectivity with operation in a single band at a time”. </w:t>
      </w:r>
    </w:p>
    <w:p w14:paraId="49BD758E" w14:textId="05A769CA" w:rsidR="00ED06D6" w:rsidRDefault="00ED06D6" w:rsidP="00ED06D6">
      <w:pPr>
        <w:rPr>
          <w:rFonts w:asciiTheme="minorHAnsi" w:hAnsiTheme="minorHAnsi" w:cstheme="minorHAnsi"/>
          <w:lang w:eastAsia="ja-JP"/>
        </w:rPr>
      </w:pPr>
      <w:r>
        <w:rPr>
          <w:rFonts w:asciiTheme="minorHAnsi" w:hAnsiTheme="minorHAnsi" w:cstheme="minorHAnsi"/>
          <w:lang w:eastAsia="ja-JP"/>
        </w:rPr>
        <w:t>Therefore it is important that TS38.101</w:t>
      </w:r>
      <w:r w:rsidR="006A4E2A">
        <w:rPr>
          <w:rFonts w:asciiTheme="minorHAnsi" w:hAnsiTheme="minorHAnsi" w:cstheme="minorHAnsi"/>
          <w:lang w:eastAsia="ja-JP"/>
        </w:rPr>
        <w:t>-1 and TS38.101-2</w:t>
      </w:r>
      <w:r>
        <w:rPr>
          <w:rFonts w:asciiTheme="minorHAnsi" w:hAnsiTheme="minorHAnsi" w:cstheme="minorHAnsi"/>
          <w:lang w:eastAsia="ja-JP"/>
        </w:rPr>
        <w:t xml:space="preserve"> clarif</w:t>
      </w:r>
      <w:r w:rsidR="006A4E2A">
        <w:rPr>
          <w:rFonts w:asciiTheme="minorHAnsi" w:hAnsiTheme="minorHAnsi" w:cstheme="minorHAnsi"/>
          <w:lang w:eastAsia="ja-JP"/>
        </w:rPr>
        <w:t>y</w:t>
      </w:r>
      <w:r>
        <w:rPr>
          <w:rFonts w:asciiTheme="minorHAnsi" w:hAnsiTheme="minorHAnsi" w:cstheme="minorHAnsi"/>
          <w:lang w:eastAsia="ja-JP"/>
        </w:rPr>
        <w:t xml:space="preserve"> that </w:t>
      </w:r>
      <w:r w:rsidR="006A4E2A">
        <w:rPr>
          <w:rFonts w:asciiTheme="minorHAnsi" w:hAnsiTheme="minorHAnsi" w:cstheme="minorHAnsi"/>
          <w:lang w:eastAsia="ja-JP"/>
        </w:rPr>
        <w:t>f</w:t>
      </w:r>
      <w:r w:rsidRPr="00B00361">
        <w:rPr>
          <w:rFonts w:asciiTheme="minorHAnsi" w:hAnsiTheme="minorHAnsi" w:cstheme="minorHAnsi"/>
          <w:lang w:eastAsia="ja-JP"/>
        </w:rPr>
        <w:t>or the RedCap UE, only RF requirements for single band operation are applicable.</w:t>
      </w:r>
      <w:r>
        <w:rPr>
          <w:rFonts w:asciiTheme="minorHAnsi" w:hAnsiTheme="minorHAnsi" w:cstheme="minorHAnsi"/>
          <w:lang w:eastAsia="ja-JP"/>
        </w:rPr>
        <w:t xml:space="preserve"> </w:t>
      </w:r>
    </w:p>
    <w:p w14:paraId="50817D2C" w14:textId="63F098CE" w:rsidR="00B00361" w:rsidRDefault="00B00361" w:rsidP="00ED06D6">
      <w:pPr>
        <w:rPr>
          <w:rFonts w:asciiTheme="minorHAnsi" w:hAnsiTheme="minorHAnsi" w:cstheme="minorHAnsi"/>
          <w:b/>
          <w:lang w:eastAsia="ja-JP"/>
        </w:rPr>
      </w:pPr>
      <w:r w:rsidRPr="00B00361">
        <w:rPr>
          <w:rFonts w:asciiTheme="minorHAnsi" w:hAnsiTheme="minorHAnsi" w:cstheme="minorHAnsi"/>
          <w:b/>
          <w:u w:val="single"/>
          <w:lang w:eastAsia="ja-JP"/>
        </w:rPr>
        <w:t>Proposal 1</w:t>
      </w:r>
      <w:r w:rsidRPr="00B00361">
        <w:rPr>
          <w:rFonts w:asciiTheme="minorHAnsi" w:hAnsiTheme="minorHAnsi" w:cstheme="minorHAnsi"/>
          <w:b/>
          <w:lang w:eastAsia="ja-JP"/>
        </w:rPr>
        <w:t xml:space="preserve">: </w:t>
      </w:r>
      <w:r w:rsidR="006A4E2A">
        <w:rPr>
          <w:rFonts w:asciiTheme="minorHAnsi" w:hAnsiTheme="minorHAnsi" w:cstheme="minorHAnsi"/>
          <w:b/>
          <w:lang w:eastAsia="ja-JP"/>
        </w:rPr>
        <w:t>Add text to</w:t>
      </w:r>
      <w:r w:rsidRPr="00B00361">
        <w:rPr>
          <w:rFonts w:asciiTheme="minorHAnsi" w:hAnsiTheme="minorHAnsi" w:cstheme="minorHAnsi"/>
          <w:b/>
          <w:lang w:eastAsia="ja-JP"/>
        </w:rPr>
        <w:t xml:space="preserve"> TS38.101</w:t>
      </w:r>
      <w:r w:rsidR="006A4E2A">
        <w:rPr>
          <w:rFonts w:asciiTheme="minorHAnsi" w:hAnsiTheme="minorHAnsi" w:cstheme="minorHAnsi"/>
          <w:b/>
          <w:lang w:eastAsia="ja-JP"/>
        </w:rPr>
        <w:t>-1 and 38.101-2 to clarify</w:t>
      </w:r>
      <w:r w:rsidRPr="00B00361">
        <w:rPr>
          <w:rFonts w:asciiTheme="minorHAnsi" w:hAnsiTheme="minorHAnsi" w:cstheme="minorHAnsi"/>
          <w:b/>
          <w:lang w:eastAsia="ja-JP"/>
        </w:rPr>
        <w:t xml:space="preserve"> that “For the RedCap UE, only RF requirements for single band operation are applicable”.</w:t>
      </w:r>
    </w:p>
    <w:p w14:paraId="4127F8A2" w14:textId="78573DC2" w:rsidR="00D8482C" w:rsidRDefault="00ED06D6" w:rsidP="00D8482C">
      <w:pPr>
        <w:pStyle w:val="Heading1"/>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 xml:space="preserve">Tx-Rx separation for FDD </w:t>
      </w:r>
      <w:r w:rsidR="00B00361">
        <w:rPr>
          <w:rFonts w:asciiTheme="minorHAnsi" w:hAnsiTheme="minorHAnsi" w:cstheme="minorHAnsi"/>
          <w:sz w:val="32"/>
          <w:lang w:val="en-US" w:eastAsia="zh-CN"/>
        </w:rPr>
        <w:t>bands</w:t>
      </w:r>
    </w:p>
    <w:p w14:paraId="42A656ED" w14:textId="4ED6B5C9" w:rsidR="00ED06D6" w:rsidRPr="00ED06D6" w:rsidRDefault="00ED06D6" w:rsidP="00ED06D6">
      <w:pPr>
        <w:rPr>
          <w:rFonts w:asciiTheme="minorHAnsi" w:hAnsiTheme="minorHAnsi" w:cstheme="minorHAnsi"/>
          <w:lang w:val="en-US" w:eastAsia="zh-CN"/>
        </w:rPr>
      </w:pPr>
      <w:r w:rsidRPr="00ED06D6">
        <w:rPr>
          <w:rFonts w:asciiTheme="minorHAnsi" w:hAnsiTheme="minorHAnsi" w:cstheme="minorHAnsi"/>
          <w:lang w:val="en-US" w:eastAsia="zh-CN"/>
        </w:rPr>
        <w:t>RAN</w:t>
      </w:r>
      <w:r>
        <w:rPr>
          <w:rFonts w:asciiTheme="minorHAnsi" w:hAnsiTheme="minorHAnsi" w:cstheme="minorHAnsi"/>
          <w:lang w:val="en-US" w:eastAsia="zh-CN"/>
        </w:rPr>
        <w:t xml:space="preserve">1 has defined a DL BWP offloading mechanism for the RedCap UE within the deployed bandwidth of the Base Station, in which case the 20MHz bandwidth received by the UE may not cover the PRBs in which the CD-SSB is configured (see extract from [2] below). </w:t>
      </w:r>
    </w:p>
    <w:p w14:paraId="440BB178" w14:textId="77777777" w:rsidR="00ED06D6" w:rsidRPr="00ED06D6" w:rsidRDefault="00ED06D6" w:rsidP="00ED06D6">
      <w:pPr>
        <w:pStyle w:val="paragraph"/>
        <w:spacing w:before="0" w:beforeAutospacing="0" w:after="0" w:afterAutospacing="0"/>
        <w:textAlignment w:val="baseline"/>
        <w:rPr>
          <w:rFonts w:ascii="Segoe UI" w:hAnsi="Segoe UI" w:cs="Segoe UI"/>
          <w:i/>
          <w:sz w:val="18"/>
          <w:szCs w:val="18"/>
        </w:rPr>
      </w:pPr>
      <w:r w:rsidRPr="00ED06D6">
        <w:rPr>
          <w:rStyle w:val="normaltextrun"/>
          <w:i/>
          <w:sz w:val="20"/>
          <w:szCs w:val="20"/>
          <w:shd w:val="clear" w:color="auto" w:fill="00FF00"/>
          <w:lang w:val="en-US"/>
        </w:rPr>
        <w:t>Agreement:</w:t>
      </w:r>
      <w:r w:rsidRPr="00ED06D6">
        <w:rPr>
          <w:rStyle w:val="eop"/>
          <w:i/>
          <w:sz w:val="20"/>
          <w:szCs w:val="20"/>
        </w:rPr>
        <w:t> </w:t>
      </w:r>
    </w:p>
    <w:p w14:paraId="0FA413C0" w14:textId="77777777" w:rsidR="00ED06D6" w:rsidRPr="00ED06D6" w:rsidRDefault="00ED06D6" w:rsidP="00ED06D6">
      <w:pPr>
        <w:pStyle w:val="paragraph"/>
        <w:numPr>
          <w:ilvl w:val="0"/>
          <w:numId w:val="8"/>
        </w:numPr>
        <w:spacing w:before="0" w:beforeAutospacing="0" w:after="0" w:afterAutospacing="0"/>
        <w:ind w:left="360" w:firstLine="0"/>
        <w:textAlignment w:val="baseline"/>
        <w:rPr>
          <w:i/>
          <w:sz w:val="22"/>
          <w:szCs w:val="22"/>
        </w:rPr>
      </w:pPr>
      <w:r w:rsidRPr="00ED06D6">
        <w:rPr>
          <w:rStyle w:val="normaltextrun"/>
          <w:i/>
          <w:sz w:val="20"/>
          <w:szCs w:val="20"/>
        </w:rPr>
        <w:t>For both FR1 and FR2, for a cell that allows a RedCap UE to access, network can configure a separate initial DL BWP for RedCap UEs in SIB. At least the case when the separate initial DL BWP includes CD-SSB and the entire CORESET#0 is supported</w:t>
      </w:r>
      <w:r w:rsidRPr="00ED06D6">
        <w:rPr>
          <w:rStyle w:val="eop"/>
          <w:i/>
          <w:sz w:val="20"/>
          <w:szCs w:val="20"/>
        </w:rPr>
        <w:t> </w:t>
      </w:r>
    </w:p>
    <w:p w14:paraId="249675BB" w14:textId="77777777" w:rsidR="00ED06D6" w:rsidRPr="00ED06D6" w:rsidRDefault="00ED06D6" w:rsidP="00ED06D6">
      <w:pPr>
        <w:pStyle w:val="paragraph"/>
        <w:numPr>
          <w:ilvl w:val="0"/>
          <w:numId w:val="9"/>
        </w:numPr>
        <w:spacing w:before="0" w:beforeAutospacing="0" w:after="0" w:afterAutospacing="0"/>
        <w:ind w:left="1080" w:firstLine="0"/>
        <w:textAlignment w:val="baseline"/>
        <w:rPr>
          <w:i/>
          <w:sz w:val="22"/>
          <w:szCs w:val="22"/>
        </w:rPr>
      </w:pPr>
      <w:r w:rsidRPr="00ED06D6">
        <w:rPr>
          <w:rStyle w:val="normaltextrun"/>
          <w:i/>
          <w:sz w:val="20"/>
          <w:szCs w:val="20"/>
        </w:rPr>
        <w:t>It can be used in idle/inactive mode (including paging) and during and after initial access, when applicable</w:t>
      </w:r>
      <w:r w:rsidRPr="00ED06D6">
        <w:rPr>
          <w:rStyle w:val="eop"/>
          <w:i/>
          <w:sz w:val="20"/>
          <w:szCs w:val="20"/>
        </w:rPr>
        <w:t> </w:t>
      </w:r>
    </w:p>
    <w:p w14:paraId="3B2F5DA0" w14:textId="77777777" w:rsidR="00ED06D6" w:rsidRPr="00ED06D6" w:rsidRDefault="00ED06D6" w:rsidP="00ED06D6">
      <w:pPr>
        <w:pStyle w:val="paragraph"/>
        <w:numPr>
          <w:ilvl w:val="0"/>
          <w:numId w:val="9"/>
        </w:numPr>
        <w:spacing w:before="0" w:beforeAutospacing="0" w:after="0" w:afterAutospacing="0"/>
        <w:ind w:left="1080" w:firstLine="0"/>
        <w:textAlignment w:val="baseline"/>
        <w:rPr>
          <w:i/>
          <w:sz w:val="22"/>
          <w:szCs w:val="22"/>
        </w:rPr>
      </w:pPr>
      <w:r w:rsidRPr="00ED06D6">
        <w:rPr>
          <w:rStyle w:val="normaltextrun"/>
          <w:i/>
          <w:sz w:val="20"/>
          <w:szCs w:val="20"/>
        </w:rPr>
        <w:t>It is no wider than the maximum RedCap UE bandwidth.</w:t>
      </w:r>
      <w:r w:rsidRPr="00ED06D6">
        <w:rPr>
          <w:rStyle w:val="eop"/>
          <w:i/>
          <w:sz w:val="20"/>
          <w:szCs w:val="20"/>
        </w:rPr>
        <w:t> </w:t>
      </w:r>
    </w:p>
    <w:p w14:paraId="2327A309" w14:textId="77777777" w:rsidR="00ED06D6" w:rsidRPr="00ED06D6" w:rsidRDefault="00ED06D6" w:rsidP="00ED06D6">
      <w:pPr>
        <w:pStyle w:val="paragraph"/>
        <w:numPr>
          <w:ilvl w:val="0"/>
          <w:numId w:val="9"/>
        </w:numPr>
        <w:spacing w:before="0" w:beforeAutospacing="0" w:after="0" w:afterAutospacing="0"/>
        <w:ind w:left="1080" w:firstLine="0"/>
        <w:textAlignment w:val="baseline"/>
        <w:rPr>
          <w:i/>
          <w:sz w:val="22"/>
          <w:szCs w:val="22"/>
        </w:rPr>
      </w:pPr>
      <w:r w:rsidRPr="00ED06D6">
        <w:rPr>
          <w:rStyle w:val="normaltextrun"/>
          <w:i/>
          <w:sz w:val="20"/>
          <w:szCs w:val="20"/>
        </w:rPr>
        <w:t>This applies to both TDD and FDD (including FD FDD and HD FDD) cases.</w:t>
      </w:r>
      <w:r w:rsidRPr="00ED06D6">
        <w:rPr>
          <w:rStyle w:val="eop"/>
          <w:i/>
          <w:sz w:val="20"/>
          <w:szCs w:val="20"/>
        </w:rPr>
        <w:t> </w:t>
      </w:r>
    </w:p>
    <w:p w14:paraId="4F0530B1" w14:textId="77777777" w:rsidR="00ED06D6" w:rsidRPr="00ED06D6" w:rsidRDefault="00ED06D6" w:rsidP="00ED06D6">
      <w:pPr>
        <w:pStyle w:val="paragraph"/>
        <w:spacing w:before="0" w:beforeAutospacing="0" w:after="0" w:afterAutospacing="0"/>
        <w:textAlignment w:val="baseline"/>
        <w:rPr>
          <w:rFonts w:ascii="Segoe UI" w:hAnsi="Segoe UI" w:cs="Segoe UI"/>
          <w:i/>
          <w:sz w:val="18"/>
          <w:szCs w:val="18"/>
        </w:rPr>
      </w:pPr>
      <w:r w:rsidRPr="00ED06D6">
        <w:rPr>
          <w:rStyle w:val="normaltextrun"/>
          <w:i/>
          <w:sz w:val="20"/>
          <w:szCs w:val="20"/>
          <w:shd w:val="clear" w:color="auto" w:fill="00FF00"/>
          <w:lang w:val="en-US"/>
        </w:rPr>
        <w:t>Agreement:</w:t>
      </w:r>
      <w:r w:rsidRPr="00ED06D6">
        <w:rPr>
          <w:rStyle w:val="eop"/>
          <w:i/>
          <w:sz w:val="20"/>
          <w:szCs w:val="20"/>
        </w:rPr>
        <w:t> </w:t>
      </w:r>
    </w:p>
    <w:p w14:paraId="1529D40A" w14:textId="77777777" w:rsidR="00ED06D6" w:rsidRPr="00ED06D6" w:rsidRDefault="00ED06D6" w:rsidP="00ED06D6">
      <w:pPr>
        <w:pStyle w:val="paragraph"/>
        <w:numPr>
          <w:ilvl w:val="0"/>
          <w:numId w:val="10"/>
        </w:numPr>
        <w:spacing w:before="0" w:beforeAutospacing="0" w:after="0" w:afterAutospacing="0"/>
        <w:ind w:left="360" w:firstLine="0"/>
        <w:textAlignment w:val="baseline"/>
        <w:rPr>
          <w:rFonts w:ascii="Microsoft YaHei UI" w:eastAsia="Microsoft YaHei UI" w:hAnsi="Microsoft YaHei UI" w:cs="Segoe UI"/>
          <w:i/>
          <w:sz w:val="22"/>
          <w:szCs w:val="22"/>
        </w:rPr>
      </w:pPr>
      <w:r w:rsidRPr="00ED06D6">
        <w:rPr>
          <w:rStyle w:val="normaltextrun"/>
          <w:rFonts w:eastAsia="Microsoft YaHei UI"/>
          <w:i/>
          <w:sz w:val="20"/>
          <w:szCs w:val="20"/>
        </w:rPr>
        <w:t>For FR1,</w:t>
      </w:r>
      <w:r w:rsidRPr="00ED06D6">
        <w:rPr>
          <w:rStyle w:val="eop"/>
          <w:rFonts w:eastAsia="Microsoft YaHei UI"/>
          <w:i/>
          <w:sz w:val="20"/>
          <w:szCs w:val="20"/>
        </w:rPr>
        <w:t> </w:t>
      </w:r>
    </w:p>
    <w:p w14:paraId="00B84007" w14:textId="77777777" w:rsidR="00ED06D6" w:rsidRPr="00ED06D6" w:rsidRDefault="00ED06D6" w:rsidP="00ED06D6">
      <w:pPr>
        <w:pStyle w:val="paragraph"/>
        <w:numPr>
          <w:ilvl w:val="0"/>
          <w:numId w:val="11"/>
        </w:numPr>
        <w:spacing w:before="0" w:beforeAutospacing="0" w:after="0" w:afterAutospacing="0"/>
        <w:ind w:left="1080" w:firstLine="0"/>
        <w:textAlignment w:val="baseline"/>
        <w:rPr>
          <w:i/>
          <w:sz w:val="22"/>
          <w:szCs w:val="22"/>
        </w:rPr>
      </w:pPr>
      <w:r w:rsidRPr="00ED06D6">
        <w:rPr>
          <w:rStyle w:val="normaltextrun"/>
          <w:i/>
          <w:sz w:val="20"/>
          <w:szCs w:val="20"/>
        </w:rPr>
        <w:t>For a separate initial DL BWP (if it does not include CD-SSB and the entire CORESET#0) from RAN1 perspective,</w:t>
      </w:r>
      <w:r w:rsidRPr="00ED06D6">
        <w:rPr>
          <w:rStyle w:val="eop"/>
          <w:i/>
          <w:sz w:val="20"/>
          <w:szCs w:val="20"/>
        </w:rPr>
        <w:t> </w:t>
      </w:r>
    </w:p>
    <w:p w14:paraId="377D0F74" w14:textId="77777777" w:rsidR="00ED06D6" w:rsidRPr="00ED06D6" w:rsidRDefault="00ED06D6" w:rsidP="00ED06D6">
      <w:pPr>
        <w:pStyle w:val="paragraph"/>
        <w:numPr>
          <w:ilvl w:val="0"/>
          <w:numId w:val="12"/>
        </w:numPr>
        <w:spacing w:before="0" w:beforeAutospacing="0" w:after="0" w:afterAutospacing="0"/>
        <w:ind w:left="1800" w:firstLine="0"/>
        <w:textAlignment w:val="baseline"/>
        <w:rPr>
          <w:i/>
          <w:sz w:val="22"/>
          <w:szCs w:val="22"/>
        </w:rPr>
      </w:pPr>
      <w:r w:rsidRPr="00ED06D6">
        <w:rPr>
          <w:rStyle w:val="normaltextrun"/>
          <w:i/>
          <w:sz w:val="20"/>
          <w:szCs w:val="20"/>
        </w:rPr>
        <w:t>If it is configured for random access while not for paging in idle/inactive mode, RedCap UE does NOT expect it to contain SSB/CORESET#0/SIB.</w:t>
      </w:r>
      <w:r w:rsidRPr="00ED06D6">
        <w:rPr>
          <w:rStyle w:val="eop"/>
          <w:i/>
          <w:sz w:val="20"/>
          <w:szCs w:val="20"/>
        </w:rPr>
        <w:t> </w:t>
      </w:r>
    </w:p>
    <w:p w14:paraId="53C6B6D9" w14:textId="77777777" w:rsidR="00ED06D6" w:rsidRPr="00ED06D6" w:rsidRDefault="00ED06D6" w:rsidP="00ED06D6">
      <w:pPr>
        <w:pStyle w:val="paragraph"/>
        <w:numPr>
          <w:ilvl w:val="0"/>
          <w:numId w:val="12"/>
        </w:numPr>
        <w:spacing w:before="0" w:beforeAutospacing="0" w:after="0" w:afterAutospacing="0"/>
        <w:ind w:left="1800" w:firstLine="0"/>
        <w:textAlignment w:val="baseline"/>
        <w:rPr>
          <w:i/>
          <w:sz w:val="22"/>
          <w:szCs w:val="22"/>
        </w:rPr>
      </w:pPr>
      <w:r w:rsidRPr="00ED06D6">
        <w:rPr>
          <w:rStyle w:val="normaltextrun"/>
          <w:i/>
          <w:sz w:val="20"/>
          <w:szCs w:val="20"/>
        </w:rPr>
        <w:t>Note: RAN1 assumes REDCAP UE performing Random access in the separate DL BWP does not need to monitor paging in a BWP containing CORESET#0</w:t>
      </w:r>
      <w:r w:rsidRPr="00ED06D6">
        <w:rPr>
          <w:rStyle w:val="eop"/>
          <w:i/>
          <w:sz w:val="20"/>
          <w:szCs w:val="20"/>
        </w:rPr>
        <w:t> </w:t>
      </w:r>
    </w:p>
    <w:p w14:paraId="096182BE" w14:textId="77777777" w:rsidR="00ED06D6" w:rsidRPr="00ED06D6" w:rsidRDefault="00ED06D6" w:rsidP="00ED06D6">
      <w:pPr>
        <w:pStyle w:val="paragraph"/>
        <w:numPr>
          <w:ilvl w:val="0"/>
          <w:numId w:val="12"/>
        </w:numPr>
        <w:spacing w:before="0" w:beforeAutospacing="0" w:after="0" w:afterAutospacing="0"/>
        <w:ind w:left="1800" w:firstLine="0"/>
        <w:textAlignment w:val="baseline"/>
        <w:rPr>
          <w:i/>
          <w:sz w:val="22"/>
          <w:szCs w:val="22"/>
        </w:rPr>
      </w:pPr>
      <w:r w:rsidRPr="00ED06D6">
        <w:rPr>
          <w:rStyle w:val="normaltextrun"/>
          <w:i/>
          <w:sz w:val="20"/>
          <w:szCs w:val="20"/>
          <w:shd w:val="clear" w:color="auto" w:fill="808000"/>
        </w:rPr>
        <w:t>Working assumption:</w:t>
      </w:r>
      <w:r w:rsidRPr="00ED06D6">
        <w:rPr>
          <w:rStyle w:val="normaltextrun"/>
          <w:i/>
          <w:sz w:val="20"/>
          <w:szCs w:val="20"/>
        </w:rPr>
        <w:t> If it is configured for paging, RedCap UE expects it to contain NCD-SSB for serving cell but not CORESET#0/SIB from RAN1 perspective</w:t>
      </w:r>
      <w:r w:rsidRPr="00ED06D6">
        <w:rPr>
          <w:rStyle w:val="eop"/>
          <w:i/>
          <w:sz w:val="20"/>
          <w:szCs w:val="20"/>
        </w:rPr>
        <w:t> </w:t>
      </w:r>
    </w:p>
    <w:p w14:paraId="7CE179AD" w14:textId="77777777" w:rsidR="00ED06D6" w:rsidRPr="00ED06D6" w:rsidRDefault="00ED06D6" w:rsidP="00ED06D6">
      <w:pPr>
        <w:pStyle w:val="paragraph"/>
        <w:numPr>
          <w:ilvl w:val="0"/>
          <w:numId w:val="13"/>
        </w:numPr>
        <w:spacing w:before="0" w:beforeAutospacing="0" w:after="0" w:afterAutospacing="0"/>
        <w:ind w:left="1080" w:firstLine="0"/>
        <w:textAlignment w:val="baseline"/>
        <w:rPr>
          <w:i/>
          <w:sz w:val="22"/>
          <w:szCs w:val="22"/>
        </w:rPr>
      </w:pPr>
      <w:r w:rsidRPr="00ED06D6">
        <w:rPr>
          <w:rStyle w:val="normaltextrun"/>
          <w:i/>
          <w:sz w:val="20"/>
          <w:szCs w:val="20"/>
        </w:rPr>
        <w:t>For an RRC-configured active DL BWP in connected mode (if it does not include CD-SSB and the entire CORESET#0) from RAN1 perspective,</w:t>
      </w:r>
      <w:r w:rsidRPr="00ED06D6">
        <w:rPr>
          <w:rStyle w:val="eop"/>
          <w:i/>
          <w:sz w:val="20"/>
          <w:szCs w:val="20"/>
        </w:rPr>
        <w:t> </w:t>
      </w:r>
    </w:p>
    <w:p w14:paraId="7105ED10" w14:textId="77777777" w:rsidR="00ED06D6" w:rsidRPr="00ED06D6" w:rsidRDefault="00ED06D6" w:rsidP="00ED06D6">
      <w:pPr>
        <w:pStyle w:val="paragraph"/>
        <w:numPr>
          <w:ilvl w:val="0"/>
          <w:numId w:val="14"/>
        </w:numPr>
        <w:spacing w:before="0" w:beforeAutospacing="0" w:after="0" w:afterAutospacing="0"/>
        <w:ind w:left="1800" w:firstLine="0"/>
        <w:textAlignment w:val="baseline"/>
        <w:rPr>
          <w:i/>
          <w:sz w:val="22"/>
          <w:szCs w:val="22"/>
        </w:rPr>
      </w:pPr>
      <w:r w:rsidRPr="00ED06D6">
        <w:rPr>
          <w:rStyle w:val="normaltextrun"/>
          <w:i/>
          <w:sz w:val="20"/>
          <w:szCs w:val="20"/>
        </w:rPr>
        <w:t>A RedCap UE supporting mandatory FG 6-1 (but not optional FG 6-1a) expects it to contain NCD-SSB for serving cell but not CORESET#0/SIB</w:t>
      </w:r>
      <w:r w:rsidRPr="00ED06D6">
        <w:rPr>
          <w:rStyle w:val="eop"/>
          <w:i/>
          <w:sz w:val="20"/>
          <w:szCs w:val="20"/>
        </w:rPr>
        <w:t> </w:t>
      </w:r>
    </w:p>
    <w:p w14:paraId="0B646B89" w14:textId="77777777" w:rsidR="00ED06D6" w:rsidRPr="00ED06D6" w:rsidRDefault="00ED06D6" w:rsidP="00ED06D6">
      <w:pPr>
        <w:pStyle w:val="paragraph"/>
        <w:numPr>
          <w:ilvl w:val="0"/>
          <w:numId w:val="14"/>
        </w:numPr>
        <w:spacing w:before="0" w:beforeAutospacing="0" w:after="0" w:afterAutospacing="0"/>
        <w:ind w:left="1800" w:firstLine="0"/>
        <w:textAlignment w:val="baseline"/>
        <w:rPr>
          <w:i/>
          <w:sz w:val="22"/>
          <w:szCs w:val="22"/>
        </w:rPr>
      </w:pPr>
      <w:r w:rsidRPr="00ED06D6">
        <w:rPr>
          <w:rStyle w:val="normaltextrun"/>
          <w:i/>
          <w:sz w:val="20"/>
          <w:szCs w:val="20"/>
        </w:rPr>
        <w:t xml:space="preserve">A RedCap UE can indicate the </w:t>
      </w:r>
      <w:r w:rsidRPr="00ED06D6">
        <w:rPr>
          <w:rStyle w:val="normaltextrun"/>
          <w:i/>
          <w:sz w:val="20"/>
          <w:szCs w:val="20"/>
          <w:lang w:val="en-US"/>
        </w:rPr>
        <w:t xml:space="preserve">following </w:t>
      </w:r>
      <w:r w:rsidRPr="00ED06D6">
        <w:rPr>
          <w:rStyle w:val="normaltextrun"/>
          <w:i/>
          <w:sz w:val="20"/>
          <w:szCs w:val="20"/>
        </w:rPr>
        <w:t>as optional capability</w:t>
      </w:r>
      <w:r w:rsidRPr="00ED06D6">
        <w:rPr>
          <w:rStyle w:val="normaltextrun"/>
          <w:i/>
          <w:sz w:val="20"/>
          <w:szCs w:val="20"/>
          <w:lang w:val="en-US"/>
        </w:rPr>
        <w:t>:</w:t>
      </w:r>
      <w:r w:rsidRPr="00ED06D6">
        <w:rPr>
          <w:rStyle w:val="eop"/>
          <w:i/>
          <w:sz w:val="20"/>
          <w:szCs w:val="20"/>
        </w:rPr>
        <w:t> </w:t>
      </w:r>
    </w:p>
    <w:p w14:paraId="267E2FD4" w14:textId="77777777" w:rsidR="00ED06D6" w:rsidRPr="00ED06D6" w:rsidRDefault="00ED06D6" w:rsidP="00ED06D6">
      <w:pPr>
        <w:pStyle w:val="paragraph"/>
        <w:numPr>
          <w:ilvl w:val="0"/>
          <w:numId w:val="15"/>
        </w:numPr>
        <w:spacing w:before="0" w:beforeAutospacing="0" w:after="0" w:afterAutospacing="0"/>
        <w:ind w:left="2520" w:firstLine="0"/>
        <w:textAlignment w:val="baseline"/>
        <w:rPr>
          <w:rFonts w:ascii="Microsoft YaHei UI" w:eastAsia="Microsoft YaHei UI" w:hAnsi="Microsoft YaHei UI" w:cs="Segoe UI"/>
          <w:i/>
          <w:sz w:val="22"/>
          <w:szCs w:val="22"/>
        </w:rPr>
      </w:pPr>
      <w:r w:rsidRPr="00ED06D6">
        <w:rPr>
          <w:rStyle w:val="normaltextrun"/>
          <w:rFonts w:eastAsia="Microsoft YaHei UI"/>
          <w:i/>
          <w:sz w:val="20"/>
          <w:szCs w:val="20"/>
          <w:lang w:val="en-US"/>
        </w:rPr>
        <w:t xml:space="preserve">Not need NCD-SSB: </w:t>
      </w:r>
      <w:r w:rsidRPr="00ED06D6">
        <w:rPr>
          <w:rStyle w:val="normaltextrun"/>
          <w:rFonts w:eastAsia="Microsoft YaHei UI"/>
          <w:i/>
          <w:sz w:val="20"/>
          <w:szCs w:val="20"/>
        </w:rPr>
        <w:t>A RedCap UE can in addition optionally support relevant operation based on CSI-RS (</w:t>
      </w:r>
      <w:r w:rsidRPr="00ED06D6">
        <w:rPr>
          <w:rStyle w:val="normaltextrun"/>
          <w:rFonts w:eastAsia="Microsoft YaHei UI"/>
          <w:i/>
          <w:sz w:val="20"/>
          <w:szCs w:val="20"/>
          <w:shd w:val="clear" w:color="auto" w:fill="808000"/>
        </w:rPr>
        <w:t>working assumption</w:t>
      </w:r>
      <w:r w:rsidRPr="00ED06D6">
        <w:rPr>
          <w:rStyle w:val="normaltextrun"/>
          <w:rFonts w:eastAsia="Microsoft YaHei UI"/>
          <w:i/>
          <w:sz w:val="20"/>
          <w:szCs w:val="20"/>
        </w:rPr>
        <w:t>) and/or FG 6-1a by reporting optional capabilities.</w:t>
      </w:r>
      <w:r w:rsidRPr="00ED06D6">
        <w:rPr>
          <w:rStyle w:val="eop"/>
          <w:rFonts w:eastAsia="Microsoft YaHei UI"/>
          <w:i/>
          <w:sz w:val="20"/>
          <w:szCs w:val="20"/>
        </w:rPr>
        <w:t> </w:t>
      </w:r>
    </w:p>
    <w:p w14:paraId="51FD8F50" w14:textId="77777777" w:rsidR="00ED06D6" w:rsidRPr="00ED06D6" w:rsidRDefault="00ED06D6" w:rsidP="00ED06D6">
      <w:pPr>
        <w:pStyle w:val="paragraph"/>
        <w:numPr>
          <w:ilvl w:val="0"/>
          <w:numId w:val="16"/>
        </w:numPr>
        <w:spacing w:before="0" w:beforeAutospacing="0" w:after="0" w:afterAutospacing="0"/>
        <w:ind w:left="1080" w:firstLine="0"/>
        <w:textAlignment w:val="baseline"/>
        <w:rPr>
          <w:i/>
          <w:sz w:val="22"/>
          <w:szCs w:val="22"/>
        </w:rPr>
      </w:pPr>
      <w:r w:rsidRPr="00ED06D6">
        <w:rPr>
          <w:rStyle w:val="normaltextrun"/>
          <w:i/>
          <w:sz w:val="20"/>
          <w:szCs w:val="20"/>
        </w:rPr>
        <w:lastRenderedPageBreak/>
        <w:t>Note: if a separate initial/RRC configured DL BWP is configured to contain the entire CORESET#0, CD-SSB is expected by RedCap UE.</w:t>
      </w:r>
      <w:r w:rsidRPr="00ED06D6">
        <w:rPr>
          <w:rStyle w:val="eop"/>
          <w:i/>
          <w:sz w:val="20"/>
          <w:szCs w:val="20"/>
        </w:rPr>
        <w:t> </w:t>
      </w:r>
    </w:p>
    <w:p w14:paraId="076FCBDA" w14:textId="77777777" w:rsidR="00ED06D6" w:rsidRPr="00ED06D6" w:rsidRDefault="00ED06D6" w:rsidP="00ED06D6">
      <w:pPr>
        <w:pStyle w:val="paragraph"/>
        <w:numPr>
          <w:ilvl w:val="0"/>
          <w:numId w:val="16"/>
        </w:numPr>
        <w:spacing w:before="0" w:beforeAutospacing="0" w:after="0" w:afterAutospacing="0"/>
        <w:ind w:left="1080" w:firstLine="0"/>
        <w:textAlignment w:val="baseline"/>
        <w:rPr>
          <w:i/>
          <w:sz w:val="22"/>
          <w:szCs w:val="22"/>
        </w:rPr>
      </w:pPr>
      <w:r w:rsidRPr="00ED06D6">
        <w:rPr>
          <w:rStyle w:val="normaltextrun"/>
          <w:i/>
          <w:sz w:val="20"/>
          <w:szCs w:val="20"/>
        </w:rPr>
        <w:t>Note: The network may choose to configure SSB or MIB-configured CORESET#0 or SIB1 to be within the respective DL BWP.</w:t>
      </w:r>
      <w:r w:rsidRPr="00ED06D6">
        <w:rPr>
          <w:rStyle w:val="eop"/>
          <w:i/>
          <w:sz w:val="20"/>
          <w:szCs w:val="20"/>
        </w:rPr>
        <w:t> </w:t>
      </w:r>
    </w:p>
    <w:p w14:paraId="66EC313A" w14:textId="77777777" w:rsidR="00ED06D6" w:rsidRPr="00ED06D6" w:rsidRDefault="00ED06D6" w:rsidP="00ED06D6">
      <w:pPr>
        <w:pStyle w:val="paragraph"/>
        <w:numPr>
          <w:ilvl w:val="0"/>
          <w:numId w:val="16"/>
        </w:numPr>
        <w:spacing w:before="0" w:beforeAutospacing="0" w:after="0" w:afterAutospacing="0"/>
        <w:ind w:left="1080" w:firstLine="0"/>
        <w:textAlignment w:val="baseline"/>
        <w:rPr>
          <w:i/>
          <w:sz w:val="22"/>
          <w:szCs w:val="22"/>
        </w:rPr>
      </w:pPr>
      <w:r w:rsidRPr="00ED06D6">
        <w:rPr>
          <w:rStyle w:val="normaltextrun"/>
          <w:i/>
          <w:sz w:val="20"/>
          <w:szCs w:val="20"/>
          <w:lang w:val="en-US"/>
        </w:rPr>
        <w:t>Note: If a separate SIB-configured initial DL BWP for RedCap UEs contains the entire CORESET#0, the RedCap UE shall use the bandwidth and location of the CORESET#0 in DL during initial access.</w:t>
      </w:r>
      <w:r w:rsidRPr="00ED06D6">
        <w:rPr>
          <w:rStyle w:val="eop"/>
          <w:i/>
          <w:sz w:val="20"/>
          <w:szCs w:val="20"/>
        </w:rPr>
        <w:t> </w:t>
      </w:r>
    </w:p>
    <w:p w14:paraId="0E295F68" w14:textId="77777777" w:rsidR="00ED06D6" w:rsidRPr="00ED06D6" w:rsidRDefault="00ED06D6" w:rsidP="00ED06D6">
      <w:pPr>
        <w:pStyle w:val="paragraph"/>
        <w:numPr>
          <w:ilvl w:val="0"/>
          <w:numId w:val="16"/>
        </w:numPr>
        <w:spacing w:before="0" w:beforeAutospacing="0" w:after="0" w:afterAutospacing="0"/>
        <w:ind w:left="1080" w:firstLine="0"/>
        <w:textAlignment w:val="baseline"/>
        <w:rPr>
          <w:i/>
          <w:sz w:val="22"/>
          <w:szCs w:val="22"/>
        </w:rPr>
      </w:pPr>
      <w:r w:rsidRPr="00ED06D6">
        <w:rPr>
          <w:rStyle w:val="normaltextrun"/>
          <w:i/>
          <w:sz w:val="20"/>
          <w:szCs w:val="20"/>
          <w:lang w:val="en-US"/>
        </w:rPr>
        <w:t>Note: NCD-SSB periodicity is not required to be configured the same as that of CD-SSB</w:t>
      </w:r>
      <w:r w:rsidRPr="00ED06D6">
        <w:rPr>
          <w:rStyle w:val="eop"/>
          <w:i/>
          <w:sz w:val="20"/>
          <w:szCs w:val="20"/>
        </w:rPr>
        <w:t> </w:t>
      </w:r>
    </w:p>
    <w:p w14:paraId="643DCA62" w14:textId="77777777" w:rsidR="00ED06D6" w:rsidRDefault="00ED06D6" w:rsidP="00ED06D6">
      <w:pPr>
        <w:pStyle w:val="paragraph"/>
        <w:numPr>
          <w:ilvl w:val="0"/>
          <w:numId w:val="16"/>
        </w:numPr>
        <w:spacing w:before="0" w:beforeAutospacing="0" w:after="0" w:afterAutospacing="0"/>
        <w:ind w:left="1080" w:firstLine="0"/>
        <w:textAlignment w:val="baseline"/>
        <w:rPr>
          <w:sz w:val="22"/>
          <w:szCs w:val="22"/>
        </w:rPr>
      </w:pPr>
      <w:r w:rsidRPr="00ED06D6">
        <w:rPr>
          <w:rStyle w:val="normaltextrun"/>
          <w:i/>
          <w:sz w:val="20"/>
          <w:szCs w:val="20"/>
          <w:lang w:val="en-US"/>
        </w:rPr>
        <w:t>Note: Periodicity of NCD-SSB shall be not less than periodicity of CD-SSB</w:t>
      </w:r>
      <w:r>
        <w:rPr>
          <w:rStyle w:val="eop"/>
          <w:sz w:val="20"/>
          <w:szCs w:val="20"/>
        </w:rPr>
        <w:t> </w:t>
      </w:r>
    </w:p>
    <w:p w14:paraId="3189F4E2" w14:textId="77777777" w:rsidR="00ED06D6" w:rsidRDefault="00ED06D6" w:rsidP="00ED06D6">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30E1A7A" w14:textId="77777777" w:rsidR="00ED06D6" w:rsidRDefault="00ED06D6" w:rsidP="00E77FE3">
      <w:pPr>
        <w:spacing w:after="160" w:line="259" w:lineRule="auto"/>
        <w:rPr>
          <w:rFonts w:asciiTheme="minorHAnsi" w:hAnsiTheme="minorHAnsi" w:cstheme="minorHAnsi"/>
        </w:rPr>
      </w:pPr>
      <w:r>
        <w:rPr>
          <w:rFonts w:asciiTheme="minorHAnsi" w:hAnsiTheme="minorHAnsi" w:cstheme="minorHAnsi"/>
        </w:rPr>
        <w:t xml:space="preserve">As RAN1 only refers to the DL BWP of the UE, this suggests that they consider that the UL BWP may not be shifted in the same way. If the new DL BWP configuration would require a shift of the DL ARFCN of the UE configured channel bandwidth, this would be effectively requiring a variable duplex operation to be supported for FDD operation, contravening the default Tx-Rx separation defined in section 5.4.4 on 38.101-1 today, which would then lead to the need to consider further Rx desensitization than is already being considered for RedCap. </w:t>
      </w:r>
    </w:p>
    <w:p w14:paraId="3150EA41" w14:textId="0D7EBD40" w:rsidR="00E77FE3" w:rsidRDefault="00ED06D6" w:rsidP="00E77FE3">
      <w:pPr>
        <w:spacing w:after="160" w:line="259" w:lineRule="auto"/>
        <w:rPr>
          <w:rFonts w:asciiTheme="minorHAnsi" w:hAnsiTheme="minorHAnsi" w:cstheme="minorHAnsi"/>
        </w:rPr>
      </w:pPr>
      <w:r>
        <w:rPr>
          <w:rFonts w:asciiTheme="minorHAnsi" w:hAnsiTheme="minorHAnsi" w:cstheme="minorHAnsi"/>
        </w:rPr>
        <w:t>Therefore, we believe that it should be clarified that any DL BWP reconfiguration should be restricted as not to contravene existing fixed Tx-Rx frequency separation requirements between UL/DL configured UE channel bandwidths, i.e. if the DL BWP would require the DL ARFCN of the UE channel BW to change, the UL channel BW would need a corresponding reconfiguration to maintain the default Tx-Rx separation distance.</w:t>
      </w:r>
    </w:p>
    <w:p w14:paraId="11015656" w14:textId="08D32273" w:rsidR="00ED06D6" w:rsidRDefault="00ED06D6" w:rsidP="00E77FE3">
      <w:pPr>
        <w:spacing w:after="160" w:line="259" w:lineRule="auto"/>
        <w:rPr>
          <w:rFonts w:asciiTheme="minorHAnsi" w:hAnsiTheme="minorHAnsi" w:cstheme="minorHAnsi"/>
          <w:b/>
        </w:rPr>
      </w:pPr>
      <w:r w:rsidRPr="00B00361">
        <w:rPr>
          <w:rFonts w:asciiTheme="minorHAnsi" w:hAnsiTheme="minorHAnsi" w:cstheme="minorHAnsi"/>
          <w:b/>
          <w:u w:val="single"/>
        </w:rPr>
        <w:t>Proposal</w:t>
      </w:r>
      <w:r w:rsidR="00B00361" w:rsidRPr="00B00361">
        <w:rPr>
          <w:rFonts w:asciiTheme="minorHAnsi" w:hAnsiTheme="minorHAnsi" w:cstheme="minorHAnsi"/>
          <w:b/>
          <w:u w:val="single"/>
        </w:rPr>
        <w:t xml:space="preserve"> 2</w:t>
      </w:r>
      <w:r w:rsidRPr="00ED06D6">
        <w:rPr>
          <w:rFonts w:asciiTheme="minorHAnsi" w:hAnsiTheme="minorHAnsi" w:cstheme="minorHAnsi"/>
          <w:b/>
        </w:rPr>
        <w:t xml:space="preserve">: Ensure that the existing Tx-Rx separation distance in section 5.4.4 </w:t>
      </w:r>
      <w:r w:rsidR="00B00361">
        <w:rPr>
          <w:rFonts w:asciiTheme="minorHAnsi" w:hAnsiTheme="minorHAnsi" w:cstheme="minorHAnsi"/>
          <w:b/>
        </w:rPr>
        <w:t xml:space="preserve">for FDD bands </w:t>
      </w:r>
      <w:r w:rsidRPr="00ED06D6">
        <w:rPr>
          <w:rFonts w:asciiTheme="minorHAnsi" w:hAnsiTheme="minorHAnsi" w:cstheme="minorHAnsi"/>
          <w:b/>
        </w:rPr>
        <w:t>is not contravened by any BWP location flexibility for the RedCap UE</w:t>
      </w:r>
      <w:r w:rsidR="00B00361">
        <w:rPr>
          <w:rFonts w:asciiTheme="minorHAnsi" w:hAnsiTheme="minorHAnsi" w:cstheme="minorHAnsi"/>
          <w:b/>
        </w:rPr>
        <w:t xml:space="preserve"> operating FDD</w:t>
      </w:r>
      <w:r w:rsidRPr="00ED06D6">
        <w:rPr>
          <w:rFonts w:asciiTheme="minorHAnsi" w:hAnsiTheme="minorHAnsi" w:cstheme="minorHAnsi"/>
          <w:b/>
        </w:rPr>
        <w:t>.</w:t>
      </w:r>
    </w:p>
    <w:p w14:paraId="3CB2E087" w14:textId="2AF1FF24" w:rsidR="00D8482C" w:rsidRDefault="00B00361" w:rsidP="001A09DA">
      <w:pPr>
        <w:pStyle w:val="Heading1"/>
        <w:numPr>
          <w:ilvl w:val="0"/>
          <w:numId w:val="1"/>
        </w:numPr>
        <w:rPr>
          <w:rFonts w:ascii="Calibri" w:hAnsi="Calibri" w:cs="Calibri"/>
          <w:sz w:val="32"/>
          <w:lang w:eastAsia="zh-TW"/>
        </w:rPr>
      </w:pPr>
      <w:r>
        <w:rPr>
          <w:rFonts w:ascii="Calibri" w:hAnsi="Calibri" w:cs="Calibri"/>
          <w:sz w:val="32"/>
          <w:lang w:eastAsia="zh-TW"/>
        </w:rPr>
        <w:t>Conclusion</w:t>
      </w:r>
    </w:p>
    <w:p w14:paraId="6EB0CEAB" w14:textId="2A20E5B3" w:rsidR="00E77FE3" w:rsidRDefault="00B00361" w:rsidP="007F65B1">
      <w:pPr>
        <w:rPr>
          <w:rFonts w:asciiTheme="minorHAnsi" w:hAnsiTheme="minorHAnsi" w:cstheme="minorHAnsi"/>
          <w:lang w:eastAsia="zh-TW"/>
        </w:rPr>
      </w:pPr>
      <w:r>
        <w:rPr>
          <w:rFonts w:asciiTheme="minorHAnsi" w:hAnsiTheme="minorHAnsi" w:cstheme="minorHAnsi"/>
          <w:lang w:eastAsia="zh-TW"/>
        </w:rPr>
        <w:t>The following is proposed:</w:t>
      </w:r>
    </w:p>
    <w:p w14:paraId="14993C6B" w14:textId="77777777" w:rsidR="00B00361" w:rsidRPr="00B00361" w:rsidRDefault="00B00361" w:rsidP="00B00361">
      <w:pPr>
        <w:rPr>
          <w:rFonts w:asciiTheme="minorHAnsi" w:hAnsiTheme="minorHAnsi" w:cstheme="minorHAnsi"/>
          <w:b/>
          <w:lang w:eastAsia="ja-JP"/>
        </w:rPr>
      </w:pPr>
      <w:r w:rsidRPr="00B00361">
        <w:rPr>
          <w:rFonts w:asciiTheme="minorHAnsi" w:hAnsiTheme="minorHAnsi" w:cstheme="minorHAnsi"/>
          <w:b/>
          <w:u w:val="single"/>
          <w:lang w:eastAsia="ja-JP"/>
        </w:rPr>
        <w:t>Proposal 1</w:t>
      </w:r>
      <w:r w:rsidRPr="00B00361">
        <w:rPr>
          <w:rFonts w:asciiTheme="minorHAnsi" w:hAnsiTheme="minorHAnsi" w:cstheme="minorHAnsi"/>
          <w:b/>
          <w:lang w:eastAsia="ja-JP"/>
        </w:rPr>
        <w:t>: Ensure that TS38.101 clarifies that “For the RedCap UE, only RF requirements for single band operation are applicable”.</w:t>
      </w:r>
    </w:p>
    <w:p w14:paraId="754E4A48" w14:textId="77777777" w:rsidR="00B00361" w:rsidRDefault="00B00361" w:rsidP="00B00361">
      <w:pPr>
        <w:spacing w:after="160" w:line="259" w:lineRule="auto"/>
        <w:rPr>
          <w:rFonts w:asciiTheme="minorHAnsi" w:hAnsiTheme="minorHAnsi" w:cstheme="minorHAnsi"/>
          <w:b/>
        </w:rPr>
      </w:pPr>
      <w:r w:rsidRPr="00B00361">
        <w:rPr>
          <w:rFonts w:asciiTheme="minorHAnsi" w:hAnsiTheme="minorHAnsi" w:cstheme="minorHAnsi"/>
          <w:b/>
          <w:u w:val="single"/>
        </w:rPr>
        <w:t>Proposal 2</w:t>
      </w:r>
      <w:r w:rsidRPr="00ED06D6">
        <w:rPr>
          <w:rFonts w:asciiTheme="minorHAnsi" w:hAnsiTheme="minorHAnsi" w:cstheme="minorHAnsi"/>
          <w:b/>
        </w:rPr>
        <w:t xml:space="preserve">: Ensure that the existing Tx-Rx separation distance in section 5.4.4 </w:t>
      </w:r>
      <w:r>
        <w:rPr>
          <w:rFonts w:asciiTheme="minorHAnsi" w:hAnsiTheme="minorHAnsi" w:cstheme="minorHAnsi"/>
          <w:b/>
        </w:rPr>
        <w:t xml:space="preserve">for FDD bands </w:t>
      </w:r>
      <w:r w:rsidRPr="00ED06D6">
        <w:rPr>
          <w:rFonts w:asciiTheme="minorHAnsi" w:hAnsiTheme="minorHAnsi" w:cstheme="minorHAnsi"/>
          <w:b/>
        </w:rPr>
        <w:t>is not contravened by any BWP location flexibility for the RedCap UE</w:t>
      </w:r>
      <w:r>
        <w:rPr>
          <w:rFonts w:asciiTheme="minorHAnsi" w:hAnsiTheme="minorHAnsi" w:cstheme="minorHAnsi"/>
          <w:b/>
        </w:rPr>
        <w:t xml:space="preserve"> operating FDD</w:t>
      </w:r>
      <w:r w:rsidRPr="00ED06D6">
        <w:rPr>
          <w:rFonts w:asciiTheme="minorHAnsi" w:hAnsiTheme="minorHAnsi" w:cstheme="minorHAnsi"/>
          <w:b/>
        </w:rPr>
        <w:t>.</w:t>
      </w: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3EB7E28" w14:textId="433CEF13" w:rsidR="00C40EE4" w:rsidRDefault="00650283" w:rsidP="00650283">
      <w:pPr>
        <w:spacing w:after="0"/>
        <w:ind w:left="568" w:hanging="568"/>
        <w:rPr>
          <w:rFonts w:asciiTheme="minorHAnsi" w:hAnsiTheme="minorHAnsi" w:cstheme="minorHAnsi"/>
          <w:lang w:val="en-US"/>
        </w:rPr>
      </w:pPr>
      <w:r>
        <w:rPr>
          <w:rFonts w:asciiTheme="minorHAnsi" w:hAnsiTheme="minorHAnsi" w:cstheme="minorHAnsi"/>
          <w:lang w:eastAsia="zh-TW"/>
        </w:rPr>
        <w:t>[1]</w:t>
      </w:r>
      <w:r>
        <w:rPr>
          <w:rFonts w:asciiTheme="minorHAnsi" w:hAnsiTheme="minorHAnsi" w:cstheme="minorHAnsi"/>
          <w:lang w:eastAsia="zh-TW"/>
        </w:rPr>
        <w:tab/>
      </w:r>
      <w:r w:rsidR="00C40EE4" w:rsidRPr="00650283">
        <w:rPr>
          <w:rFonts w:asciiTheme="minorHAnsi" w:hAnsiTheme="minorHAnsi" w:cstheme="minorHAnsi"/>
        </w:rPr>
        <w:t>R</w:t>
      </w:r>
      <w:r w:rsidR="00B00361">
        <w:rPr>
          <w:rFonts w:asciiTheme="minorHAnsi" w:hAnsiTheme="minorHAnsi" w:cstheme="minorHAnsi"/>
        </w:rPr>
        <w:t>P</w:t>
      </w:r>
      <w:r w:rsidR="00C40EE4" w:rsidRPr="00650283">
        <w:rPr>
          <w:rFonts w:asciiTheme="minorHAnsi" w:hAnsiTheme="minorHAnsi" w:cstheme="minorHAnsi"/>
        </w:rPr>
        <w:t>-21</w:t>
      </w:r>
      <w:r w:rsidR="00B00361">
        <w:rPr>
          <w:rFonts w:asciiTheme="minorHAnsi" w:hAnsiTheme="minorHAnsi" w:cstheme="minorHAnsi"/>
        </w:rPr>
        <w:t>1574</w:t>
      </w:r>
      <w:r w:rsidR="00C40EE4" w:rsidRPr="00650283">
        <w:rPr>
          <w:rFonts w:asciiTheme="minorHAnsi" w:hAnsiTheme="minorHAnsi" w:cstheme="minorHAnsi"/>
        </w:rPr>
        <w:t xml:space="preserve">, </w:t>
      </w:r>
      <w:r w:rsidR="00B00361" w:rsidRPr="00B00361">
        <w:rPr>
          <w:rFonts w:asciiTheme="minorHAnsi" w:eastAsia="Batang" w:hAnsiTheme="minorHAnsi" w:cstheme="minorHAnsi"/>
          <w:lang w:eastAsia="zh-CN"/>
        </w:rPr>
        <w:t>Revised WID on support of reduced capability NR devices</w:t>
      </w:r>
    </w:p>
    <w:p w14:paraId="102B9745" w14:textId="08B77505" w:rsidR="00650283" w:rsidRPr="00B00361" w:rsidRDefault="00B00361" w:rsidP="00C40EE4">
      <w:pPr>
        <w:spacing w:after="0"/>
        <w:rPr>
          <w:rFonts w:asciiTheme="minorHAnsi" w:hAnsiTheme="minorHAnsi" w:cstheme="minorHAnsi"/>
          <w:lang w:val="en-US"/>
        </w:rPr>
      </w:pPr>
      <w:r>
        <w:rPr>
          <w:rFonts w:asciiTheme="minorHAnsi" w:hAnsiTheme="minorHAnsi" w:cstheme="minorHAnsi"/>
          <w:lang w:val="en-US"/>
        </w:rPr>
        <w:t xml:space="preserve">[2] </w:t>
      </w:r>
      <w:r>
        <w:rPr>
          <w:rFonts w:asciiTheme="minorHAnsi" w:hAnsiTheme="minorHAnsi" w:cstheme="minorHAnsi"/>
          <w:lang w:val="en-US"/>
        </w:rPr>
        <w:tab/>
      </w:r>
      <w:r>
        <w:rPr>
          <w:rFonts w:asciiTheme="minorHAnsi" w:hAnsiTheme="minorHAnsi" w:cstheme="minorHAnsi"/>
          <w:lang w:val="en-US"/>
        </w:rPr>
        <w:tab/>
        <w:t>R1-2112802</w:t>
      </w:r>
      <w:r w:rsidR="00650283">
        <w:rPr>
          <w:rFonts w:asciiTheme="minorHAnsi" w:hAnsiTheme="minorHAnsi" w:cstheme="minorHAnsi"/>
          <w:lang w:val="en-US"/>
        </w:rPr>
        <w:t xml:space="preserve">, </w:t>
      </w:r>
      <w:r w:rsidRPr="00B00361">
        <w:rPr>
          <w:rStyle w:val="normaltextrun"/>
          <w:rFonts w:asciiTheme="minorHAnsi" w:hAnsiTheme="minorHAnsi" w:cstheme="minorHAnsi"/>
          <w:color w:val="000000"/>
          <w:shd w:val="clear" w:color="auto" w:fill="FFFFFF"/>
        </w:rPr>
        <w:t>LS on use of NCD-SSB or CSI-RS in DL BWPs for RedCap UE</w:t>
      </w:r>
      <w:r w:rsidRPr="00B00361">
        <w:rPr>
          <w:rStyle w:val="eop"/>
          <w:rFonts w:asciiTheme="minorHAnsi" w:hAnsiTheme="minorHAnsi" w:cstheme="minorHAnsi"/>
          <w:color w:val="000000"/>
          <w:shd w:val="clear" w:color="auto" w:fill="FFFFFF"/>
        </w:rPr>
        <w:t>, RAN1</w:t>
      </w:r>
    </w:p>
    <w:p w14:paraId="12765740" w14:textId="0C682F4E" w:rsidR="001A09DA" w:rsidRPr="001A09DA" w:rsidRDefault="001A09DA" w:rsidP="001A09DA">
      <w:pPr>
        <w:rPr>
          <w:rFonts w:asciiTheme="minorHAnsi" w:hAnsiTheme="minorHAnsi" w:cstheme="minorHAnsi"/>
          <w:lang w:eastAsia="zh-TW"/>
        </w:rPr>
      </w:pPr>
    </w:p>
    <w:sectPr w:rsidR="001A09DA"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84DFB" w14:textId="77777777" w:rsidR="006F438A" w:rsidRDefault="006F438A">
      <w:r>
        <w:separator/>
      </w:r>
    </w:p>
  </w:endnote>
  <w:endnote w:type="continuationSeparator" w:id="0">
    <w:p w14:paraId="7F4E9158" w14:textId="77777777" w:rsidR="006F438A" w:rsidRDefault="006F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77836" w14:textId="77777777" w:rsidR="006F438A" w:rsidRDefault="006F438A">
      <w:r>
        <w:separator/>
      </w:r>
    </w:p>
  </w:footnote>
  <w:footnote w:type="continuationSeparator" w:id="0">
    <w:p w14:paraId="2019F6B7" w14:textId="77777777" w:rsidR="006F438A" w:rsidRDefault="006F4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0"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14"/>
  </w:num>
  <w:num w:numId="4">
    <w:abstractNumId w:val="13"/>
  </w:num>
  <w:num w:numId="5">
    <w:abstractNumId w:val="8"/>
  </w:num>
  <w:num w:numId="6">
    <w:abstractNumId w:val="11"/>
  </w:num>
  <w:num w:numId="7">
    <w:abstractNumId w:val="5"/>
  </w:num>
  <w:num w:numId="8">
    <w:abstractNumId w:val="0"/>
  </w:num>
  <w:num w:numId="9">
    <w:abstractNumId w:val="10"/>
  </w:num>
  <w:num w:numId="10">
    <w:abstractNumId w:val="4"/>
  </w:num>
  <w:num w:numId="11">
    <w:abstractNumId w:val="3"/>
  </w:num>
  <w:num w:numId="12">
    <w:abstractNumId w:val="15"/>
  </w:num>
  <w:num w:numId="13">
    <w:abstractNumId w:val="12"/>
  </w:num>
  <w:num w:numId="14">
    <w:abstractNumId w:val="2"/>
  </w:num>
  <w:num w:numId="15">
    <w:abstractNumId w:val="6"/>
  </w:num>
  <w:num w:numId="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A2A3E"/>
    <w:rsid w:val="006A4E2A"/>
    <w:rsid w:val="006A5912"/>
    <w:rsid w:val="006A5938"/>
    <w:rsid w:val="006A5ACA"/>
    <w:rsid w:val="006A74B7"/>
    <w:rsid w:val="006B06BA"/>
    <w:rsid w:val="006B09A6"/>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438A"/>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CF4"/>
    <w:rsid w:val="00EC7418"/>
    <w:rsid w:val="00EC7F12"/>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AF8833-D6D5-4DBB-8758-442567D3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Pages>
  <Words>739</Words>
  <Characters>4215</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3GPP TR ab.cde</vt:lpstr>
      <vt:lpstr>Electronic Meeting, January, 2021</vt:lpstr>
      <vt:lpstr>Introduction</vt:lpstr>
      <vt:lpstr>Requirements on non-zero gap between PUCCH/PUSCH transmissions</vt:lpstr>
      <vt:lpstr>Comments on restricting autonomous time/frequency/power adjustments by UE</vt:lpstr>
      <vt:lpstr>    3.1 UE autonomous timing adjustment</vt:lpstr>
      <vt:lpstr>    3.2	UE autonomous CFO adjustment</vt:lpstr>
      <vt:lpstr>    3.3	Autonomous UE Tx power changes </vt:lpstr>
      <vt:lpstr>    3.4	How to handle cases where autonomous adjustment of time/frequency/power are </vt:lpstr>
      <vt:lpstr>Maximum duration of JCE time window</vt:lpstr>
      <vt:lpstr>References</vt:lpstr>
      <vt:lpstr>3GPP TR ab.cde</vt:lpstr>
    </vt:vector>
  </TitlesOfParts>
  <Company>Eutelsat</Company>
  <LinksUpToDate>false</LinksUpToDate>
  <CharactersWithSpaces>4945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13</cp:revision>
  <cp:lastPrinted>2017-11-03T15:53:00Z</cp:lastPrinted>
  <dcterms:created xsi:type="dcterms:W3CDTF">2022-01-09T12:52:00Z</dcterms:created>
  <dcterms:modified xsi:type="dcterms:W3CDTF">2022-01-10T22:23:00Z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