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5E75F0F2"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735FF5">
        <w:rPr>
          <w:rFonts w:cs="Arial"/>
          <w:sz w:val="24"/>
          <w:szCs w:val="24"/>
          <w:lang w:val="de-DE"/>
        </w:rPr>
        <w:t>1</w:t>
      </w:r>
      <w:r w:rsidR="00D6068C">
        <w:rPr>
          <w:rFonts w:cs="Arial"/>
          <w:sz w:val="24"/>
          <w:szCs w:val="24"/>
          <w:lang w:val="de-DE"/>
        </w:rPr>
        <w:t>bis</w:t>
      </w:r>
      <w:r>
        <w:rPr>
          <w:rFonts w:cs="Arial"/>
          <w:sz w:val="24"/>
          <w:szCs w:val="24"/>
          <w:lang w:val="de-DE"/>
        </w:rPr>
        <w:t>-e</w:t>
      </w:r>
      <w:r w:rsidRPr="00DB3907">
        <w:rPr>
          <w:rFonts w:cs="Arial"/>
          <w:sz w:val="24"/>
          <w:szCs w:val="24"/>
          <w:lang w:val="de-DE"/>
        </w:rPr>
        <w:tab/>
        <w:t>R4-</w:t>
      </w:r>
      <w:r>
        <w:rPr>
          <w:rFonts w:cs="Arial"/>
          <w:sz w:val="24"/>
          <w:szCs w:val="24"/>
          <w:lang w:val="de-DE"/>
        </w:rPr>
        <w:t>2</w:t>
      </w:r>
      <w:r w:rsidR="000C2E7D">
        <w:rPr>
          <w:rFonts w:cs="Arial"/>
          <w:sz w:val="24"/>
          <w:szCs w:val="24"/>
          <w:lang w:val="de-DE"/>
        </w:rPr>
        <w:t>20</w:t>
      </w:r>
      <w:r w:rsidR="009E7D4E">
        <w:rPr>
          <w:rFonts w:cs="Arial"/>
          <w:sz w:val="24"/>
          <w:szCs w:val="24"/>
          <w:lang w:val="de-DE"/>
        </w:rPr>
        <w:t>1855</w:t>
      </w:r>
    </w:p>
    <w:p w14:paraId="5A5E9D28" w14:textId="2E879BF0" w:rsidR="00A40206" w:rsidRPr="00DB3907" w:rsidRDefault="00CE18BF" w:rsidP="00A40206">
      <w:pPr>
        <w:pStyle w:val="Header"/>
        <w:tabs>
          <w:tab w:val="left" w:pos="6521"/>
        </w:tabs>
        <w:rPr>
          <w:rFonts w:cs="Arial"/>
          <w:sz w:val="24"/>
          <w:szCs w:val="24"/>
        </w:rPr>
      </w:pPr>
      <w:r>
        <w:rPr>
          <w:rFonts w:cs="Arial"/>
          <w:sz w:val="24"/>
          <w:szCs w:val="24"/>
        </w:rPr>
        <w:t>January</w:t>
      </w:r>
      <w:r w:rsidR="00450863">
        <w:rPr>
          <w:rFonts w:cs="Arial"/>
          <w:sz w:val="24"/>
          <w:szCs w:val="24"/>
        </w:rPr>
        <w:t xml:space="preserve"> </w:t>
      </w:r>
      <w:r w:rsidR="00E35BC4">
        <w:rPr>
          <w:rFonts w:cs="Arial"/>
          <w:sz w:val="24"/>
          <w:szCs w:val="24"/>
        </w:rPr>
        <w:t>1</w:t>
      </w:r>
      <w:r>
        <w:rPr>
          <w:rFonts w:cs="Arial"/>
          <w:sz w:val="24"/>
          <w:szCs w:val="24"/>
        </w:rPr>
        <w:t>7</w:t>
      </w:r>
      <w:r w:rsidR="00450863">
        <w:rPr>
          <w:rFonts w:cs="Arial"/>
          <w:sz w:val="24"/>
          <w:szCs w:val="24"/>
          <w:vertAlign w:val="superscript"/>
        </w:rPr>
        <w:t>t</w:t>
      </w:r>
      <w:r>
        <w:rPr>
          <w:rFonts w:cs="Arial"/>
          <w:sz w:val="24"/>
          <w:szCs w:val="24"/>
          <w:vertAlign w:val="superscript"/>
        </w:rPr>
        <w:t>h</w:t>
      </w:r>
      <w:r w:rsidR="00A40206">
        <w:rPr>
          <w:rFonts w:cs="Arial"/>
          <w:sz w:val="24"/>
          <w:szCs w:val="24"/>
        </w:rPr>
        <w:t xml:space="preserve"> ‒ </w:t>
      </w:r>
      <w:r>
        <w:rPr>
          <w:rFonts w:cs="Arial"/>
          <w:sz w:val="24"/>
          <w:szCs w:val="24"/>
        </w:rPr>
        <w:t>25</w:t>
      </w:r>
      <w:r w:rsidR="00A40206">
        <w:rPr>
          <w:rFonts w:cs="Arial"/>
          <w:sz w:val="24"/>
          <w:szCs w:val="24"/>
          <w:vertAlign w:val="superscript"/>
        </w:rPr>
        <w:t>th</w:t>
      </w:r>
      <w:r w:rsidR="00A40206">
        <w:rPr>
          <w:rFonts w:cs="Arial"/>
          <w:sz w:val="24"/>
          <w:szCs w:val="24"/>
        </w:rPr>
        <w:t>, 202</w:t>
      </w:r>
      <w:r>
        <w:rPr>
          <w:rFonts w:cs="Arial"/>
          <w:sz w:val="24"/>
          <w:szCs w:val="24"/>
        </w:rPr>
        <w:t>2</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02780A76"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F70DD7">
        <w:rPr>
          <w:rFonts w:ascii="Arial" w:hAnsi="Arial"/>
          <w:sz w:val="24"/>
          <w:lang w:val="en-US"/>
        </w:rPr>
        <w:t>5.</w:t>
      </w:r>
      <w:r w:rsidR="00EC0D81">
        <w:rPr>
          <w:rFonts w:ascii="Arial" w:hAnsi="Arial"/>
          <w:sz w:val="24"/>
          <w:lang w:val="en-US"/>
        </w:rPr>
        <w:t>3</w:t>
      </w:r>
      <w:r w:rsidR="00F70DD7">
        <w:rPr>
          <w:rFonts w:ascii="Arial" w:hAnsi="Arial"/>
          <w:sz w:val="24"/>
          <w:lang w:val="en-US"/>
        </w:rPr>
        <w:t>.3</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043E2503"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EC0D81">
        <w:rPr>
          <w:rFonts w:ascii="Arial" w:hAnsi="Arial"/>
          <w:sz w:val="24"/>
          <w:lang w:val="en-US"/>
        </w:rPr>
        <w:t>6 GHz licensed band</w:t>
      </w:r>
      <w:r w:rsidR="001546C6">
        <w:rPr>
          <w:rFonts w:ascii="Arial" w:hAnsi="Arial"/>
          <w:sz w:val="24"/>
          <w:lang w:val="en-US"/>
        </w:rPr>
        <w:t xml:space="preserve"> </w:t>
      </w:r>
      <w:r w:rsidR="00E97E39">
        <w:rPr>
          <w:rFonts w:ascii="Arial" w:hAnsi="Arial"/>
          <w:sz w:val="24"/>
          <w:lang w:val="en-US"/>
        </w:rPr>
        <w:t>definition</w:t>
      </w:r>
    </w:p>
    <w:p w14:paraId="013F978F" w14:textId="20F38AB7"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C65776">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28061F9E" w:rsidR="00420B13" w:rsidRDefault="00FB13FE" w:rsidP="00354733">
      <w:pPr>
        <w:rPr>
          <w:lang w:val="en-US"/>
        </w:rPr>
      </w:pPr>
      <w:r>
        <w:rPr>
          <w:lang w:val="en-US"/>
        </w:rPr>
        <w:t>The technical work to define a 6 GHz licensed band has been initiated in [</w:t>
      </w:r>
      <w:r w:rsidR="003D4837">
        <w:rPr>
          <w:lang w:val="en-US"/>
        </w:rPr>
        <w:t>1</w:t>
      </w:r>
      <w:r>
        <w:rPr>
          <w:lang w:val="en-US"/>
        </w:rPr>
        <w:t>] based on an input on regulatory requirements in [</w:t>
      </w:r>
      <w:r w:rsidR="00E53145">
        <w:rPr>
          <w:lang w:val="en-US"/>
        </w:rPr>
        <w:t>2</w:t>
      </w:r>
      <w:r>
        <w:rPr>
          <w:lang w:val="en-US"/>
        </w:rPr>
        <w:t>].</w:t>
      </w:r>
      <w:r w:rsidR="00F43ADD">
        <w:rPr>
          <w:lang w:val="en-US"/>
        </w:rPr>
        <w:t xml:space="preserve">  This contribution discusses several aspects related to the definition of requirements for this band.</w:t>
      </w:r>
    </w:p>
    <w:p w14:paraId="10F6602E" w14:textId="266A56D6" w:rsidR="007E1E78" w:rsidRDefault="007E1E78" w:rsidP="0099327E">
      <w:pPr>
        <w:pStyle w:val="Heading1"/>
        <w:tabs>
          <w:tab w:val="clear" w:pos="432"/>
          <w:tab w:val="num" w:pos="522"/>
        </w:tabs>
        <w:ind w:left="522" w:hanging="522"/>
        <w:rPr>
          <w:lang w:val="en-US"/>
        </w:rPr>
      </w:pPr>
      <w:r>
        <w:rPr>
          <w:lang w:val="en-US"/>
        </w:rPr>
        <w:t>Discussion</w:t>
      </w:r>
    </w:p>
    <w:p w14:paraId="54BDA0A2" w14:textId="562E3437" w:rsidR="00135CB8" w:rsidRDefault="00135CB8" w:rsidP="00FB13FE">
      <w:pPr>
        <w:rPr>
          <w:lang w:val="en-US"/>
        </w:rPr>
      </w:pPr>
      <w:r>
        <w:rPr>
          <w:lang w:val="en-US"/>
        </w:rPr>
        <w:t xml:space="preserve">The </w:t>
      </w:r>
      <w:r w:rsidR="005C0B9D">
        <w:rPr>
          <w:lang w:val="en-US"/>
        </w:rPr>
        <w:t xml:space="preserve">importance of the </w:t>
      </w:r>
      <w:r>
        <w:rPr>
          <w:lang w:val="en-US"/>
        </w:rPr>
        <w:t xml:space="preserve">6 GHz frequency range </w:t>
      </w:r>
      <w:r w:rsidR="00CF46FD">
        <w:rPr>
          <w:lang w:val="en-US"/>
        </w:rPr>
        <w:t xml:space="preserve">identified as the 1.2 GHz between 5925 and 7125 GHz </w:t>
      </w:r>
      <w:r>
        <w:rPr>
          <w:lang w:val="en-US"/>
        </w:rPr>
        <w:t>has been recognized with potentially large swaths of spectrum availab</w:t>
      </w:r>
      <w:r w:rsidR="00174BA5">
        <w:rPr>
          <w:lang w:val="en-US"/>
        </w:rPr>
        <w:t xml:space="preserve">ility and propagation characteristics </w:t>
      </w:r>
      <w:r w:rsidR="006A66BC">
        <w:rPr>
          <w:lang w:val="en-US"/>
        </w:rPr>
        <w:t>in between those of lower FR1 frequencies and higher FR2 millimeter wave frequencies.  However, countries around the world have not taken a unified approach</w:t>
      </w:r>
      <w:r w:rsidR="00CF46FD">
        <w:rPr>
          <w:lang w:val="en-US"/>
        </w:rPr>
        <w:t xml:space="preserve"> on how to allocate the 6 GHz frequency range</w:t>
      </w:r>
      <w:r w:rsidR="007F6CB9">
        <w:rPr>
          <w:lang w:val="en-US"/>
        </w:rPr>
        <w:t>.  Some countries have allocated the entire 1.2 GHz for unlicensed operation and hence Band n96</w:t>
      </w:r>
      <w:r w:rsidR="008E3170">
        <w:rPr>
          <w:lang w:val="en-US"/>
        </w:rPr>
        <w:t xml:space="preserve"> was created, other countries have so far designated the </w:t>
      </w:r>
      <w:r w:rsidR="00663195">
        <w:rPr>
          <w:lang w:val="en-US"/>
        </w:rPr>
        <w:t xml:space="preserve">lower 6 GHz from 5925 or 5945 MHz to 6425 MHz for unlicensed </w:t>
      </w:r>
      <w:r w:rsidR="000D4A3E">
        <w:rPr>
          <w:lang w:val="en-US"/>
        </w:rPr>
        <w:t xml:space="preserve">(Band n102) </w:t>
      </w:r>
      <w:r w:rsidR="00663195">
        <w:rPr>
          <w:lang w:val="en-US"/>
        </w:rPr>
        <w:t xml:space="preserve">with the upper </w:t>
      </w:r>
      <w:r w:rsidR="00CB7422">
        <w:rPr>
          <w:lang w:val="en-US"/>
        </w:rPr>
        <w:t xml:space="preserve">6 GHz still undecided, other countries are considering the entire 1.2 GHz for licensed operation, and </w:t>
      </w:r>
      <w:r w:rsidR="00191449">
        <w:rPr>
          <w:lang w:val="en-US"/>
        </w:rPr>
        <w:t xml:space="preserve">many other countries are still undecided or not yet ready to allocate this spectrum for mobile communications.  </w:t>
      </w:r>
    </w:p>
    <w:p w14:paraId="45960B68" w14:textId="0981421E" w:rsidR="00A37B3E" w:rsidRDefault="00A37B3E" w:rsidP="00FB13FE">
      <w:pPr>
        <w:rPr>
          <w:lang w:val="en-US"/>
        </w:rPr>
      </w:pPr>
      <w:r>
        <w:rPr>
          <w:lang w:val="en-US"/>
        </w:rPr>
        <w:t>Still, a work item</w:t>
      </w:r>
      <w:r w:rsidR="00E111DD">
        <w:rPr>
          <w:lang w:val="en-US"/>
        </w:rPr>
        <w:t xml:space="preserve"> for a licensed band within 6 GHz was approved in [</w:t>
      </w:r>
      <w:r w:rsidR="006603D5">
        <w:rPr>
          <w:lang w:val="en-US"/>
        </w:rPr>
        <w:t>3</w:t>
      </w:r>
      <w:r w:rsidR="00E111DD">
        <w:rPr>
          <w:lang w:val="en-US"/>
        </w:rPr>
        <w:t>] initially placed on hold and subsequently modified in [</w:t>
      </w:r>
      <w:r w:rsidR="00E53145">
        <w:rPr>
          <w:lang w:val="en-US"/>
        </w:rPr>
        <w:t>1</w:t>
      </w:r>
      <w:r w:rsidR="00E111DD">
        <w:rPr>
          <w:lang w:val="en-US"/>
        </w:rPr>
        <w:t>] to initiate the technical work</w:t>
      </w:r>
      <w:r w:rsidR="00F3597D">
        <w:rPr>
          <w:lang w:val="en-US"/>
        </w:rPr>
        <w:t xml:space="preserve"> henceforth.</w:t>
      </w:r>
    </w:p>
    <w:p w14:paraId="44E60C63" w14:textId="5973542C" w:rsidR="00B9251B" w:rsidRDefault="00B9251B" w:rsidP="00B9251B">
      <w:pPr>
        <w:pStyle w:val="Heading2"/>
        <w:rPr>
          <w:lang w:val="en-US"/>
        </w:rPr>
      </w:pPr>
      <w:r>
        <w:rPr>
          <w:lang w:val="en-US"/>
        </w:rPr>
        <w:t>Band definition</w:t>
      </w:r>
    </w:p>
    <w:p w14:paraId="3ED23238" w14:textId="0E1EED36" w:rsidR="005920D4" w:rsidRDefault="005920D4" w:rsidP="00FB13FE">
      <w:pPr>
        <w:rPr>
          <w:lang w:val="en-US"/>
        </w:rPr>
      </w:pPr>
      <w:r>
        <w:rPr>
          <w:lang w:val="en-US"/>
        </w:rPr>
        <w:t xml:space="preserve">The first question to answer is whether the band range should be defined as the entire 1.2 GHz from 5925 – 7125 MHz, or whether it should be defined in the upper </w:t>
      </w:r>
      <w:r w:rsidR="00C754F9">
        <w:rPr>
          <w:lang w:val="en-US"/>
        </w:rPr>
        <w:t xml:space="preserve">6425 – 7125 MHz only.  </w:t>
      </w:r>
      <w:r w:rsidR="006F351C">
        <w:rPr>
          <w:lang w:val="en-US"/>
        </w:rPr>
        <w:t xml:space="preserve">The modified WID </w:t>
      </w:r>
      <w:r w:rsidR="001576FF">
        <w:rPr>
          <w:lang w:val="en-US"/>
        </w:rPr>
        <w:t xml:space="preserve">[1] </w:t>
      </w:r>
      <w:r w:rsidR="006F351C">
        <w:rPr>
          <w:lang w:val="en-US"/>
        </w:rPr>
        <w:t xml:space="preserve">states </w:t>
      </w:r>
      <w:r w:rsidR="008351F1">
        <w:rPr>
          <w:lang w:val="en-US"/>
        </w:rPr>
        <w:t>“</w:t>
      </w:r>
      <w:r w:rsidR="008351F1" w:rsidRPr="005A378D">
        <w:t xml:space="preserve">The work on 6425-7125 MHz frequency range </w:t>
      </w:r>
      <w:r w:rsidR="008351F1" w:rsidRPr="00936FAF">
        <w:t>according to RCC Recommendation 1/21</w:t>
      </w:r>
      <w:r w:rsidR="008351F1">
        <w:t xml:space="preserve"> </w:t>
      </w:r>
      <w:r w:rsidR="008351F1" w:rsidRPr="005A378D">
        <w:t>starts from RAN#94</w:t>
      </w:r>
      <w:r w:rsidR="008351F1">
        <w:t xml:space="preserve">e” so it is clear that requirements will only be </w:t>
      </w:r>
      <w:r w:rsidR="00576FBD">
        <w:t xml:space="preserve">undertaken at this time </w:t>
      </w:r>
      <w:r w:rsidR="008351F1">
        <w:t>for the upper part</w:t>
      </w:r>
      <w:r w:rsidR="00576FBD">
        <w:t xml:space="preserve">, but the band itself could be defined over the entire range.  </w:t>
      </w:r>
      <w:r w:rsidR="00B0155E">
        <w:rPr>
          <w:lang w:val="en-US"/>
        </w:rPr>
        <w:t xml:space="preserve">On one hand, </w:t>
      </w:r>
      <w:r w:rsidR="00431627">
        <w:rPr>
          <w:lang w:val="en-US"/>
        </w:rPr>
        <w:t xml:space="preserve">since it can be expected that some countries may allocate a larger portion of the 6 GHz band, possibly up to the entire 1.2 GHz, for licensed operation, then in the interest of minimizing the number of bands, reuse of </w:t>
      </w:r>
      <w:r w:rsidR="00A55902">
        <w:rPr>
          <w:lang w:val="en-US"/>
        </w:rPr>
        <w:t xml:space="preserve">specifications and ecosystem, it would be beneficial to define the wider band even if some countries only allocate a subset of it.  </w:t>
      </w:r>
      <w:r w:rsidR="00230BEE">
        <w:rPr>
          <w:lang w:val="en-US"/>
        </w:rPr>
        <w:t xml:space="preserve">The band specific requirements for a particular country can be captured in NS signaling and associated requirements.  </w:t>
      </w:r>
      <w:r w:rsidR="00137897">
        <w:rPr>
          <w:lang w:val="en-US"/>
        </w:rPr>
        <w:t>On the other hand, a</w:t>
      </w:r>
      <w:r w:rsidR="00B812F2">
        <w:rPr>
          <w:lang w:val="en-US"/>
        </w:rPr>
        <w:t xml:space="preserve"> reason to define a specific band </w:t>
      </w:r>
      <w:r w:rsidR="00016ED1">
        <w:rPr>
          <w:lang w:val="en-US"/>
        </w:rPr>
        <w:t>i</w:t>
      </w:r>
      <w:r w:rsidR="00B812F2">
        <w:rPr>
          <w:lang w:val="en-US"/>
        </w:rPr>
        <w:t xml:space="preserve">s </w:t>
      </w:r>
      <w:r w:rsidR="00016ED1">
        <w:rPr>
          <w:lang w:val="en-US"/>
        </w:rPr>
        <w:t xml:space="preserve">to ameliorate </w:t>
      </w:r>
      <w:r w:rsidR="00B812F2">
        <w:rPr>
          <w:lang w:val="en-US"/>
        </w:rPr>
        <w:t xml:space="preserve">uncertainty about whether using NS </w:t>
      </w:r>
      <w:r w:rsidR="000654B6">
        <w:rPr>
          <w:lang w:val="en-US"/>
        </w:rPr>
        <w:t xml:space="preserve">within a more general band </w:t>
      </w:r>
      <w:r w:rsidR="00B812F2">
        <w:rPr>
          <w:lang w:val="en-US"/>
        </w:rPr>
        <w:t xml:space="preserve">to distinguish </w:t>
      </w:r>
      <w:r w:rsidR="00884590">
        <w:rPr>
          <w:lang w:val="en-US"/>
        </w:rPr>
        <w:t xml:space="preserve">country-specific </w:t>
      </w:r>
      <w:r w:rsidR="00B812F2">
        <w:rPr>
          <w:lang w:val="en-US"/>
        </w:rPr>
        <w:t>requirements would be acceptable to regulators</w:t>
      </w:r>
      <w:r w:rsidR="00884590">
        <w:rPr>
          <w:lang w:val="en-US"/>
        </w:rPr>
        <w:t xml:space="preserve">.  </w:t>
      </w:r>
      <w:r w:rsidR="009E3FC1">
        <w:rPr>
          <w:lang w:val="en-US"/>
        </w:rPr>
        <w:t xml:space="preserve">Another reason is the belief </w:t>
      </w:r>
      <w:r w:rsidR="00E958FC">
        <w:rPr>
          <w:lang w:val="en-US"/>
        </w:rPr>
        <w:t xml:space="preserve">by some companies </w:t>
      </w:r>
      <w:r w:rsidR="009E3FC1">
        <w:rPr>
          <w:lang w:val="en-US"/>
        </w:rPr>
        <w:t>that UE</w:t>
      </w:r>
      <w:r w:rsidR="00226326">
        <w:rPr>
          <w:lang w:val="en-US"/>
        </w:rPr>
        <w:t xml:space="preserve"> design, </w:t>
      </w:r>
      <w:r w:rsidR="00333233">
        <w:rPr>
          <w:lang w:val="en-US"/>
        </w:rPr>
        <w:t>e.g</w:t>
      </w:r>
      <w:r w:rsidR="00226326">
        <w:rPr>
          <w:lang w:val="en-US"/>
        </w:rPr>
        <w:t>., filter</w:t>
      </w:r>
      <w:r w:rsidR="00333233">
        <w:rPr>
          <w:lang w:val="en-US"/>
        </w:rPr>
        <w:t xml:space="preserve"> cutoff frequencies,</w:t>
      </w:r>
      <w:r w:rsidR="009E3FC1">
        <w:rPr>
          <w:lang w:val="en-US"/>
        </w:rPr>
        <w:t xml:space="preserve"> might be optimized </w:t>
      </w:r>
      <w:r w:rsidR="00226326">
        <w:rPr>
          <w:lang w:val="en-US"/>
        </w:rPr>
        <w:t>and perform better over the s</w:t>
      </w:r>
      <w:r w:rsidR="006D0D0D">
        <w:rPr>
          <w:lang w:val="en-US"/>
        </w:rPr>
        <w:t>maller</w:t>
      </w:r>
      <w:r w:rsidR="00226326">
        <w:rPr>
          <w:lang w:val="en-US"/>
        </w:rPr>
        <w:t xml:space="preserve"> frequency range.  </w:t>
      </w:r>
      <w:r w:rsidR="00884590">
        <w:rPr>
          <w:lang w:val="en-US"/>
        </w:rPr>
        <w:t>Indeed, there was a similar discussion for the unlicensed band and whether a single general band could be used or whether a country-specific band as a subset was needed.  The final decision [</w:t>
      </w:r>
      <w:r w:rsidR="00C61595">
        <w:rPr>
          <w:lang w:val="en-US"/>
        </w:rPr>
        <w:t>4</w:t>
      </w:r>
      <w:r w:rsidR="00884590">
        <w:rPr>
          <w:lang w:val="en-US"/>
        </w:rPr>
        <w:t xml:space="preserve">] </w:t>
      </w:r>
      <w:r w:rsidR="00BE5298">
        <w:rPr>
          <w:lang w:val="en-US"/>
        </w:rPr>
        <w:t xml:space="preserve">for the unlicensed band </w:t>
      </w:r>
      <w:r w:rsidR="00884590">
        <w:rPr>
          <w:lang w:val="en-US"/>
        </w:rPr>
        <w:t>was to define</w:t>
      </w:r>
      <w:r w:rsidR="00BE5298">
        <w:rPr>
          <w:lang w:val="en-US"/>
        </w:rPr>
        <w:t xml:space="preserve"> </w:t>
      </w:r>
      <w:r w:rsidR="00CE0757">
        <w:rPr>
          <w:lang w:val="en-US"/>
        </w:rPr>
        <w:t>a separate</w:t>
      </w:r>
      <w:r w:rsidR="00BE5298">
        <w:rPr>
          <w:lang w:val="en-US"/>
        </w:rPr>
        <w:t xml:space="preserve"> subset band for European country-specific requirements (band n102) in addition to the general band covering the entire </w:t>
      </w:r>
      <w:r w:rsidR="0017788A">
        <w:rPr>
          <w:lang w:val="en-US"/>
        </w:rPr>
        <w:t>range (band n96).</w:t>
      </w:r>
      <w:r w:rsidR="0092091D">
        <w:rPr>
          <w:lang w:val="en-US"/>
        </w:rPr>
        <w:t xml:space="preserve">  However, it is noted that the subset band was extended </w:t>
      </w:r>
      <w:r w:rsidR="00866785">
        <w:rPr>
          <w:lang w:val="en-US"/>
        </w:rPr>
        <w:t>[</w:t>
      </w:r>
      <w:r w:rsidR="0017355B">
        <w:rPr>
          <w:lang w:val="en-US"/>
        </w:rPr>
        <w:t>5</w:t>
      </w:r>
      <w:r w:rsidR="00866785">
        <w:rPr>
          <w:lang w:val="en-US"/>
        </w:rPr>
        <w:t xml:space="preserve">] </w:t>
      </w:r>
      <w:r w:rsidR="0092091D">
        <w:rPr>
          <w:lang w:val="en-US"/>
        </w:rPr>
        <w:t xml:space="preserve">to be more general </w:t>
      </w:r>
      <w:r w:rsidR="00E214D1">
        <w:rPr>
          <w:lang w:val="en-US"/>
        </w:rPr>
        <w:t>to allow “other cou</w:t>
      </w:r>
      <w:r w:rsidR="00EB5F9A">
        <w:rPr>
          <w:lang w:val="en-US"/>
        </w:rPr>
        <w:t xml:space="preserve">ntries/regions than Europe” </w:t>
      </w:r>
      <w:r w:rsidR="0092091D">
        <w:rPr>
          <w:lang w:val="en-US"/>
        </w:rPr>
        <w:t xml:space="preserve">by </w:t>
      </w:r>
      <w:r w:rsidR="00627366">
        <w:rPr>
          <w:lang w:val="en-US"/>
        </w:rPr>
        <w:t xml:space="preserve">setting the lower edge of the band to 5925 MHz and </w:t>
      </w:r>
      <w:r w:rsidR="00794A29">
        <w:rPr>
          <w:lang w:val="en-US"/>
        </w:rPr>
        <w:t>utilizing NS to indicate the requirements for Europe within 5945 to 6425 MHz.</w:t>
      </w:r>
      <w:r w:rsidR="003A6B1B">
        <w:rPr>
          <w:lang w:val="en-US"/>
        </w:rPr>
        <w:t xml:space="preserve">  </w:t>
      </w:r>
    </w:p>
    <w:p w14:paraId="505963E9" w14:textId="7E1D5CE9" w:rsidR="0017788A" w:rsidRPr="00267985" w:rsidRDefault="0017788A" w:rsidP="00FB13FE">
      <w:pPr>
        <w:rPr>
          <w:b/>
          <w:bCs/>
          <w:lang w:val="en-US"/>
        </w:rPr>
      </w:pPr>
      <w:r w:rsidRPr="00267985">
        <w:rPr>
          <w:b/>
          <w:bCs/>
          <w:lang w:val="en-US"/>
        </w:rPr>
        <w:t xml:space="preserve">Proposal:  RAN4 to decide whether the defined </w:t>
      </w:r>
      <w:r w:rsidR="00535979" w:rsidRPr="00267985">
        <w:rPr>
          <w:b/>
          <w:bCs/>
          <w:lang w:val="en-US"/>
        </w:rPr>
        <w:t xml:space="preserve">6 GHz </w:t>
      </w:r>
      <w:r w:rsidRPr="00267985">
        <w:rPr>
          <w:b/>
          <w:bCs/>
          <w:lang w:val="en-US"/>
        </w:rPr>
        <w:t xml:space="preserve">licensed band should be </w:t>
      </w:r>
      <w:r w:rsidR="00535979" w:rsidRPr="00267985">
        <w:rPr>
          <w:b/>
          <w:bCs/>
          <w:lang w:val="en-US"/>
        </w:rPr>
        <w:t xml:space="preserve">specific to 6425 – 7125 MHz </w:t>
      </w:r>
      <w:r w:rsidR="001A5D51">
        <w:rPr>
          <w:b/>
          <w:bCs/>
          <w:lang w:val="en-US"/>
        </w:rPr>
        <w:t xml:space="preserve">with possible NS, </w:t>
      </w:r>
      <w:r w:rsidR="00535979" w:rsidRPr="00267985">
        <w:rPr>
          <w:b/>
          <w:bCs/>
          <w:lang w:val="en-US"/>
        </w:rPr>
        <w:t>or a more general band 5925 – 7125 MHz with specific NS requirements</w:t>
      </w:r>
      <w:r w:rsidR="0092091D" w:rsidRPr="00267985">
        <w:rPr>
          <w:b/>
          <w:bCs/>
          <w:lang w:val="en-US"/>
        </w:rPr>
        <w:t xml:space="preserve"> for countries allowing only the subset.</w:t>
      </w:r>
    </w:p>
    <w:p w14:paraId="20ABE63A" w14:textId="05191F2B" w:rsidR="005B14CE" w:rsidRDefault="005B14CE" w:rsidP="00B9251B">
      <w:pPr>
        <w:pStyle w:val="Heading2"/>
        <w:rPr>
          <w:lang w:val="en-US"/>
        </w:rPr>
      </w:pPr>
      <w:r>
        <w:rPr>
          <w:lang w:val="en-US"/>
        </w:rPr>
        <w:lastRenderedPageBreak/>
        <w:t>Channel bandwidths</w:t>
      </w:r>
    </w:p>
    <w:p w14:paraId="2FCD7715" w14:textId="5095784C" w:rsidR="005B14CE" w:rsidRDefault="0053765E" w:rsidP="005B14CE">
      <w:pPr>
        <w:rPr>
          <w:lang w:val="en-US"/>
        </w:rPr>
      </w:pPr>
      <w:r>
        <w:rPr>
          <w:lang w:val="en-US"/>
        </w:rPr>
        <w:t xml:space="preserve">The regulatory input [2] indicates that </w:t>
      </w:r>
      <w:r w:rsidR="004B2C0B">
        <w:rPr>
          <w:lang w:val="en-US"/>
        </w:rPr>
        <w:t>frequency blocks</w:t>
      </w:r>
      <w:r w:rsidR="002058AB">
        <w:rPr>
          <w:lang w:val="en-US"/>
        </w:rPr>
        <w:t xml:space="preserve"> are nominally 20 MHz wide but can vary </w:t>
      </w:r>
      <w:r w:rsidR="00466CE2">
        <w:rPr>
          <w:lang w:val="en-US"/>
        </w:rPr>
        <w:t xml:space="preserve">in increments of 10 MHz.  Adjacent blocks may be concatenated up to a maximum width of 400 MHz.  </w:t>
      </w:r>
      <w:r w:rsidR="00D86A96">
        <w:rPr>
          <w:lang w:val="en-US"/>
        </w:rPr>
        <w:t xml:space="preserve">Channel raster is in increments of 5 MHz.  </w:t>
      </w:r>
      <w:r w:rsidR="00DC719E">
        <w:rPr>
          <w:lang w:val="en-US"/>
        </w:rPr>
        <w:t>NR c</w:t>
      </w:r>
      <w:r w:rsidR="00E5745E">
        <w:rPr>
          <w:lang w:val="en-US"/>
        </w:rPr>
        <w:t xml:space="preserve">hannel bandwidths </w:t>
      </w:r>
      <w:r w:rsidR="00AD6FD8">
        <w:rPr>
          <w:lang w:val="en-US"/>
        </w:rPr>
        <w:t>with integer multiples of 10 MHz, i.e., 1</w:t>
      </w:r>
      <w:r w:rsidR="00E5745E">
        <w:rPr>
          <w:lang w:val="en-US"/>
        </w:rPr>
        <w:t xml:space="preserve">0, 20, </w:t>
      </w:r>
      <w:r w:rsidR="002212FA">
        <w:rPr>
          <w:lang w:val="en-US"/>
        </w:rPr>
        <w:t>…, 100 MHz</w:t>
      </w:r>
      <w:r w:rsidR="00AD6FD8">
        <w:rPr>
          <w:lang w:val="en-US"/>
        </w:rPr>
        <w:t xml:space="preserve"> will meet these</w:t>
      </w:r>
      <w:r w:rsidR="0077238F">
        <w:rPr>
          <w:lang w:val="en-US"/>
        </w:rPr>
        <w:t xml:space="preserve"> allocations, with larger bandwidths achievable through carrier aggregation.</w:t>
      </w:r>
    </w:p>
    <w:p w14:paraId="1134E1BD" w14:textId="7B40F628" w:rsidR="003B6018" w:rsidRPr="003B6018" w:rsidRDefault="003B6018" w:rsidP="005B14CE">
      <w:pPr>
        <w:rPr>
          <w:b/>
          <w:bCs/>
          <w:lang w:val="en-US"/>
        </w:rPr>
      </w:pPr>
      <w:r w:rsidRPr="003B6018">
        <w:rPr>
          <w:b/>
          <w:bCs/>
          <w:lang w:val="en-US"/>
        </w:rPr>
        <w:t>Proposal:  Channel bandwidths for this band as 10, 20, 30, 40, 50, 60, 70, 80, 90, 100 MHz.</w:t>
      </w:r>
    </w:p>
    <w:p w14:paraId="58FD4A26" w14:textId="6A32246A" w:rsidR="00B9251B" w:rsidRDefault="00B9251B" w:rsidP="00B9251B">
      <w:pPr>
        <w:pStyle w:val="Heading2"/>
        <w:rPr>
          <w:lang w:val="en-US"/>
        </w:rPr>
      </w:pPr>
      <w:r>
        <w:rPr>
          <w:lang w:val="en-US"/>
        </w:rPr>
        <w:t>Power class</w:t>
      </w:r>
    </w:p>
    <w:p w14:paraId="5EB4EF0F" w14:textId="6C0827EC" w:rsidR="00986DCC" w:rsidRDefault="0054062E" w:rsidP="00B9251B">
      <w:pPr>
        <w:rPr>
          <w:lang w:val="en-US"/>
        </w:rPr>
      </w:pPr>
      <w:r>
        <w:rPr>
          <w:lang w:val="en-US"/>
        </w:rPr>
        <w:t>As t</w:t>
      </w:r>
      <w:r w:rsidR="00CD74A3">
        <w:rPr>
          <w:lang w:val="en-US"/>
        </w:rPr>
        <w:t>he intention of this band is for IMT</w:t>
      </w:r>
      <w:r>
        <w:rPr>
          <w:lang w:val="en-US"/>
        </w:rPr>
        <w:t xml:space="preserve">, it is expected that the default power class should be </w:t>
      </w:r>
      <w:r w:rsidR="00CA3781">
        <w:rPr>
          <w:lang w:val="en-US"/>
        </w:rPr>
        <w:t xml:space="preserve">PC3 23 dBm.  </w:t>
      </w:r>
      <w:r w:rsidR="008857E2">
        <w:rPr>
          <w:lang w:val="en-US"/>
        </w:rPr>
        <w:t>The regulatory guidance from [2]</w:t>
      </w:r>
      <w:r w:rsidR="008D60B2">
        <w:rPr>
          <w:lang w:val="en-US"/>
        </w:rPr>
        <w:t xml:space="preserve"> </w:t>
      </w:r>
      <w:r w:rsidR="00586FA5">
        <w:rPr>
          <w:lang w:val="en-US"/>
        </w:rPr>
        <w:t>points to Article 21 of the ITU radio regulations</w:t>
      </w:r>
      <w:r w:rsidR="00314A72">
        <w:rPr>
          <w:lang w:val="en-US"/>
        </w:rPr>
        <w:t xml:space="preserve"> to limit the maximum output power.</w:t>
      </w:r>
      <w:r w:rsidR="00C25E64">
        <w:rPr>
          <w:lang w:val="en-US"/>
        </w:rPr>
        <w:t xml:space="preserve">  Article 21 in </w:t>
      </w:r>
      <w:r w:rsidR="0073530F">
        <w:rPr>
          <w:lang w:val="en-US"/>
        </w:rPr>
        <w:t>paragraph 21.5 limits the maximum conducted power to +13 dBW</w:t>
      </w:r>
      <w:r w:rsidR="00794A20">
        <w:rPr>
          <w:lang w:val="en-US"/>
        </w:rPr>
        <w:t xml:space="preserve"> in frequency bands between 1 GHz and 10 GHz.  There are also EIRP limits specified, but assuming a zero-gain omnidirectional antenna on the UE, the conducted power limit of +13 dBW is not an impediment to any </w:t>
      </w:r>
      <w:r w:rsidR="00E922BC">
        <w:rPr>
          <w:lang w:val="en-US"/>
        </w:rPr>
        <w:t xml:space="preserve">UE </w:t>
      </w:r>
      <w:r w:rsidR="00794A20">
        <w:rPr>
          <w:lang w:val="en-US"/>
        </w:rPr>
        <w:t xml:space="preserve">power class </w:t>
      </w:r>
      <w:r w:rsidR="00E922BC">
        <w:rPr>
          <w:lang w:val="en-US"/>
        </w:rPr>
        <w:t>so far con</w:t>
      </w:r>
      <w:r w:rsidR="00BE1E5C">
        <w:rPr>
          <w:lang w:val="en-US"/>
        </w:rPr>
        <w:t>templated</w:t>
      </w:r>
      <w:r w:rsidR="00E922BC">
        <w:rPr>
          <w:lang w:val="en-US"/>
        </w:rPr>
        <w:t xml:space="preserve"> for 5G-NR</w:t>
      </w:r>
      <w:r w:rsidR="00BE1E5C">
        <w:rPr>
          <w:lang w:val="en-US"/>
        </w:rPr>
        <w:t xml:space="preserve"> especially in handheld, battery operated form factors</w:t>
      </w:r>
      <w:r w:rsidR="00E922BC">
        <w:rPr>
          <w:lang w:val="en-US"/>
        </w:rPr>
        <w:t xml:space="preserve">.  </w:t>
      </w:r>
      <w:r w:rsidR="001104EA">
        <w:rPr>
          <w:lang w:val="en-US"/>
        </w:rPr>
        <w:t>Conventionally for TDD bands at higher FR1 frequencies</w:t>
      </w:r>
      <w:r w:rsidR="00D22DEA">
        <w:rPr>
          <w:lang w:val="en-US"/>
        </w:rPr>
        <w:t xml:space="preserve"> to overcome path loss</w:t>
      </w:r>
      <w:r w:rsidR="001104EA">
        <w:rPr>
          <w:lang w:val="en-US"/>
        </w:rPr>
        <w:t xml:space="preserve">, PC3, PC2, and PC1.5 corresponding to maximum output powers of 23 dBm, 26 dBm, and 29 dBm have been specified by RAN4.  </w:t>
      </w:r>
      <w:r w:rsidR="0009768A">
        <w:rPr>
          <w:lang w:val="en-US"/>
        </w:rPr>
        <w:t>At the same time, PC5 with maximum output power of 20 dBm is the only power class so far specified for the unlicensed band at this frequency range</w:t>
      </w:r>
      <w:r w:rsidR="002D25B7">
        <w:rPr>
          <w:lang w:val="en-US"/>
        </w:rPr>
        <w:t xml:space="preserve">.  The motivation for prioritizing the PC5 power class is to enable </w:t>
      </w:r>
      <w:r w:rsidR="001F7A3A">
        <w:rPr>
          <w:lang w:val="en-US"/>
        </w:rPr>
        <w:t>leverage</w:t>
      </w:r>
      <w:r w:rsidR="002D25B7">
        <w:rPr>
          <w:lang w:val="en-US"/>
        </w:rPr>
        <w:t xml:space="preserve"> of WiFi </w:t>
      </w:r>
      <w:r w:rsidR="00F55594">
        <w:rPr>
          <w:lang w:val="en-US"/>
        </w:rPr>
        <w:t xml:space="preserve">6E </w:t>
      </w:r>
      <w:r w:rsidR="002D25B7">
        <w:rPr>
          <w:lang w:val="en-US"/>
        </w:rPr>
        <w:t>hardware platforms</w:t>
      </w:r>
      <w:r w:rsidR="000A1BFD">
        <w:rPr>
          <w:lang w:val="en-US"/>
        </w:rPr>
        <w:t>, economies of scale, and potential</w:t>
      </w:r>
      <w:r w:rsidR="002D25B7">
        <w:rPr>
          <w:lang w:val="en-US"/>
        </w:rPr>
        <w:t xml:space="preserve"> time-to-market</w:t>
      </w:r>
      <w:r w:rsidR="000A1BFD">
        <w:rPr>
          <w:lang w:val="en-US"/>
        </w:rPr>
        <w:t xml:space="preserve"> advantages</w:t>
      </w:r>
      <w:r w:rsidR="002D25B7">
        <w:rPr>
          <w:lang w:val="en-US"/>
        </w:rPr>
        <w:t>; in addition, the unlicensed bands impose power</w:t>
      </w:r>
      <w:r w:rsidR="001F7A3A">
        <w:rPr>
          <w:lang w:val="en-US"/>
        </w:rPr>
        <w:t xml:space="preserve">, </w:t>
      </w:r>
      <w:r w:rsidR="002D25B7">
        <w:rPr>
          <w:lang w:val="en-US"/>
        </w:rPr>
        <w:t>PSD constraints</w:t>
      </w:r>
      <w:r w:rsidR="001F7A3A">
        <w:rPr>
          <w:lang w:val="en-US"/>
        </w:rPr>
        <w:t xml:space="preserve">, and additional spurious emission requirements whereby higher output power is of limited value.  </w:t>
      </w:r>
      <w:r w:rsidR="00542669">
        <w:rPr>
          <w:lang w:val="en-US"/>
        </w:rPr>
        <w:t>However, since these constraints do not apply for the licensed band</w:t>
      </w:r>
      <w:r w:rsidR="00810ED7">
        <w:rPr>
          <w:lang w:val="en-US"/>
        </w:rPr>
        <w:t xml:space="preserve"> according to [2]</w:t>
      </w:r>
      <w:r w:rsidR="000E2630">
        <w:rPr>
          <w:lang w:val="en-US"/>
        </w:rPr>
        <w:t xml:space="preserve"> and there is less opportunity to leverage WiFi hardware due to different </w:t>
      </w:r>
      <w:r w:rsidR="00023D76">
        <w:rPr>
          <w:lang w:val="en-US"/>
        </w:rPr>
        <w:t>output power and linearity requirements for licensed</w:t>
      </w:r>
      <w:r w:rsidR="00810ED7">
        <w:rPr>
          <w:lang w:val="en-US"/>
        </w:rPr>
        <w:t xml:space="preserve">, then there </w:t>
      </w:r>
      <w:r w:rsidR="0052785A">
        <w:rPr>
          <w:lang w:val="en-US"/>
        </w:rPr>
        <w:t>less motivation to consider PC5.</w:t>
      </w:r>
      <w:r w:rsidR="003C5435">
        <w:rPr>
          <w:lang w:val="en-US"/>
        </w:rPr>
        <w:t xml:space="preserve">  Since PC1.5</w:t>
      </w:r>
      <w:r w:rsidR="00BC7E86">
        <w:rPr>
          <w:lang w:val="en-US"/>
        </w:rPr>
        <w:t xml:space="preserve"> </w:t>
      </w:r>
      <w:r w:rsidR="00DA27E7">
        <w:rPr>
          <w:lang w:val="en-US"/>
        </w:rPr>
        <w:t>is achieved by combining two PC2 transmit paths</w:t>
      </w:r>
      <w:r w:rsidR="00601C80">
        <w:rPr>
          <w:lang w:val="en-US"/>
        </w:rPr>
        <w:t xml:space="preserve"> and due to the additional complexity to factor in antenna isolation and other factors, it is proposed to first focus on PC3 and PC2.</w:t>
      </w:r>
    </w:p>
    <w:p w14:paraId="0A6D751B" w14:textId="004335BB" w:rsidR="00BB3CDA" w:rsidRDefault="00412E18" w:rsidP="00B9251B">
      <w:pPr>
        <w:rPr>
          <w:b/>
          <w:bCs/>
          <w:lang w:val="en-US"/>
        </w:rPr>
      </w:pPr>
      <w:r w:rsidRPr="006102D1">
        <w:rPr>
          <w:b/>
          <w:bCs/>
          <w:lang w:val="en-US"/>
        </w:rPr>
        <w:t xml:space="preserve">Proposal:  </w:t>
      </w:r>
      <w:r w:rsidR="00DB578C">
        <w:rPr>
          <w:b/>
          <w:bCs/>
          <w:lang w:val="en-US"/>
        </w:rPr>
        <w:t>S</w:t>
      </w:r>
      <w:r w:rsidRPr="006102D1">
        <w:rPr>
          <w:b/>
          <w:bCs/>
          <w:lang w:val="en-US"/>
        </w:rPr>
        <w:t xml:space="preserve">pecify </w:t>
      </w:r>
      <w:r w:rsidR="00BB3CDA">
        <w:rPr>
          <w:b/>
          <w:bCs/>
          <w:lang w:val="en-US"/>
        </w:rPr>
        <w:t>PC3 and PC2 power classes for this band, with the default power class as PC3.</w:t>
      </w:r>
    </w:p>
    <w:p w14:paraId="42F869DF" w14:textId="36F6B5D4" w:rsidR="005275D0" w:rsidRDefault="00922598" w:rsidP="00B9251B">
      <w:pPr>
        <w:rPr>
          <w:b/>
          <w:bCs/>
          <w:lang w:val="en-US"/>
        </w:rPr>
      </w:pPr>
      <w:r w:rsidRPr="003D23FE">
        <w:rPr>
          <w:b/>
          <w:bCs/>
          <w:lang w:val="en-US"/>
        </w:rPr>
        <w:t xml:space="preserve">Proposal:  Due to the variability </w:t>
      </w:r>
      <w:r w:rsidR="00341FE3">
        <w:rPr>
          <w:b/>
          <w:bCs/>
          <w:lang w:val="en-US"/>
        </w:rPr>
        <w:t xml:space="preserve">of losses </w:t>
      </w:r>
      <w:r w:rsidRPr="003D23FE">
        <w:rPr>
          <w:b/>
          <w:bCs/>
          <w:lang w:val="en-US"/>
        </w:rPr>
        <w:t xml:space="preserve">at higher frequencies, it is proposed that the </w:t>
      </w:r>
      <w:r w:rsidR="003D23FE">
        <w:rPr>
          <w:b/>
          <w:bCs/>
          <w:lang w:val="en-US"/>
        </w:rPr>
        <w:t>to</w:t>
      </w:r>
      <w:r w:rsidRPr="003D23FE">
        <w:rPr>
          <w:b/>
          <w:bCs/>
          <w:lang w:val="en-US"/>
        </w:rPr>
        <w:t xml:space="preserve">lerance on maximum output power be specified at be </w:t>
      </w:r>
      <w:r w:rsidR="003D23FE">
        <w:rPr>
          <w:b/>
          <w:bCs/>
          <w:lang w:val="en-US"/>
        </w:rPr>
        <w:t>+2/</w:t>
      </w:r>
      <w:r w:rsidRPr="003D23FE">
        <w:rPr>
          <w:b/>
          <w:bCs/>
          <w:lang w:val="en-US"/>
        </w:rPr>
        <w:t>-3 dB.</w:t>
      </w:r>
    </w:p>
    <w:p w14:paraId="67212E28" w14:textId="638B5C78" w:rsidR="000E0CAC" w:rsidRDefault="000E0CAC" w:rsidP="000E0CAC">
      <w:pPr>
        <w:pStyle w:val="Heading2"/>
        <w:rPr>
          <w:lang w:val="en-US"/>
        </w:rPr>
      </w:pPr>
      <w:r>
        <w:rPr>
          <w:lang w:val="en-US"/>
        </w:rPr>
        <w:t>PA architecture</w:t>
      </w:r>
    </w:p>
    <w:p w14:paraId="746743E7" w14:textId="3BE73F4D" w:rsidR="00EE3683" w:rsidRDefault="005010BF" w:rsidP="00EE3683">
      <w:pPr>
        <w:rPr>
          <w:lang w:val="en-US"/>
        </w:rPr>
      </w:pPr>
      <w:r>
        <w:rPr>
          <w:lang w:val="en-US"/>
        </w:rPr>
        <w:t xml:space="preserve">The work item is </w:t>
      </w:r>
      <w:r w:rsidR="00E856B7">
        <w:rPr>
          <w:lang w:val="en-US"/>
        </w:rPr>
        <w:t xml:space="preserve">scheduled to complete at RAN #95 for inclusion in Release 17 specifications.  </w:t>
      </w:r>
      <w:r w:rsidR="00162356">
        <w:rPr>
          <w:lang w:val="en-US"/>
        </w:rPr>
        <w:t>To simplify the work, it is proposed to focus on single PA architectures</w:t>
      </w:r>
      <w:r w:rsidR="009567C1">
        <w:rPr>
          <w:lang w:val="en-US"/>
        </w:rPr>
        <w:t>.</w:t>
      </w:r>
    </w:p>
    <w:p w14:paraId="317445EA" w14:textId="4D0469AC" w:rsidR="009567C1" w:rsidRPr="00C11CF2" w:rsidRDefault="009567C1" w:rsidP="00EE3683">
      <w:pPr>
        <w:rPr>
          <w:b/>
          <w:bCs/>
          <w:lang w:val="en-US"/>
        </w:rPr>
      </w:pPr>
      <w:r w:rsidRPr="00C11CF2">
        <w:rPr>
          <w:b/>
          <w:bCs/>
          <w:lang w:val="en-US"/>
        </w:rPr>
        <w:t>Proposal:  Focus on single PA architecture</w:t>
      </w:r>
    </w:p>
    <w:p w14:paraId="7111E4C8" w14:textId="46409774" w:rsidR="009F5CFB" w:rsidRDefault="009F5CFB" w:rsidP="009F5CFB">
      <w:pPr>
        <w:pStyle w:val="Heading2"/>
        <w:rPr>
          <w:lang w:val="en-US"/>
        </w:rPr>
      </w:pPr>
      <w:r>
        <w:rPr>
          <w:lang w:val="en-US"/>
        </w:rPr>
        <w:t>Additional spurious emissions</w:t>
      </w:r>
    </w:p>
    <w:p w14:paraId="36FF15EE" w14:textId="0FE814E3" w:rsidR="009F5CFB" w:rsidRDefault="002B7883" w:rsidP="009F5CFB">
      <w:pPr>
        <w:rPr>
          <w:lang w:val="en-US"/>
        </w:rPr>
      </w:pPr>
      <w:r>
        <w:rPr>
          <w:lang w:val="en-US"/>
        </w:rPr>
        <w:t xml:space="preserve">Emission requirements for coexistence with nearby adjacent services are not quantified in [2].  </w:t>
      </w:r>
      <w:r w:rsidR="0098550E">
        <w:rPr>
          <w:lang w:val="en-US"/>
        </w:rPr>
        <w:t xml:space="preserve">Indeed, some companies questioned whether the work on defining this band could even be initiated without this basic information.  </w:t>
      </w:r>
      <w:r w:rsidR="00E52969">
        <w:rPr>
          <w:lang w:val="en-US"/>
        </w:rPr>
        <w:t>Reference</w:t>
      </w:r>
      <w:r w:rsidR="00BD3612">
        <w:rPr>
          <w:lang w:val="en-US"/>
        </w:rPr>
        <w:t xml:space="preserve"> [2]</w:t>
      </w:r>
      <w:r w:rsidR="006A44D9">
        <w:rPr>
          <w:lang w:val="en-US"/>
        </w:rPr>
        <w:t xml:space="preserve"> </w:t>
      </w:r>
      <w:r w:rsidR="0035730E">
        <w:rPr>
          <w:lang w:val="en-US"/>
        </w:rPr>
        <w:t>state</w:t>
      </w:r>
      <w:r w:rsidR="00E52969">
        <w:rPr>
          <w:lang w:val="en-US"/>
        </w:rPr>
        <w:t>s</w:t>
      </w:r>
    </w:p>
    <w:p w14:paraId="17C03991" w14:textId="77777777" w:rsidR="00BD3612" w:rsidRPr="00DD2AB6" w:rsidRDefault="00BD3612" w:rsidP="00300F5D">
      <w:pPr>
        <w:pStyle w:val="ListParagraph"/>
        <w:overflowPunct/>
        <w:autoSpaceDE/>
        <w:autoSpaceDN/>
        <w:adjustRightInd/>
        <w:spacing w:after="120"/>
        <w:ind w:right="1081"/>
        <w:jc w:val="both"/>
        <w:textAlignment w:val="auto"/>
        <w:rPr>
          <w:i/>
          <w:iCs/>
          <w:lang w:val="en-US"/>
        </w:rPr>
      </w:pPr>
      <w:r w:rsidRPr="00DD2AB6">
        <w:rPr>
          <w:i/>
          <w:iCs/>
          <w:lang w:val="en-US"/>
        </w:rPr>
        <w:t>Administrations may restrict the use of frequency blocks, including within the   6425-6525 MHz and 7100-7125 MHz frequency bands, in order to ensure compatibility with stations in FS, FSS, SOS, SRS and EESS.</w:t>
      </w:r>
    </w:p>
    <w:p w14:paraId="5575329E" w14:textId="4BD19D78" w:rsidR="00BD3612" w:rsidRDefault="0035730E" w:rsidP="009F5CFB">
      <w:pPr>
        <w:rPr>
          <w:lang w:val="en-US"/>
        </w:rPr>
      </w:pPr>
      <w:r>
        <w:rPr>
          <w:lang w:val="en-US"/>
        </w:rPr>
        <w:t xml:space="preserve">but does </w:t>
      </w:r>
      <w:r w:rsidR="00D03F71">
        <w:rPr>
          <w:lang w:val="en-US"/>
        </w:rPr>
        <w:t>indicate any specific emission requirement</w:t>
      </w:r>
      <w:r w:rsidR="00E52969">
        <w:rPr>
          <w:lang w:val="en-US"/>
        </w:rPr>
        <w:t xml:space="preserve"> nor does it exclude the possibility of restrictions </w:t>
      </w:r>
      <w:r w:rsidR="0036247E">
        <w:rPr>
          <w:lang w:val="en-US"/>
        </w:rPr>
        <w:t>beyond the lowest 100 MHz and highest 25 MHz of the band</w:t>
      </w:r>
      <w:r w:rsidR="00D03F71">
        <w:rPr>
          <w:lang w:val="en-US"/>
        </w:rPr>
        <w:t xml:space="preserve">.  </w:t>
      </w:r>
      <w:r w:rsidR="00BE0881">
        <w:rPr>
          <w:lang w:val="en-US"/>
        </w:rPr>
        <w:t>The only indication of emission requirements is a reference to generic requirements in ITU SM.329 which are already captured as general spurious emission requirements in the 38.101 specification.</w:t>
      </w:r>
    </w:p>
    <w:p w14:paraId="757EDC77" w14:textId="77777777" w:rsidR="00BE0881" w:rsidRPr="00DD2AB6" w:rsidRDefault="00BE0881" w:rsidP="00300F5D">
      <w:pPr>
        <w:pStyle w:val="ListParagraph"/>
        <w:overflowPunct/>
        <w:autoSpaceDE/>
        <w:autoSpaceDN/>
        <w:adjustRightInd/>
        <w:spacing w:after="120"/>
        <w:ind w:right="991"/>
        <w:jc w:val="both"/>
        <w:textAlignment w:val="auto"/>
        <w:rPr>
          <w:i/>
          <w:iCs/>
          <w:lang w:val="en-US"/>
        </w:rPr>
      </w:pPr>
      <w:r w:rsidRPr="00DD2AB6">
        <w:rPr>
          <w:i/>
          <w:iCs/>
          <w:lang w:val="en-US"/>
        </w:rPr>
        <w:t>The unwanted emissions of 5G-NR/IMT-2020 base stations and user equipment in the spurious emissions domain shall be in compliance with the Category B limits for stations in the mobile service, as provided in the latest version of Recommendation ITU-R SM.329.</w:t>
      </w:r>
    </w:p>
    <w:p w14:paraId="79FF2B5B" w14:textId="0D36371C" w:rsidR="00BE0881" w:rsidRDefault="003A169D" w:rsidP="009F5CFB">
      <w:pPr>
        <w:rPr>
          <w:lang w:val="en-US"/>
        </w:rPr>
      </w:pPr>
      <w:r>
        <w:rPr>
          <w:lang w:val="en-US"/>
        </w:rPr>
        <w:t xml:space="preserve">Thus, the RCC recommendation in [2] does acknowledge the need to </w:t>
      </w:r>
      <w:r w:rsidR="00D04CE7">
        <w:rPr>
          <w:lang w:val="en-US"/>
        </w:rPr>
        <w:t xml:space="preserve">ensure compatibility with other services, but does not quantify a protection emission requirement.  </w:t>
      </w:r>
      <w:r w:rsidR="007406C0">
        <w:rPr>
          <w:lang w:val="en-US"/>
        </w:rPr>
        <w:t>One interpretation</w:t>
      </w:r>
      <w:r w:rsidR="00801E0C">
        <w:rPr>
          <w:lang w:val="en-US"/>
        </w:rPr>
        <w:t xml:space="preserve"> is that more details of emission requirements and restrictions </w:t>
      </w:r>
      <w:r w:rsidR="00B27FFB">
        <w:rPr>
          <w:lang w:val="en-US"/>
        </w:rPr>
        <w:t>are</w:t>
      </w:r>
      <w:r w:rsidR="00801E0C">
        <w:rPr>
          <w:lang w:val="en-US"/>
        </w:rPr>
        <w:t xml:space="preserve"> still </w:t>
      </w:r>
      <w:r w:rsidR="00224662">
        <w:rPr>
          <w:lang w:val="en-US"/>
        </w:rPr>
        <w:t xml:space="preserve">forthcoming from RCC.  Another interpretation is that RCC </w:t>
      </w:r>
      <w:r w:rsidR="00BF5E43">
        <w:rPr>
          <w:lang w:val="en-US"/>
        </w:rPr>
        <w:t>leave</w:t>
      </w:r>
      <w:r w:rsidR="00AC2142">
        <w:rPr>
          <w:lang w:val="en-US"/>
        </w:rPr>
        <w:t>s</w:t>
      </w:r>
      <w:r w:rsidR="00BF5E43">
        <w:rPr>
          <w:lang w:val="en-US"/>
        </w:rPr>
        <w:t xml:space="preserve"> th</w:t>
      </w:r>
      <w:r w:rsidR="00AC2142">
        <w:rPr>
          <w:lang w:val="en-US"/>
        </w:rPr>
        <w:t>ese details</w:t>
      </w:r>
      <w:r w:rsidR="00BF5E43">
        <w:rPr>
          <w:lang w:val="en-US"/>
        </w:rPr>
        <w:t xml:space="preserve"> </w:t>
      </w:r>
      <w:r w:rsidR="00B27FFB">
        <w:rPr>
          <w:lang w:val="en-US"/>
        </w:rPr>
        <w:t xml:space="preserve">to </w:t>
      </w:r>
      <w:r w:rsidR="00BF5E43">
        <w:rPr>
          <w:lang w:val="en-US"/>
        </w:rPr>
        <w:t xml:space="preserve">each individual </w:t>
      </w:r>
      <w:r w:rsidR="00BF5E43">
        <w:rPr>
          <w:lang w:val="en-US"/>
        </w:rPr>
        <w:lastRenderedPageBreak/>
        <w:t>administration</w:t>
      </w:r>
      <w:r w:rsidR="00D54924">
        <w:rPr>
          <w:lang w:val="en-US"/>
        </w:rPr>
        <w:t xml:space="preserve">.  As such, it is </w:t>
      </w:r>
      <w:r w:rsidR="00814899">
        <w:rPr>
          <w:lang w:val="en-US"/>
        </w:rPr>
        <w:t>difficult for RAN4 to proceed with additional spurious emission requirements</w:t>
      </w:r>
      <w:r w:rsidR="006F364C">
        <w:rPr>
          <w:lang w:val="en-US"/>
        </w:rPr>
        <w:t xml:space="preserve"> and necessary A-MPR.  The following options are presented for consideration</w:t>
      </w:r>
      <w:r w:rsidR="00370549">
        <w:rPr>
          <w:lang w:val="en-US"/>
        </w:rPr>
        <w:t xml:space="preserve"> and discussion</w:t>
      </w:r>
    </w:p>
    <w:p w14:paraId="7901BCEB" w14:textId="1A1864A2" w:rsidR="006F364C" w:rsidRDefault="002F581B" w:rsidP="006F364C">
      <w:pPr>
        <w:pStyle w:val="ListParagraph"/>
        <w:numPr>
          <w:ilvl w:val="0"/>
          <w:numId w:val="32"/>
        </w:numPr>
        <w:rPr>
          <w:lang w:val="en-US"/>
        </w:rPr>
      </w:pPr>
      <w:r>
        <w:rPr>
          <w:lang w:val="en-US"/>
        </w:rPr>
        <w:t xml:space="preserve">Send a liaison to RCC requesting </w:t>
      </w:r>
      <w:r w:rsidR="00F2593C">
        <w:rPr>
          <w:lang w:val="en-US"/>
        </w:rPr>
        <w:t>emission requirements.  Until such information is received, RAN4 can</w:t>
      </w:r>
      <w:r w:rsidR="00D5244B">
        <w:rPr>
          <w:lang w:val="en-US"/>
        </w:rPr>
        <w:t xml:space="preserve"> continue to work on other unrelated aspects of the band, but ultimately can</w:t>
      </w:r>
      <w:r w:rsidR="00F2593C">
        <w:rPr>
          <w:lang w:val="en-US"/>
        </w:rPr>
        <w:t>not complete definition of this band</w:t>
      </w:r>
      <w:r w:rsidR="00755D86">
        <w:rPr>
          <w:lang w:val="en-US"/>
        </w:rPr>
        <w:t xml:space="preserve"> until the information is made available</w:t>
      </w:r>
      <w:r w:rsidR="00F2593C">
        <w:rPr>
          <w:lang w:val="en-US"/>
        </w:rPr>
        <w:t>.</w:t>
      </w:r>
    </w:p>
    <w:p w14:paraId="744DC5AD" w14:textId="090BB29B" w:rsidR="00F2593C" w:rsidRDefault="00957124" w:rsidP="006F364C">
      <w:pPr>
        <w:pStyle w:val="ListParagraph"/>
        <w:numPr>
          <w:ilvl w:val="0"/>
          <w:numId w:val="32"/>
        </w:numPr>
        <w:rPr>
          <w:lang w:val="en-US"/>
        </w:rPr>
      </w:pPr>
      <w:r>
        <w:rPr>
          <w:lang w:val="en-US"/>
        </w:rPr>
        <w:t>Inquire with RCC</w:t>
      </w:r>
      <w:r w:rsidR="00017307">
        <w:rPr>
          <w:lang w:val="en-US"/>
        </w:rPr>
        <w:t xml:space="preserve"> </w:t>
      </w:r>
      <w:r>
        <w:rPr>
          <w:lang w:val="en-US"/>
        </w:rPr>
        <w:t>whether</w:t>
      </w:r>
      <w:r w:rsidR="00017307">
        <w:rPr>
          <w:lang w:val="en-US"/>
        </w:rPr>
        <w:t xml:space="preserve"> compatibility and coexistence with other services is ensured by deployment practices</w:t>
      </w:r>
      <w:r w:rsidR="008956BD">
        <w:rPr>
          <w:lang w:val="en-US"/>
        </w:rPr>
        <w:t xml:space="preserve">; therefore, no additional spurious emissions protection is </w:t>
      </w:r>
      <w:r w:rsidR="00DE1D01">
        <w:rPr>
          <w:lang w:val="en-US"/>
        </w:rPr>
        <w:t>defined in the 3GPP specifications and only the general emission requirements can be assumed to be met,</w:t>
      </w:r>
    </w:p>
    <w:p w14:paraId="17B37766" w14:textId="77777777" w:rsidR="00932D2F" w:rsidRDefault="00391BDB" w:rsidP="006F364C">
      <w:pPr>
        <w:pStyle w:val="ListParagraph"/>
        <w:numPr>
          <w:ilvl w:val="0"/>
          <w:numId w:val="32"/>
        </w:numPr>
        <w:rPr>
          <w:lang w:val="en-US"/>
        </w:rPr>
      </w:pPr>
      <w:r>
        <w:rPr>
          <w:lang w:val="en-US"/>
        </w:rPr>
        <w:t xml:space="preserve">Wait for individual administrations to publish emission requirements and </w:t>
      </w:r>
      <w:r w:rsidR="00A92AC8">
        <w:rPr>
          <w:lang w:val="en-US"/>
        </w:rPr>
        <w:t xml:space="preserve">capture these within new NS values for the band.  </w:t>
      </w:r>
      <w:r w:rsidR="000D4D70">
        <w:rPr>
          <w:lang w:val="en-US"/>
        </w:rPr>
        <w:t>Technical work on t</w:t>
      </w:r>
      <w:r w:rsidR="00F803E5">
        <w:rPr>
          <w:lang w:val="en-US"/>
        </w:rPr>
        <w:t xml:space="preserve">he general parts of the band can </w:t>
      </w:r>
      <w:r w:rsidR="000D4D70">
        <w:rPr>
          <w:lang w:val="en-US"/>
        </w:rPr>
        <w:t>continue</w:t>
      </w:r>
      <w:r w:rsidR="00F803E5">
        <w:rPr>
          <w:lang w:val="en-US"/>
        </w:rPr>
        <w:t xml:space="preserve"> with placeholders for future NS values, emission requirements, and A-MPR tables</w:t>
      </w:r>
      <w:r w:rsidR="00AB1254">
        <w:rPr>
          <w:lang w:val="en-US"/>
        </w:rPr>
        <w:t>.  However, t</w:t>
      </w:r>
      <w:r w:rsidR="00A92AC8">
        <w:rPr>
          <w:lang w:val="en-US"/>
        </w:rPr>
        <w:t xml:space="preserve">he band cannot </w:t>
      </w:r>
      <w:r w:rsidR="000D4D70">
        <w:rPr>
          <w:lang w:val="en-US"/>
        </w:rPr>
        <w:t>be finalized until at least one country</w:t>
      </w:r>
      <w:r w:rsidR="00932D2F">
        <w:rPr>
          <w:lang w:val="en-US"/>
        </w:rPr>
        <w:t xml:space="preserve"> provides the details needed to actually deploy the band including coexistence emission requirements.</w:t>
      </w:r>
    </w:p>
    <w:p w14:paraId="43A67D31" w14:textId="4D445179" w:rsidR="003E23F1" w:rsidRPr="006F364C" w:rsidRDefault="006D1F33" w:rsidP="006F364C">
      <w:pPr>
        <w:pStyle w:val="ListParagraph"/>
        <w:numPr>
          <w:ilvl w:val="0"/>
          <w:numId w:val="32"/>
        </w:numPr>
        <w:rPr>
          <w:lang w:val="en-US"/>
        </w:rPr>
      </w:pPr>
      <w:r>
        <w:rPr>
          <w:lang w:val="en-US"/>
        </w:rPr>
        <w:t>RAN4</w:t>
      </w:r>
      <w:r w:rsidR="003E23F1">
        <w:rPr>
          <w:lang w:val="en-US"/>
        </w:rPr>
        <w:t xml:space="preserve"> to define emission requirements </w:t>
      </w:r>
      <w:r>
        <w:rPr>
          <w:lang w:val="en-US"/>
        </w:rPr>
        <w:t xml:space="preserve">to the best of its ability with the limited information available.  However, it seems unlikely that sufficient information is available </w:t>
      </w:r>
      <w:r w:rsidR="003C18A0">
        <w:rPr>
          <w:lang w:val="en-US"/>
        </w:rPr>
        <w:t>(RF characteristics of adjacent systems</w:t>
      </w:r>
      <w:r w:rsidR="00946FAD">
        <w:rPr>
          <w:lang w:val="en-US"/>
        </w:rPr>
        <w:t>, level of protection needed, operational duty cycle, physical location, etc) to be able to conduct such a study</w:t>
      </w:r>
      <w:r w:rsidR="00CD1562">
        <w:rPr>
          <w:lang w:val="en-US"/>
        </w:rPr>
        <w:t xml:space="preserve"> and the end result may not comply with eventual regulations.  Thus, this option is not recommended.</w:t>
      </w:r>
    </w:p>
    <w:p w14:paraId="6FB43269" w14:textId="49557EAC" w:rsidR="00DA2D44" w:rsidRDefault="00370549" w:rsidP="00B9251B">
      <w:pPr>
        <w:rPr>
          <w:lang w:val="en-US"/>
        </w:rPr>
      </w:pPr>
      <w:r>
        <w:rPr>
          <w:lang w:val="en-US"/>
        </w:rPr>
        <w:t xml:space="preserve">Of the above listed options, the first </w:t>
      </w:r>
      <w:r w:rsidR="00EA4D1C">
        <w:rPr>
          <w:lang w:val="en-US"/>
        </w:rPr>
        <w:t>and second are</w:t>
      </w:r>
      <w:r>
        <w:rPr>
          <w:lang w:val="en-US"/>
        </w:rPr>
        <w:t xml:space="preserve"> </w:t>
      </w:r>
      <w:r w:rsidR="00260078">
        <w:rPr>
          <w:lang w:val="en-US"/>
        </w:rPr>
        <w:t xml:space="preserve">preferred since </w:t>
      </w:r>
      <w:r w:rsidR="004A1348">
        <w:rPr>
          <w:lang w:val="en-US"/>
        </w:rPr>
        <w:t>3GPP is not in a position to make assumptions</w:t>
      </w:r>
      <w:r w:rsidR="00161D6F">
        <w:rPr>
          <w:lang w:val="en-US"/>
        </w:rPr>
        <w:t xml:space="preserve"> about requirements, clearly indicates to RCC that such information is needed for 3GPP to complete its work</w:t>
      </w:r>
      <w:r w:rsidR="00621A2F">
        <w:rPr>
          <w:lang w:val="en-US"/>
        </w:rPr>
        <w:t xml:space="preserve"> – either quantitative emission requirements or confirmation that no requirement beyond general spurious is needed</w:t>
      </w:r>
      <w:r w:rsidR="00C60AA5">
        <w:rPr>
          <w:lang w:val="en-US"/>
        </w:rPr>
        <w:t xml:space="preserve"> to ensure compatibility with other services.  </w:t>
      </w:r>
      <w:r w:rsidR="003B72E1">
        <w:rPr>
          <w:lang w:val="en-US"/>
        </w:rPr>
        <w:t>In the meantime, RAN4 can continue to work on other aspects of the band definition unrelate</w:t>
      </w:r>
      <w:r w:rsidR="004440FD">
        <w:rPr>
          <w:lang w:val="en-US"/>
        </w:rPr>
        <w:t xml:space="preserve">d to emission requirements.  Towards this end, it is recommended that any </w:t>
      </w:r>
      <w:r w:rsidR="005D1AF9">
        <w:rPr>
          <w:lang w:val="en-US"/>
        </w:rPr>
        <w:t xml:space="preserve">additional spurious </w:t>
      </w:r>
      <w:r w:rsidR="004440FD">
        <w:rPr>
          <w:lang w:val="en-US"/>
        </w:rPr>
        <w:t>emission requirements would not be specifically accommodated by an RF filter</w:t>
      </w:r>
      <w:r w:rsidR="005D1AF9">
        <w:rPr>
          <w:lang w:val="en-US"/>
        </w:rPr>
        <w:t xml:space="preserve"> in order to </w:t>
      </w:r>
      <w:r w:rsidR="003845F0">
        <w:rPr>
          <w:lang w:val="en-US"/>
        </w:rPr>
        <w:t>preserve the insertion loss.  Therefore, additional spurious emission requirements when they become available will be handled by A-MPR.</w:t>
      </w:r>
    </w:p>
    <w:p w14:paraId="328029AF" w14:textId="50CDBE7E" w:rsidR="00C60AA5" w:rsidRPr="008B7073" w:rsidRDefault="00C60AA5" w:rsidP="00B9251B">
      <w:pPr>
        <w:rPr>
          <w:b/>
          <w:bCs/>
          <w:lang w:val="en-US"/>
        </w:rPr>
      </w:pPr>
      <w:r w:rsidRPr="008B7073">
        <w:rPr>
          <w:b/>
          <w:bCs/>
          <w:lang w:val="en-US"/>
        </w:rPr>
        <w:t xml:space="preserve">Proposal:  </w:t>
      </w:r>
      <w:r w:rsidR="003845F0" w:rsidRPr="008B7073">
        <w:rPr>
          <w:b/>
          <w:bCs/>
          <w:lang w:val="en-US"/>
        </w:rPr>
        <w:t>Send an LS to RCC</w:t>
      </w:r>
      <w:r w:rsidR="004C49D7" w:rsidRPr="008B7073">
        <w:rPr>
          <w:b/>
          <w:bCs/>
          <w:lang w:val="en-US"/>
        </w:rPr>
        <w:t xml:space="preserve"> to clarify </w:t>
      </w:r>
      <w:r w:rsidR="00E5423F" w:rsidRPr="008B7073">
        <w:rPr>
          <w:b/>
          <w:bCs/>
          <w:lang w:val="en-US"/>
        </w:rPr>
        <w:t>what (i</w:t>
      </w:r>
      <w:r w:rsidR="004C49D7" w:rsidRPr="008B7073">
        <w:rPr>
          <w:b/>
          <w:bCs/>
          <w:lang w:val="en-US"/>
        </w:rPr>
        <w:t>f any</w:t>
      </w:r>
      <w:r w:rsidR="00E5423F" w:rsidRPr="008B7073">
        <w:rPr>
          <w:b/>
          <w:bCs/>
          <w:lang w:val="en-US"/>
        </w:rPr>
        <w:t>)</w:t>
      </w:r>
      <w:r w:rsidR="004C49D7" w:rsidRPr="008B7073">
        <w:rPr>
          <w:b/>
          <w:bCs/>
          <w:lang w:val="en-US"/>
        </w:rPr>
        <w:t xml:space="preserve"> additional spurious emission requirements are needed to ensure compatibility with </w:t>
      </w:r>
      <w:r w:rsidR="00E5423F" w:rsidRPr="008B7073">
        <w:rPr>
          <w:b/>
          <w:bCs/>
          <w:lang w:val="en-US"/>
        </w:rPr>
        <w:t>adjacent services in the band.</w:t>
      </w:r>
      <w:r w:rsidR="00D251BA">
        <w:rPr>
          <w:b/>
          <w:bCs/>
          <w:lang w:val="en-US"/>
        </w:rPr>
        <w:t xml:space="preserve">  Further clarify whether emission requirements or other necessary restrictions will be forthcoming from individual administrations.</w:t>
      </w:r>
    </w:p>
    <w:p w14:paraId="63E883A8" w14:textId="139CDAEB" w:rsidR="003845F0" w:rsidRPr="008B7073" w:rsidRDefault="003845F0" w:rsidP="00B9251B">
      <w:pPr>
        <w:rPr>
          <w:b/>
          <w:bCs/>
          <w:lang w:val="en-US"/>
        </w:rPr>
      </w:pPr>
      <w:r w:rsidRPr="008B7073">
        <w:rPr>
          <w:b/>
          <w:bCs/>
          <w:lang w:val="en-US"/>
        </w:rPr>
        <w:t xml:space="preserve">Proposal:  </w:t>
      </w:r>
      <w:r w:rsidR="008B5873">
        <w:rPr>
          <w:b/>
          <w:bCs/>
          <w:lang w:val="en-US"/>
        </w:rPr>
        <w:t>I</w:t>
      </w:r>
      <w:r w:rsidR="004C49D7" w:rsidRPr="008B7073">
        <w:rPr>
          <w:b/>
          <w:bCs/>
          <w:lang w:val="en-US"/>
        </w:rPr>
        <w:t>t is assumed that the RF filter will not provide rejection for additional spurious emission requirements (if any).  Instead, A-MPR will be specified as needed.</w:t>
      </w:r>
    </w:p>
    <w:p w14:paraId="5273A067" w14:textId="2BA8EA83" w:rsidR="00C11CF2" w:rsidRDefault="00C11CF2" w:rsidP="00C11CF2">
      <w:pPr>
        <w:pStyle w:val="Heading2"/>
        <w:rPr>
          <w:lang w:val="en-US"/>
        </w:rPr>
      </w:pPr>
      <w:r>
        <w:rPr>
          <w:lang w:val="en-US"/>
        </w:rPr>
        <w:t>Out-of-band blocking</w:t>
      </w:r>
    </w:p>
    <w:p w14:paraId="6E853DA8" w14:textId="75CC99C5" w:rsidR="00B9251B" w:rsidRDefault="00D9323C" w:rsidP="00FB13FE">
      <w:pPr>
        <w:rPr>
          <w:lang w:val="en-US"/>
        </w:rPr>
      </w:pPr>
      <w:r>
        <w:rPr>
          <w:lang w:val="en-US"/>
        </w:rPr>
        <w:t xml:space="preserve">During the discussion of requirements for the unlicensed band n102, a </w:t>
      </w:r>
      <w:r w:rsidR="00D01F72">
        <w:rPr>
          <w:lang w:val="en-US"/>
        </w:rPr>
        <w:t xml:space="preserve">request was made to improve the out-of-band blocking requirements to protect the UE against </w:t>
      </w:r>
      <w:r w:rsidR="00D5060A">
        <w:rPr>
          <w:lang w:val="en-US"/>
        </w:rPr>
        <w:t xml:space="preserve">blockers in the upper portion of the 6 GHz frequency range.  </w:t>
      </w:r>
      <w:r w:rsidR="00263A40">
        <w:rPr>
          <w:lang w:val="en-US"/>
        </w:rPr>
        <w:t xml:space="preserve">For the licensed band under consideration, if a separate band is defined as 6425 – 7125 MHz, then </w:t>
      </w:r>
      <w:r w:rsidR="00B545FA">
        <w:rPr>
          <w:lang w:val="en-US"/>
        </w:rPr>
        <w:t>there may be a concern about susceptibility of the UE against blockers in the lower portion of the 6 GHz frequency range.</w:t>
      </w:r>
      <w:r w:rsidR="007E315C">
        <w:rPr>
          <w:lang w:val="en-US"/>
        </w:rPr>
        <w:t xml:space="preserve">  However, until this concern is justified, there is no regulatory basis for it [2]</w:t>
      </w:r>
      <w:r w:rsidR="007B15F0">
        <w:rPr>
          <w:lang w:val="en-US"/>
        </w:rPr>
        <w:t xml:space="preserve">.  </w:t>
      </w:r>
      <w:r w:rsidR="00D24B5C">
        <w:rPr>
          <w:lang w:val="en-US"/>
        </w:rPr>
        <w:t xml:space="preserve">Whether the out-of-band boundaries are defined with respect to 5925 MHz or 6425 MHz </w:t>
      </w:r>
      <w:r w:rsidR="006341CF">
        <w:rPr>
          <w:lang w:val="en-US"/>
        </w:rPr>
        <w:t xml:space="preserve">may be dependent on how RAN4 decides to define the band as either the entire 1.2 GHz or the upper </w:t>
      </w:r>
      <w:r w:rsidR="00F01E60">
        <w:rPr>
          <w:lang w:val="en-US"/>
        </w:rPr>
        <w:t>700 MHz portion.</w:t>
      </w:r>
    </w:p>
    <w:p w14:paraId="5D11F084" w14:textId="3FEFAC21" w:rsidR="007B15F0" w:rsidRPr="00B13AA2" w:rsidRDefault="007B15F0" w:rsidP="00FB13FE">
      <w:pPr>
        <w:rPr>
          <w:b/>
          <w:bCs/>
          <w:lang w:val="en-US"/>
        </w:rPr>
      </w:pPr>
      <w:r w:rsidRPr="00B13AA2">
        <w:rPr>
          <w:b/>
          <w:bCs/>
          <w:lang w:val="en-US"/>
        </w:rPr>
        <w:t xml:space="preserve">Proposal:  UE blocking is specified </w:t>
      </w:r>
      <w:r w:rsidR="00AD390E" w:rsidRPr="00B13AA2">
        <w:rPr>
          <w:b/>
          <w:bCs/>
          <w:lang w:val="en-US"/>
        </w:rPr>
        <w:t>conventionally without the need to improve blocking</w:t>
      </w:r>
      <w:r w:rsidR="00B13AA2" w:rsidRPr="00B13AA2">
        <w:rPr>
          <w:b/>
          <w:bCs/>
          <w:lang w:val="en-US"/>
        </w:rPr>
        <w:t xml:space="preserve"> beyond the standard requirements.</w:t>
      </w:r>
    </w:p>
    <w:p w14:paraId="3F8BEA58" w14:textId="6F00ACA1" w:rsidR="009C37D0" w:rsidRDefault="00FA01C7" w:rsidP="009C37D0">
      <w:pPr>
        <w:pStyle w:val="Heading1"/>
        <w:tabs>
          <w:tab w:val="clear" w:pos="432"/>
          <w:tab w:val="num" w:pos="522"/>
        </w:tabs>
        <w:ind w:left="522" w:hanging="522"/>
        <w:rPr>
          <w:lang w:val="en-US"/>
        </w:rPr>
      </w:pPr>
      <w:r>
        <w:rPr>
          <w:lang w:val="en-US"/>
        </w:rPr>
        <w:t>Conclusion</w:t>
      </w:r>
    </w:p>
    <w:p w14:paraId="7A4C6634" w14:textId="248DE374" w:rsidR="00C65776" w:rsidRDefault="00D21A8F" w:rsidP="00C65776">
      <w:pPr>
        <w:rPr>
          <w:lang w:val="en-US"/>
        </w:rPr>
      </w:pPr>
      <w:r>
        <w:rPr>
          <w:lang w:val="en-US"/>
        </w:rPr>
        <w:t>Based on an LS from RCC, the technical work to define a licensed band for the 6 GHz frequency range can begin</w:t>
      </w:r>
      <w:r w:rsidR="00E728CA">
        <w:rPr>
          <w:lang w:val="en-US"/>
        </w:rPr>
        <w:t>.</w:t>
      </w:r>
      <w:r>
        <w:rPr>
          <w:lang w:val="en-US"/>
        </w:rPr>
        <w:t xml:space="preserve">  This contribution discusses some </w:t>
      </w:r>
      <w:r w:rsidR="00F47599">
        <w:rPr>
          <w:lang w:val="en-US"/>
        </w:rPr>
        <w:t>of the specifications for the UE and makes the following proposals</w:t>
      </w:r>
    </w:p>
    <w:p w14:paraId="4CBF7952" w14:textId="77777777" w:rsidR="00F47599" w:rsidRPr="00267985" w:rsidRDefault="00F47599" w:rsidP="00F47599">
      <w:pPr>
        <w:rPr>
          <w:b/>
          <w:bCs/>
          <w:lang w:val="en-US"/>
        </w:rPr>
      </w:pPr>
      <w:r w:rsidRPr="00267985">
        <w:rPr>
          <w:b/>
          <w:bCs/>
          <w:lang w:val="en-US"/>
        </w:rPr>
        <w:t xml:space="preserve">Proposal:  RAN4 to decide whether the defined 6 GHz licensed band should be specific to 6425 – 7125 MHz </w:t>
      </w:r>
      <w:r>
        <w:rPr>
          <w:b/>
          <w:bCs/>
          <w:lang w:val="en-US"/>
        </w:rPr>
        <w:t xml:space="preserve">with possible NS, </w:t>
      </w:r>
      <w:r w:rsidRPr="00267985">
        <w:rPr>
          <w:b/>
          <w:bCs/>
          <w:lang w:val="en-US"/>
        </w:rPr>
        <w:t>or a more general band 5925 – 7125 MHz with specific NS requirements for countries allowing only the subset.</w:t>
      </w:r>
    </w:p>
    <w:p w14:paraId="0EF1CE43" w14:textId="77777777" w:rsidR="00F47599" w:rsidRPr="003B6018" w:rsidRDefault="00F47599" w:rsidP="00F47599">
      <w:pPr>
        <w:rPr>
          <w:b/>
          <w:bCs/>
          <w:lang w:val="en-US"/>
        </w:rPr>
      </w:pPr>
      <w:r w:rsidRPr="003B6018">
        <w:rPr>
          <w:b/>
          <w:bCs/>
          <w:lang w:val="en-US"/>
        </w:rPr>
        <w:t>Proposal:  Channel bandwidths for this band as 10, 20, 30, 40, 50, 60, 70, 80, 90, 100 MHz.</w:t>
      </w:r>
    </w:p>
    <w:p w14:paraId="425DFC77" w14:textId="77777777" w:rsidR="00F47599" w:rsidRDefault="00F47599" w:rsidP="00F47599">
      <w:pPr>
        <w:rPr>
          <w:b/>
          <w:bCs/>
          <w:lang w:val="en-US"/>
        </w:rPr>
      </w:pPr>
      <w:r w:rsidRPr="006102D1">
        <w:rPr>
          <w:b/>
          <w:bCs/>
          <w:lang w:val="en-US"/>
        </w:rPr>
        <w:t xml:space="preserve">Proposal:  </w:t>
      </w:r>
      <w:r>
        <w:rPr>
          <w:b/>
          <w:bCs/>
          <w:lang w:val="en-US"/>
        </w:rPr>
        <w:t>S</w:t>
      </w:r>
      <w:r w:rsidRPr="006102D1">
        <w:rPr>
          <w:b/>
          <w:bCs/>
          <w:lang w:val="en-US"/>
        </w:rPr>
        <w:t xml:space="preserve">pecify </w:t>
      </w:r>
      <w:r>
        <w:rPr>
          <w:b/>
          <w:bCs/>
          <w:lang w:val="en-US"/>
        </w:rPr>
        <w:t>PC3 and PC2 power classes for this band, with the default power class as PC3.</w:t>
      </w:r>
    </w:p>
    <w:p w14:paraId="2AAB2F62" w14:textId="77777777" w:rsidR="00F47599" w:rsidRDefault="00F47599" w:rsidP="00F47599">
      <w:pPr>
        <w:rPr>
          <w:b/>
          <w:bCs/>
          <w:lang w:val="en-US"/>
        </w:rPr>
      </w:pPr>
      <w:r w:rsidRPr="003D23FE">
        <w:rPr>
          <w:b/>
          <w:bCs/>
          <w:lang w:val="en-US"/>
        </w:rPr>
        <w:t xml:space="preserve">Proposal:  Due to the variability </w:t>
      </w:r>
      <w:r>
        <w:rPr>
          <w:b/>
          <w:bCs/>
          <w:lang w:val="en-US"/>
        </w:rPr>
        <w:t xml:space="preserve">of losses </w:t>
      </w:r>
      <w:r w:rsidRPr="003D23FE">
        <w:rPr>
          <w:b/>
          <w:bCs/>
          <w:lang w:val="en-US"/>
        </w:rPr>
        <w:t xml:space="preserve">at higher frequencies, it is proposed that the </w:t>
      </w:r>
      <w:r>
        <w:rPr>
          <w:b/>
          <w:bCs/>
          <w:lang w:val="en-US"/>
        </w:rPr>
        <w:t>to</w:t>
      </w:r>
      <w:r w:rsidRPr="003D23FE">
        <w:rPr>
          <w:b/>
          <w:bCs/>
          <w:lang w:val="en-US"/>
        </w:rPr>
        <w:t xml:space="preserve">lerance on maximum output power be specified at be </w:t>
      </w:r>
      <w:r>
        <w:rPr>
          <w:b/>
          <w:bCs/>
          <w:lang w:val="en-US"/>
        </w:rPr>
        <w:t>+2/</w:t>
      </w:r>
      <w:r w:rsidRPr="003D23FE">
        <w:rPr>
          <w:b/>
          <w:bCs/>
          <w:lang w:val="en-US"/>
        </w:rPr>
        <w:t>-3 dB.</w:t>
      </w:r>
    </w:p>
    <w:p w14:paraId="3C979DCA" w14:textId="77777777" w:rsidR="00F47599" w:rsidRPr="00C11CF2" w:rsidRDefault="00F47599" w:rsidP="00F47599">
      <w:pPr>
        <w:rPr>
          <w:b/>
          <w:bCs/>
          <w:lang w:val="en-US"/>
        </w:rPr>
      </w:pPr>
      <w:r w:rsidRPr="00C11CF2">
        <w:rPr>
          <w:b/>
          <w:bCs/>
          <w:lang w:val="en-US"/>
        </w:rPr>
        <w:t>Proposal:  Focus on single PA architecture</w:t>
      </w:r>
    </w:p>
    <w:p w14:paraId="1D003084" w14:textId="77777777" w:rsidR="00F47599" w:rsidRPr="008B7073" w:rsidRDefault="00F47599" w:rsidP="00F47599">
      <w:pPr>
        <w:rPr>
          <w:b/>
          <w:bCs/>
          <w:lang w:val="en-US"/>
        </w:rPr>
      </w:pPr>
      <w:r w:rsidRPr="008B7073">
        <w:rPr>
          <w:b/>
          <w:bCs/>
          <w:lang w:val="en-US"/>
        </w:rPr>
        <w:lastRenderedPageBreak/>
        <w:t>Proposal:  Send an LS to RCC to clarify what (if any) additional spurious emission requirements are needed to ensure compatibility with adjacent services in the band.</w:t>
      </w:r>
      <w:r>
        <w:rPr>
          <w:b/>
          <w:bCs/>
          <w:lang w:val="en-US"/>
        </w:rPr>
        <w:t xml:space="preserve">  Further clarify whether emission requirements or other necessary restrictions will be forthcoming from individual administrations.</w:t>
      </w:r>
    </w:p>
    <w:p w14:paraId="2B51FC70" w14:textId="77777777" w:rsidR="00F47599" w:rsidRPr="008B7073" w:rsidRDefault="00F47599" w:rsidP="00F47599">
      <w:pPr>
        <w:rPr>
          <w:b/>
          <w:bCs/>
          <w:lang w:val="en-US"/>
        </w:rPr>
      </w:pPr>
      <w:r w:rsidRPr="008B7073">
        <w:rPr>
          <w:b/>
          <w:bCs/>
          <w:lang w:val="en-US"/>
        </w:rPr>
        <w:t xml:space="preserve">Proposal:  </w:t>
      </w:r>
      <w:r>
        <w:rPr>
          <w:b/>
          <w:bCs/>
          <w:lang w:val="en-US"/>
        </w:rPr>
        <w:t>I</w:t>
      </w:r>
      <w:r w:rsidRPr="008B7073">
        <w:rPr>
          <w:b/>
          <w:bCs/>
          <w:lang w:val="en-US"/>
        </w:rPr>
        <w:t>t is assumed that the RF filter will not provide rejection for additional spurious emission requirements (if any).  Instead, A-MPR will be specified as needed.</w:t>
      </w:r>
    </w:p>
    <w:p w14:paraId="6D4DAB79" w14:textId="77777777" w:rsidR="00F47599" w:rsidRPr="00B13AA2" w:rsidRDefault="00F47599" w:rsidP="00F47599">
      <w:pPr>
        <w:rPr>
          <w:b/>
          <w:bCs/>
          <w:lang w:val="en-US"/>
        </w:rPr>
      </w:pPr>
      <w:r w:rsidRPr="00B13AA2">
        <w:rPr>
          <w:b/>
          <w:bCs/>
          <w:lang w:val="en-US"/>
        </w:rPr>
        <w:t>Proposal:  UE blocking is specified conventionally without the need to improve blocking beyond the standard requirements.</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193C3E43" w14:textId="77777777" w:rsidR="007D0421" w:rsidRDefault="00FD155D" w:rsidP="00D23312">
      <w:pPr>
        <w:numPr>
          <w:ilvl w:val="0"/>
          <w:numId w:val="2"/>
        </w:numPr>
        <w:tabs>
          <w:tab w:val="left" w:pos="1080"/>
        </w:tabs>
        <w:rPr>
          <w:lang w:val="en-US" w:eastAsia="x-none"/>
        </w:rPr>
      </w:pPr>
      <w:bookmarkStart w:id="0" w:name="_Hlk859252"/>
      <w:r>
        <w:rPr>
          <w:lang w:val="en-US" w:eastAsia="x-none"/>
        </w:rPr>
        <w:t>RP-2136</w:t>
      </w:r>
      <w:r w:rsidR="007D0421">
        <w:rPr>
          <w:lang w:val="en-US" w:eastAsia="x-none"/>
        </w:rPr>
        <w:t>96</w:t>
      </w:r>
      <w:r>
        <w:rPr>
          <w:lang w:val="en-US" w:eastAsia="x-none"/>
        </w:rPr>
        <w:t>, “</w:t>
      </w:r>
      <w:r w:rsidR="000B6760" w:rsidRPr="000B6760">
        <w:rPr>
          <w:lang w:val="en-US" w:eastAsia="x-none"/>
        </w:rPr>
        <w:t>Revised WID</w:t>
      </w:r>
      <w:r w:rsidR="007D0421">
        <w:rPr>
          <w:lang w:val="en-US" w:eastAsia="x-none"/>
        </w:rPr>
        <w:t>: Introduction of 6GHz NR licensed bands,” Huawei, HiSilicon</w:t>
      </w:r>
    </w:p>
    <w:p w14:paraId="4A948BA2" w14:textId="3C64E9FD" w:rsidR="004B18D3" w:rsidRDefault="004F30FB" w:rsidP="00D23312">
      <w:pPr>
        <w:numPr>
          <w:ilvl w:val="0"/>
          <w:numId w:val="2"/>
        </w:numPr>
        <w:tabs>
          <w:tab w:val="left" w:pos="1080"/>
        </w:tabs>
        <w:rPr>
          <w:lang w:val="en-US" w:eastAsia="x-none"/>
        </w:rPr>
      </w:pPr>
      <w:r w:rsidRPr="004F30FB">
        <w:rPr>
          <w:lang w:val="en-US" w:eastAsia="x-none"/>
        </w:rPr>
        <w:t>RP-213605</w:t>
      </w:r>
      <w:r>
        <w:rPr>
          <w:lang w:val="en-US" w:eastAsia="x-none"/>
        </w:rPr>
        <w:t xml:space="preserve">, </w:t>
      </w:r>
      <w:r w:rsidR="00861E47">
        <w:rPr>
          <w:lang w:val="en-US" w:eastAsia="x-none"/>
        </w:rPr>
        <w:t>“Liaison statement to 3</w:t>
      </w:r>
      <w:r w:rsidR="002E284A">
        <w:rPr>
          <w:lang w:val="en-US" w:eastAsia="x-none"/>
        </w:rPr>
        <w:t>GPP TSG RAN on the inclusion of the 6425-7125 MHz frequency range in the 3GPP specification for 5G-NR/IMT-2020 systems</w:t>
      </w:r>
      <w:r w:rsidR="004B18D3">
        <w:rPr>
          <w:lang w:val="en-US" w:eastAsia="x-none"/>
        </w:rPr>
        <w:t>,” Regional Commonwealth in the Field of Communications.</w:t>
      </w:r>
    </w:p>
    <w:p w14:paraId="06715186" w14:textId="100BDD23" w:rsidR="00F9332F" w:rsidRDefault="00F9332F" w:rsidP="00D23312">
      <w:pPr>
        <w:numPr>
          <w:ilvl w:val="0"/>
          <w:numId w:val="2"/>
        </w:numPr>
        <w:tabs>
          <w:tab w:val="left" w:pos="1080"/>
        </w:tabs>
        <w:rPr>
          <w:lang w:val="en-US" w:eastAsia="x-none"/>
        </w:rPr>
      </w:pPr>
      <w:r>
        <w:rPr>
          <w:lang w:val="en-US" w:eastAsia="x-none"/>
        </w:rPr>
        <w:t>RP-202</w:t>
      </w:r>
      <w:r w:rsidR="00EF3C83">
        <w:rPr>
          <w:lang w:val="en-US" w:eastAsia="x-none"/>
        </w:rPr>
        <w:t>11</w:t>
      </w:r>
      <w:r>
        <w:rPr>
          <w:lang w:val="en-US" w:eastAsia="x-none"/>
        </w:rPr>
        <w:t xml:space="preserve">4, </w:t>
      </w:r>
      <w:r w:rsidR="00EF3C83">
        <w:rPr>
          <w:lang w:val="en-US" w:eastAsia="x-none"/>
        </w:rPr>
        <w:t>“New WID on introduction of 6GHz NR licensed bands,” Huawei, HiSilicon, Ericsson, Nokia, ZTE</w:t>
      </w:r>
    </w:p>
    <w:p w14:paraId="322F3007" w14:textId="24DF0492" w:rsidR="00C61595" w:rsidRDefault="00C61595" w:rsidP="00D23312">
      <w:pPr>
        <w:numPr>
          <w:ilvl w:val="0"/>
          <w:numId w:val="2"/>
        </w:numPr>
        <w:tabs>
          <w:tab w:val="left" w:pos="1080"/>
        </w:tabs>
        <w:rPr>
          <w:lang w:val="en-US" w:eastAsia="x-none"/>
        </w:rPr>
      </w:pPr>
      <w:r>
        <w:rPr>
          <w:lang w:val="en-US" w:eastAsia="x-none"/>
        </w:rPr>
        <w:t>RP-212566, “Moderator’s summary for discussion [</w:t>
      </w:r>
      <w:r w:rsidR="005C2BFC">
        <w:rPr>
          <w:lang w:val="en-US" w:eastAsia="x-none"/>
        </w:rPr>
        <w:t>93e-26-6GHz-NR-U],</w:t>
      </w:r>
      <w:r w:rsidR="0011056D">
        <w:rPr>
          <w:lang w:val="en-US" w:eastAsia="x-none"/>
        </w:rPr>
        <w:t>” RAN Vice-Chair (AT&amp;T)</w:t>
      </w:r>
    </w:p>
    <w:p w14:paraId="1ABF1495" w14:textId="788E8205" w:rsidR="00EB5F9A" w:rsidRDefault="00EB5F9A" w:rsidP="00D23312">
      <w:pPr>
        <w:numPr>
          <w:ilvl w:val="0"/>
          <w:numId w:val="2"/>
        </w:numPr>
        <w:tabs>
          <w:tab w:val="left" w:pos="1080"/>
        </w:tabs>
        <w:rPr>
          <w:lang w:val="en-US" w:eastAsia="x-none"/>
        </w:rPr>
      </w:pPr>
      <w:r>
        <w:rPr>
          <w:lang w:val="en-US" w:eastAsia="x-none"/>
        </w:rPr>
        <w:t>RP-213604, “</w:t>
      </w:r>
      <w:r w:rsidR="003942D8" w:rsidRPr="003942D8">
        <w:rPr>
          <w:lang w:val="en-US" w:eastAsia="x-none"/>
        </w:rPr>
        <w:t>Revised WID on introduction of lower 6GHz NR unlicensed operation for Europe</w:t>
      </w:r>
      <w:r w:rsidR="003942D8">
        <w:rPr>
          <w:lang w:val="en-US" w:eastAsia="x-none"/>
        </w:rPr>
        <w:t>,” Nokia, Nokia Shanghai Bell</w:t>
      </w:r>
    </w:p>
    <w:bookmarkEnd w:id="0"/>
    <w:p w14:paraId="5C346CDA" w14:textId="77777777" w:rsidR="00614B7A" w:rsidRDefault="00614B7A" w:rsidP="00614B7A">
      <w:pPr>
        <w:tabs>
          <w:tab w:val="left" w:pos="1080"/>
        </w:tabs>
        <w:rPr>
          <w:lang w:val="en-US" w:eastAsia="x-none"/>
        </w:rPr>
      </w:pPr>
    </w:p>
    <w:sectPr w:rsidR="00614B7A"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5A73C" w14:textId="77777777" w:rsidR="00151E7D" w:rsidRDefault="00151E7D">
      <w:r>
        <w:separator/>
      </w:r>
    </w:p>
  </w:endnote>
  <w:endnote w:type="continuationSeparator" w:id="0">
    <w:p w14:paraId="62024402" w14:textId="77777777" w:rsidR="00151E7D" w:rsidRDefault="00151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26F6C" w14:textId="77777777" w:rsidR="00151E7D" w:rsidRDefault="00151E7D">
      <w:r>
        <w:separator/>
      </w:r>
    </w:p>
  </w:footnote>
  <w:footnote w:type="continuationSeparator" w:id="0">
    <w:p w14:paraId="5EEF665A" w14:textId="77777777" w:rsidR="00151E7D" w:rsidRDefault="00151E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2"/>
  </w:num>
  <w:num w:numId="3">
    <w:abstractNumId w:val="25"/>
  </w:num>
  <w:num w:numId="4">
    <w:abstractNumId w:val="28"/>
  </w:num>
  <w:num w:numId="5">
    <w:abstractNumId w:val="21"/>
  </w:num>
  <w:num w:numId="6">
    <w:abstractNumId w:val="8"/>
  </w:num>
  <w:num w:numId="7">
    <w:abstractNumId w:val="2"/>
  </w:num>
  <w:num w:numId="8">
    <w:abstractNumId w:val="24"/>
  </w:num>
  <w:num w:numId="9">
    <w:abstractNumId w:val="9"/>
  </w:num>
  <w:num w:numId="10">
    <w:abstractNumId w:val="18"/>
  </w:num>
  <w:num w:numId="11">
    <w:abstractNumId w:val="30"/>
  </w:num>
  <w:num w:numId="12">
    <w:abstractNumId w:val="7"/>
  </w:num>
  <w:num w:numId="13">
    <w:abstractNumId w:val="16"/>
  </w:num>
  <w:num w:numId="14">
    <w:abstractNumId w:val="4"/>
  </w:num>
  <w:num w:numId="15">
    <w:abstractNumId w:val="15"/>
  </w:num>
  <w:num w:numId="16">
    <w:abstractNumId w:val="29"/>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4"/>
  </w:num>
  <w:num w:numId="19">
    <w:abstractNumId w:val="13"/>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1"/>
  </w:num>
  <w:num w:numId="23">
    <w:abstractNumId w:val="20"/>
  </w:num>
  <w:num w:numId="24">
    <w:abstractNumId w:val="26"/>
  </w:num>
  <w:num w:numId="25">
    <w:abstractNumId w:val="27"/>
  </w:num>
  <w:num w:numId="26">
    <w:abstractNumId w:val="3"/>
  </w:num>
  <w:num w:numId="27">
    <w:abstractNumId w:val="17"/>
  </w:num>
  <w:num w:numId="28">
    <w:abstractNumId w:val="19"/>
  </w:num>
  <w:num w:numId="29">
    <w:abstractNumId w:val="23"/>
  </w:num>
  <w:num w:numId="30">
    <w:abstractNumId w:val="5"/>
  </w:num>
  <w:num w:numId="31">
    <w:abstractNumId w:val="10"/>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423"/>
    <w:rsid w:val="000233AC"/>
    <w:rsid w:val="000237A1"/>
    <w:rsid w:val="00023D76"/>
    <w:rsid w:val="000246F5"/>
    <w:rsid w:val="000248EA"/>
    <w:rsid w:val="00024C2B"/>
    <w:rsid w:val="00025989"/>
    <w:rsid w:val="00025D54"/>
    <w:rsid w:val="00026854"/>
    <w:rsid w:val="00026BDF"/>
    <w:rsid w:val="00026DB4"/>
    <w:rsid w:val="00027229"/>
    <w:rsid w:val="00027407"/>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6FF"/>
    <w:rsid w:val="0005277B"/>
    <w:rsid w:val="00053989"/>
    <w:rsid w:val="00053E42"/>
    <w:rsid w:val="00053EB2"/>
    <w:rsid w:val="000549BA"/>
    <w:rsid w:val="000550EF"/>
    <w:rsid w:val="000555F0"/>
    <w:rsid w:val="00055B21"/>
    <w:rsid w:val="000568F8"/>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317"/>
    <w:rsid w:val="000654B6"/>
    <w:rsid w:val="00065C27"/>
    <w:rsid w:val="00066495"/>
    <w:rsid w:val="00066EEB"/>
    <w:rsid w:val="00066EFB"/>
    <w:rsid w:val="000671C6"/>
    <w:rsid w:val="00067594"/>
    <w:rsid w:val="00070561"/>
    <w:rsid w:val="00070ECC"/>
    <w:rsid w:val="00072354"/>
    <w:rsid w:val="00072470"/>
    <w:rsid w:val="000724BF"/>
    <w:rsid w:val="00072597"/>
    <w:rsid w:val="000725AA"/>
    <w:rsid w:val="00072C4C"/>
    <w:rsid w:val="000737DA"/>
    <w:rsid w:val="00074EBA"/>
    <w:rsid w:val="00074F2C"/>
    <w:rsid w:val="0007555F"/>
    <w:rsid w:val="00075AFE"/>
    <w:rsid w:val="0007672D"/>
    <w:rsid w:val="00076DB9"/>
    <w:rsid w:val="000771C7"/>
    <w:rsid w:val="00077FE0"/>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BE1"/>
    <w:rsid w:val="00085C24"/>
    <w:rsid w:val="00085DB7"/>
    <w:rsid w:val="0008682B"/>
    <w:rsid w:val="00086D93"/>
    <w:rsid w:val="00090BB8"/>
    <w:rsid w:val="00092321"/>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760"/>
    <w:rsid w:val="000B6D46"/>
    <w:rsid w:val="000B6D65"/>
    <w:rsid w:val="000B6DAA"/>
    <w:rsid w:val="000B6F9F"/>
    <w:rsid w:val="000B7434"/>
    <w:rsid w:val="000C0625"/>
    <w:rsid w:val="000C084C"/>
    <w:rsid w:val="000C086D"/>
    <w:rsid w:val="000C0B1F"/>
    <w:rsid w:val="000C0B53"/>
    <w:rsid w:val="000C123E"/>
    <w:rsid w:val="000C1B7F"/>
    <w:rsid w:val="000C1E85"/>
    <w:rsid w:val="000C1EBE"/>
    <w:rsid w:val="000C1F3E"/>
    <w:rsid w:val="000C1FC7"/>
    <w:rsid w:val="000C264F"/>
    <w:rsid w:val="000C28BA"/>
    <w:rsid w:val="000C2E7D"/>
    <w:rsid w:val="000C3601"/>
    <w:rsid w:val="000C47C2"/>
    <w:rsid w:val="000C4A55"/>
    <w:rsid w:val="000C4A63"/>
    <w:rsid w:val="000C4A8B"/>
    <w:rsid w:val="000C5396"/>
    <w:rsid w:val="000C577D"/>
    <w:rsid w:val="000C5A31"/>
    <w:rsid w:val="000C5B5A"/>
    <w:rsid w:val="000C5EE5"/>
    <w:rsid w:val="000C655C"/>
    <w:rsid w:val="000C6650"/>
    <w:rsid w:val="000C6CBF"/>
    <w:rsid w:val="000C6E79"/>
    <w:rsid w:val="000C73B4"/>
    <w:rsid w:val="000C770A"/>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E45"/>
    <w:rsid w:val="000D7EAF"/>
    <w:rsid w:val="000E03AD"/>
    <w:rsid w:val="000E0602"/>
    <w:rsid w:val="000E0CAC"/>
    <w:rsid w:val="000E0E0E"/>
    <w:rsid w:val="000E0FDA"/>
    <w:rsid w:val="000E1041"/>
    <w:rsid w:val="000E1046"/>
    <w:rsid w:val="000E16BD"/>
    <w:rsid w:val="000E2630"/>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31A4"/>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FDC"/>
    <w:rsid w:val="00134647"/>
    <w:rsid w:val="00134A8F"/>
    <w:rsid w:val="0013513B"/>
    <w:rsid w:val="0013546D"/>
    <w:rsid w:val="00135CB8"/>
    <w:rsid w:val="00135E13"/>
    <w:rsid w:val="00136B51"/>
    <w:rsid w:val="00136BDF"/>
    <w:rsid w:val="00137126"/>
    <w:rsid w:val="0013754C"/>
    <w:rsid w:val="001375EB"/>
    <w:rsid w:val="00137897"/>
    <w:rsid w:val="00137ECF"/>
    <w:rsid w:val="001400B0"/>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6C9"/>
    <w:rsid w:val="00145EBE"/>
    <w:rsid w:val="00146597"/>
    <w:rsid w:val="001469DA"/>
    <w:rsid w:val="00147307"/>
    <w:rsid w:val="0014774C"/>
    <w:rsid w:val="00147803"/>
    <w:rsid w:val="00150F51"/>
    <w:rsid w:val="001516D8"/>
    <w:rsid w:val="00151825"/>
    <w:rsid w:val="00151994"/>
    <w:rsid w:val="00151ABA"/>
    <w:rsid w:val="00151E7D"/>
    <w:rsid w:val="0015239C"/>
    <w:rsid w:val="001528ED"/>
    <w:rsid w:val="00153234"/>
    <w:rsid w:val="00153EB5"/>
    <w:rsid w:val="00154025"/>
    <w:rsid w:val="00154061"/>
    <w:rsid w:val="0015439A"/>
    <w:rsid w:val="001546C6"/>
    <w:rsid w:val="00154986"/>
    <w:rsid w:val="00154A62"/>
    <w:rsid w:val="00154F3B"/>
    <w:rsid w:val="001553C6"/>
    <w:rsid w:val="001559C8"/>
    <w:rsid w:val="00155AB9"/>
    <w:rsid w:val="00155C95"/>
    <w:rsid w:val="00155F77"/>
    <w:rsid w:val="001568D4"/>
    <w:rsid w:val="0015760F"/>
    <w:rsid w:val="001576FF"/>
    <w:rsid w:val="001577F0"/>
    <w:rsid w:val="00157F32"/>
    <w:rsid w:val="0016030D"/>
    <w:rsid w:val="0016046E"/>
    <w:rsid w:val="00160586"/>
    <w:rsid w:val="001611D4"/>
    <w:rsid w:val="0016136A"/>
    <w:rsid w:val="001619CC"/>
    <w:rsid w:val="00161D6F"/>
    <w:rsid w:val="00161FE8"/>
    <w:rsid w:val="00162356"/>
    <w:rsid w:val="001624B9"/>
    <w:rsid w:val="00162645"/>
    <w:rsid w:val="00162E8B"/>
    <w:rsid w:val="00163472"/>
    <w:rsid w:val="0016353B"/>
    <w:rsid w:val="00163674"/>
    <w:rsid w:val="00163997"/>
    <w:rsid w:val="001639FF"/>
    <w:rsid w:val="001640E2"/>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55B"/>
    <w:rsid w:val="001735A3"/>
    <w:rsid w:val="001739BE"/>
    <w:rsid w:val="00173B56"/>
    <w:rsid w:val="001748B7"/>
    <w:rsid w:val="00174969"/>
    <w:rsid w:val="001749BF"/>
    <w:rsid w:val="00174BA5"/>
    <w:rsid w:val="00174BD8"/>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445"/>
    <w:rsid w:val="001905F3"/>
    <w:rsid w:val="00190F12"/>
    <w:rsid w:val="00191449"/>
    <w:rsid w:val="00191D6B"/>
    <w:rsid w:val="00192293"/>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53"/>
    <w:rsid w:val="001A0786"/>
    <w:rsid w:val="001A1533"/>
    <w:rsid w:val="001A1AB0"/>
    <w:rsid w:val="001A1B9D"/>
    <w:rsid w:val="001A1BED"/>
    <w:rsid w:val="001A1D6F"/>
    <w:rsid w:val="001A24F6"/>
    <w:rsid w:val="001A2832"/>
    <w:rsid w:val="001A41D0"/>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C6C24"/>
    <w:rsid w:val="001D002A"/>
    <w:rsid w:val="001D02BF"/>
    <w:rsid w:val="001D04B9"/>
    <w:rsid w:val="001D09B3"/>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08F"/>
    <w:rsid w:val="001F2C22"/>
    <w:rsid w:val="001F3907"/>
    <w:rsid w:val="001F3AB5"/>
    <w:rsid w:val="001F4191"/>
    <w:rsid w:val="001F43EF"/>
    <w:rsid w:val="001F463C"/>
    <w:rsid w:val="001F4697"/>
    <w:rsid w:val="001F4B1C"/>
    <w:rsid w:val="001F4B45"/>
    <w:rsid w:val="001F5A57"/>
    <w:rsid w:val="001F71DC"/>
    <w:rsid w:val="001F7246"/>
    <w:rsid w:val="001F786D"/>
    <w:rsid w:val="001F7A3A"/>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CFA"/>
    <w:rsid w:val="002348BC"/>
    <w:rsid w:val="00234C5F"/>
    <w:rsid w:val="00234F02"/>
    <w:rsid w:val="00235939"/>
    <w:rsid w:val="00236663"/>
    <w:rsid w:val="00236AFB"/>
    <w:rsid w:val="00236C6E"/>
    <w:rsid w:val="00236EB4"/>
    <w:rsid w:val="00237E42"/>
    <w:rsid w:val="0024005F"/>
    <w:rsid w:val="00240974"/>
    <w:rsid w:val="00240D6A"/>
    <w:rsid w:val="002411DB"/>
    <w:rsid w:val="002418D1"/>
    <w:rsid w:val="002420FA"/>
    <w:rsid w:val="00242294"/>
    <w:rsid w:val="0024341E"/>
    <w:rsid w:val="0024423D"/>
    <w:rsid w:val="0024432E"/>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078"/>
    <w:rsid w:val="002604B0"/>
    <w:rsid w:val="00260833"/>
    <w:rsid w:val="00261335"/>
    <w:rsid w:val="0026168B"/>
    <w:rsid w:val="0026182D"/>
    <w:rsid w:val="00261FFD"/>
    <w:rsid w:val="002623A5"/>
    <w:rsid w:val="002635B5"/>
    <w:rsid w:val="00263A40"/>
    <w:rsid w:val="00263B56"/>
    <w:rsid w:val="00264019"/>
    <w:rsid w:val="002642D2"/>
    <w:rsid w:val="002647D1"/>
    <w:rsid w:val="00265201"/>
    <w:rsid w:val="002658E7"/>
    <w:rsid w:val="00265EC8"/>
    <w:rsid w:val="00266622"/>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32EC"/>
    <w:rsid w:val="00294E11"/>
    <w:rsid w:val="00296186"/>
    <w:rsid w:val="002961A6"/>
    <w:rsid w:val="00296B7E"/>
    <w:rsid w:val="00296FCC"/>
    <w:rsid w:val="002976AF"/>
    <w:rsid w:val="00297836"/>
    <w:rsid w:val="002A0942"/>
    <w:rsid w:val="002A129F"/>
    <w:rsid w:val="002A1AD8"/>
    <w:rsid w:val="002A23C7"/>
    <w:rsid w:val="002A2E43"/>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B7883"/>
    <w:rsid w:val="002C034B"/>
    <w:rsid w:val="002C0E6F"/>
    <w:rsid w:val="002C1343"/>
    <w:rsid w:val="002C15A4"/>
    <w:rsid w:val="002C1A95"/>
    <w:rsid w:val="002C27CE"/>
    <w:rsid w:val="002C3086"/>
    <w:rsid w:val="002C3188"/>
    <w:rsid w:val="002C33B8"/>
    <w:rsid w:val="002C3AA2"/>
    <w:rsid w:val="002C40B7"/>
    <w:rsid w:val="002C4205"/>
    <w:rsid w:val="002C4394"/>
    <w:rsid w:val="002C4B36"/>
    <w:rsid w:val="002C4E58"/>
    <w:rsid w:val="002C4F68"/>
    <w:rsid w:val="002C5D0B"/>
    <w:rsid w:val="002C7C8C"/>
    <w:rsid w:val="002C7DED"/>
    <w:rsid w:val="002D087B"/>
    <w:rsid w:val="002D0BCE"/>
    <w:rsid w:val="002D0C99"/>
    <w:rsid w:val="002D14E8"/>
    <w:rsid w:val="002D1B2B"/>
    <w:rsid w:val="002D2365"/>
    <w:rsid w:val="002D254B"/>
    <w:rsid w:val="002D25B7"/>
    <w:rsid w:val="002D282D"/>
    <w:rsid w:val="002D2DBA"/>
    <w:rsid w:val="002D3535"/>
    <w:rsid w:val="002D3A61"/>
    <w:rsid w:val="002D417D"/>
    <w:rsid w:val="002D4919"/>
    <w:rsid w:val="002D4A80"/>
    <w:rsid w:val="002D4F4E"/>
    <w:rsid w:val="002D547C"/>
    <w:rsid w:val="002D5DDD"/>
    <w:rsid w:val="002D727D"/>
    <w:rsid w:val="002D72FC"/>
    <w:rsid w:val="002D7985"/>
    <w:rsid w:val="002E0790"/>
    <w:rsid w:val="002E173F"/>
    <w:rsid w:val="002E1E16"/>
    <w:rsid w:val="002E1E6C"/>
    <w:rsid w:val="002E1FA4"/>
    <w:rsid w:val="002E20FA"/>
    <w:rsid w:val="002E272E"/>
    <w:rsid w:val="002E284A"/>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74"/>
    <w:rsid w:val="00311D14"/>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1FE3"/>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47A4B"/>
    <w:rsid w:val="0035071D"/>
    <w:rsid w:val="0035082B"/>
    <w:rsid w:val="003508AD"/>
    <w:rsid w:val="00350AEE"/>
    <w:rsid w:val="003512A1"/>
    <w:rsid w:val="00351328"/>
    <w:rsid w:val="003514E1"/>
    <w:rsid w:val="0035163A"/>
    <w:rsid w:val="003517BE"/>
    <w:rsid w:val="003534A5"/>
    <w:rsid w:val="00353D8F"/>
    <w:rsid w:val="00354733"/>
    <w:rsid w:val="00354768"/>
    <w:rsid w:val="00355206"/>
    <w:rsid w:val="003557D8"/>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F81"/>
    <w:rsid w:val="00373574"/>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539"/>
    <w:rsid w:val="003878AD"/>
    <w:rsid w:val="00387A87"/>
    <w:rsid w:val="00387BA4"/>
    <w:rsid w:val="00387CB5"/>
    <w:rsid w:val="00390A6F"/>
    <w:rsid w:val="00391BDB"/>
    <w:rsid w:val="00391CF7"/>
    <w:rsid w:val="00392F02"/>
    <w:rsid w:val="00393109"/>
    <w:rsid w:val="003931B6"/>
    <w:rsid w:val="00393306"/>
    <w:rsid w:val="0039354A"/>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6B7"/>
    <w:rsid w:val="003A0B91"/>
    <w:rsid w:val="003A1532"/>
    <w:rsid w:val="003A169D"/>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B1B"/>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867"/>
    <w:rsid w:val="003C18A0"/>
    <w:rsid w:val="003C2307"/>
    <w:rsid w:val="003C253D"/>
    <w:rsid w:val="003C2936"/>
    <w:rsid w:val="003C2C65"/>
    <w:rsid w:val="003C2F7F"/>
    <w:rsid w:val="003C37C2"/>
    <w:rsid w:val="003C4226"/>
    <w:rsid w:val="003C4768"/>
    <w:rsid w:val="003C4817"/>
    <w:rsid w:val="003C4F69"/>
    <w:rsid w:val="003C51B6"/>
    <w:rsid w:val="003C5435"/>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3FE"/>
    <w:rsid w:val="003D246C"/>
    <w:rsid w:val="003D2A12"/>
    <w:rsid w:val="003D3513"/>
    <w:rsid w:val="003D3737"/>
    <w:rsid w:val="003D3F93"/>
    <w:rsid w:val="003D4837"/>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23F1"/>
    <w:rsid w:val="003E32CC"/>
    <w:rsid w:val="003E32CD"/>
    <w:rsid w:val="003E34A7"/>
    <w:rsid w:val="003E38B4"/>
    <w:rsid w:val="003E3A86"/>
    <w:rsid w:val="003E415B"/>
    <w:rsid w:val="003E5136"/>
    <w:rsid w:val="003E5E44"/>
    <w:rsid w:val="003E61D4"/>
    <w:rsid w:val="003E626D"/>
    <w:rsid w:val="003E658E"/>
    <w:rsid w:val="003E65BD"/>
    <w:rsid w:val="003E6626"/>
    <w:rsid w:val="003E69B9"/>
    <w:rsid w:val="003E7070"/>
    <w:rsid w:val="003E75CF"/>
    <w:rsid w:val="003E7A37"/>
    <w:rsid w:val="003E7B9A"/>
    <w:rsid w:val="003F072F"/>
    <w:rsid w:val="003F1282"/>
    <w:rsid w:val="003F1985"/>
    <w:rsid w:val="003F1A0E"/>
    <w:rsid w:val="003F1CE1"/>
    <w:rsid w:val="003F1CE6"/>
    <w:rsid w:val="003F2549"/>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DE9"/>
    <w:rsid w:val="00412138"/>
    <w:rsid w:val="00412BAF"/>
    <w:rsid w:val="00412E18"/>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13"/>
    <w:rsid w:val="00420BC3"/>
    <w:rsid w:val="00420EDE"/>
    <w:rsid w:val="0042110B"/>
    <w:rsid w:val="004220B3"/>
    <w:rsid w:val="00422361"/>
    <w:rsid w:val="00422B43"/>
    <w:rsid w:val="00422E0A"/>
    <w:rsid w:val="00423164"/>
    <w:rsid w:val="0042335E"/>
    <w:rsid w:val="00423441"/>
    <w:rsid w:val="0042352E"/>
    <w:rsid w:val="004238C4"/>
    <w:rsid w:val="00423CED"/>
    <w:rsid w:val="00423DF6"/>
    <w:rsid w:val="00423FE3"/>
    <w:rsid w:val="00425B1D"/>
    <w:rsid w:val="004277CF"/>
    <w:rsid w:val="00427FFA"/>
    <w:rsid w:val="00430080"/>
    <w:rsid w:val="004302EB"/>
    <w:rsid w:val="00430D3C"/>
    <w:rsid w:val="00431627"/>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21EC"/>
    <w:rsid w:val="004422CD"/>
    <w:rsid w:val="00442857"/>
    <w:rsid w:val="00442A68"/>
    <w:rsid w:val="0044397D"/>
    <w:rsid w:val="00443FD4"/>
    <w:rsid w:val="004440FD"/>
    <w:rsid w:val="004445A4"/>
    <w:rsid w:val="00444C43"/>
    <w:rsid w:val="00445605"/>
    <w:rsid w:val="0044573D"/>
    <w:rsid w:val="00445800"/>
    <w:rsid w:val="004458FE"/>
    <w:rsid w:val="0044602B"/>
    <w:rsid w:val="0044606C"/>
    <w:rsid w:val="00446622"/>
    <w:rsid w:val="00446644"/>
    <w:rsid w:val="00446EAF"/>
    <w:rsid w:val="00447432"/>
    <w:rsid w:val="00450852"/>
    <w:rsid w:val="00450863"/>
    <w:rsid w:val="00451B62"/>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CE2"/>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E8F"/>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481"/>
    <w:rsid w:val="004A454B"/>
    <w:rsid w:val="004A50CB"/>
    <w:rsid w:val="004A5393"/>
    <w:rsid w:val="004A6F6E"/>
    <w:rsid w:val="004A7B1E"/>
    <w:rsid w:val="004B0B75"/>
    <w:rsid w:val="004B0F26"/>
    <w:rsid w:val="004B10DC"/>
    <w:rsid w:val="004B10E8"/>
    <w:rsid w:val="004B11BD"/>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50D1"/>
    <w:rsid w:val="004B51C6"/>
    <w:rsid w:val="004B55C6"/>
    <w:rsid w:val="004B5819"/>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6A32"/>
    <w:rsid w:val="004C72C7"/>
    <w:rsid w:val="004C7862"/>
    <w:rsid w:val="004C7A22"/>
    <w:rsid w:val="004C7AF0"/>
    <w:rsid w:val="004C7F5D"/>
    <w:rsid w:val="004D0378"/>
    <w:rsid w:val="004D05DF"/>
    <w:rsid w:val="004D1346"/>
    <w:rsid w:val="004D1474"/>
    <w:rsid w:val="004D187C"/>
    <w:rsid w:val="004D2348"/>
    <w:rsid w:val="004D305E"/>
    <w:rsid w:val="004D3AF6"/>
    <w:rsid w:val="004D3EAE"/>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1FE1"/>
    <w:rsid w:val="004F2600"/>
    <w:rsid w:val="004F2722"/>
    <w:rsid w:val="004F2825"/>
    <w:rsid w:val="004F29AD"/>
    <w:rsid w:val="004F30FB"/>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0BF"/>
    <w:rsid w:val="00501D13"/>
    <w:rsid w:val="00502A3E"/>
    <w:rsid w:val="00504CDF"/>
    <w:rsid w:val="00505386"/>
    <w:rsid w:val="0050583D"/>
    <w:rsid w:val="00505D2D"/>
    <w:rsid w:val="005068E4"/>
    <w:rsid w:val="00506CAE"/>
    <w:rsid w:val="00507279"/>
    <w:rsid w:val="00507514"/>
    <w:rsid w:val="00507B00"/>
    <w:rsid w:val="00507B9C"/>
    <w:rsid w:val="005106BE"/>
    <w:rsid w:val="00510A25"/>
    <w:rsid w:val="0051139E"/>
    <w:rsid w:val="00511476"/>
    <w:rsid w:val="00511EB5"/>
    <w:rsid w:val="00512B93"/>
    <w:rsid w:val="00512F02"/>
    <w:rsid w:val="005137EF"/>
    <w:rsid w:val="00515269"/>
    <w:rsid w:val="00515608"/>
    <w:rsid w:val="00515646"/>
    <w:rsid w:val="00516442"/>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5D0"/>
    <w:rsid w:val="0052782A"/>
    <w:rsid w:val="0052785A"/>
    <w:rsid w:val="00527B8C"/>
    <w:rsid w:val="00531A02"/>
    <w:rsid w:val="005327B6"/>
    <w:rsid w:val="00532855"/>
    <w:rsid w:val="00532BAD"/>
    <w:rsid w:val="00532FEC"/>
    <w:rsid w:val="005331CE"/>
    <w:rsid w:val="0053361B"/>
    <w:rsid w:val="005340DE"/>
    <w:rsid w:val="005342A2"/>
    <w:rsid w:val="00534C55"/>
    <w:rsid w:val="00534C5F"/>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88C"/>
    <w:rsid w:val="00542669"/>
    <w:rsid w:val="005427B8"/>
    <w:rsid w:val="00543144"/>
    <w:rsid w:val="00543570"/>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A56"/>
    <w:rsid w:val="00585287"/>
    <w:rsid w:val="005853DB"/>
    <w:rsid w:val="005864F7"/>
    <w:rsid w:val="00586599"/>
    <w:rsid w:val="00586B81"/>
    <w:rsid w:val="00586D95"/>
    <w:rsid w:val="00586EDD"/>
    <w:rsid w:val="00586FA5"/>
    <w:rsid w:val="005873E4"/>
    <w:rsid w:val="005878F0"/>
    <w:rsid w:val="00587F45"/>
    <w:rsid w:val="00590180"/>
    <w:rsid w:val="00590253"/>
    <w:rsid w:val="00590442"/>
    <w:rsid w:val="005920D4"/>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14CE"/>
    <w:rsid w:val="005B21F0"/>
    <w:rsid w:val="005B2846"/>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64"/>
    <w:rsid w:val="005D12F9"/>
    <w:rsid w:val="005D1853"/>
    <w:rsid w:val="005D1A0F"/>
    <w:rsid w:val="005D1AF9"/>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B18"/>
    <w:rsid w:val="005F1025"/>
    <w:rsid w:val="005F135B"/>
    <w:rsid w:val="005F15A5"/>
    <w:rsid w:val="005F211C"/>
    <w:rsid w:val="005F24D2"/>
    <w:rsid w:val="005F2549"/>
    <w:rsid w:val="005F2818"/>
    <w:rsid w:val="005F29AA"/>
    <w:rsid w:val="005F29DB"/>
    <w:rsid w:val="005F2A90"/>
    <w:rsid w:val="005F30B5"/>
    <w:rsid w:val="005F31B2"/>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C80"/>
    <w:rsid w:val="00601EE8"/>
    <w:rsid w:val="00602EE5"/>
    <w:rsid w:val="00603617"/>
    <w:rsid w:val="0060381F"/>
    <w:rsid w:val="006042CB"/>
    <w:rsid w:val="00604312"/>
    <w:rsid w:val="006046B6"/>
    <w:rsid w:val="006049FD"/>
    <w:rsid w:val="00605175"/>
    <w:rsid w:val="00605534"/>
    <w:rsid w:val="006059EE"/>
    <w:rsid w:val="00605EF3"/>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B7A"/>
    <w:rsid w:val="00616603"/>
    <w:rsid w:val="006173AF"/>
    <w:rsid w:val="006178BC"/>
    <w:rsid w:val="00617AA7"/>
    <w:rsid w:val="006200A9"/>
    <w:rsid w:val="006205C1"/>
    <w:rsid w:val="00620D81"/>
    <w:rsid w:val="0062180E"/>
    <w:rsid w:val="00621A2F"/>
    <w:rsid w:val="00621FF0"/>
    <w:rsid w:val="0062255B"/>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1CF"/>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0CB"/>
    <w:rsid w:val="00645469"/>
    <w:rsid w:val="00645743"/>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9B1"/>
    <w:rsid w:val="0065508B"/>
    <w:rsid w:val="006551F3"/>
    <w:rsid w:val="0065554D"/>
    <w:rsid w:val="006555F3"/>
    <w:rsid w:val="00655611"/>
    <w:rsid w:val="00655AB8"/>
    <w:rsid w:val="00655E22"/>
    <w:rsid w:val="00656812"/>
    <w:rsid w:val="0065711D"/>
    <w:rsid w:val="0065744C"/>
    <w:rsid w:val="00657591"/>
    <w:rsid w:val="006601DC"/>
    <w:rsid w:val="006603D5"/>
    <w:rsid w:val="006606E2"/>
    <w:rsid w:val="00661E36"/>
    <w:rsid w:val="006622BF"/>
    <w:rsid w:val="00662436"/>
    <w:rsid w:val="006627B5"/>
    <w:rsid w:val="0066319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15"/>
    <w:rsid w:val="006B5FD5"/>
    <w:rsid w:val="006B69D5"/>
    <w:rsid w:val="006B6DAA"/>
    <w:rsid w:val="006B7132"/>
    <w:rsid w:val="006B75BA"/>
    <w:rsid w:val="006B79D0"/>
    <w:rsid w:val="006B7D70"/>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D0D"/>
    <w:rsid w:val="006D0F47"/>
    <w:rsid w:val="006D1A7B"/>
    <w:rsid w:val="006D1F33"/>
    <w:rsid w:val="006D2020"/>
    <w:rsid w:val="006D32D6"/>
    <w:rsid w:val="006D3D0F"/>
    <w:rsid w:val="006D4101"/>
    <w:rsid w:val="006D4A70"/>
    <w:rsid w:val="006D54CC"/>
    <w:rsid w:val="006D7134"/>
    <w:rsid w:val="006D765E"/>
    <w:rsid w:val="006D7813"/>
    <w:rsid w:val="006E1113"/>
    <w:rsid w:val="006E1B28"/>
    <w:rsid w:val="006E1C46"/>
    <w:rsid w:val="006E249F"/>
    <w:rsid w:val="006E27C5"/>
    <w:rsid w:val="006E2C7A"/>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664F"/>
    <w:rsid w:val="00726CE3"/>
    <w:rsid w:val="00726E61"/>
    <w:rsid w:val="00727071"/>
    <w:rsid w:val="00727242"/>
    <w:rsid w:val="00730880"/>
    <w:rsid w:val="00730A49"/>
    <w:rsid w:val="00731475"/>
    <w:rsid w:val="00731D02"/>
    <w:rsid w:val="00732D90"/>
    <w:rsid w:val="0073334B"/>
    <w:rsid w:val="00733723"/>
    <w:rsid w:val="0073383C"/>
    <w:rsid w:val="0073413D"/>
    <w:rsid w:val="0073419D"/>
    <w:rsid w:val="0073530F"/>
    <w:rsid w:val="00735FF5"/>
    <w:rsid w:val="00737096"/>
    <w:rsid w:val="0073715A"/>
    <w:rsid w:val="007406C0"/>
    <w:rsid w:val="0074077F"/>
    <w:rsid w:val="00740E45"/>
    <w:rsid w:val="00740E7B"/>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0AB"/>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689"/>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54EA"/>
    <w:rsid w:val="00776855"/>
    <w:rsid w:val="007771C3"/>
    <w:rsid w:val="00777E61"/>
    <w:rsid w:val="00780428"/>
    <w:rsid w:val="0078063F"/>
    <w:rsid w:val="00780EA5"/>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598F"/>
    <w:rsid w:val="00786A8F"/>
    <w:rsid w:val="00790F37"/>
    <w:rsid w:val="00790FEC"/>
    <w:rsid w:val="007910CE"/>
    <w:rsid w:val="00791761"/>
    <w:rsid w:val="00791CC0"/>
    <w:rsid w:val="00791DAA"/>
    <w:rsid w:val="0079227B"/>
    <w:rsid w:val="00792480"/>
    <w:rsid w:val="0079324E"/>
    <w:rsid w:val="0079338E"/>
    <w:rsid w:val="007933AC"/>
    <w:rsid w:val="007933BE"/>
    <w:rsid w:val="007941DA"/>
    <w:rsid w:val="007942A6"/>
    <w:rsid w:val="007942B9"/>
    <w:rsid w:val="0079485D"/>
    <w:rsid w:val="00794A20"/>
    <w:rsid w:val="00794A29"/>
    <w:rsid w:val="00794E0C"/>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C6C"/>
    <w:rsid w:val="007B0D5D"/>
    <w:rsid w:val="007B0DE3"/>
    <w:rsid w:val="007B15F0"/>
    <w:rsid w:val="007B1635"/>
    <w:rsid w:val="007B1E57"/>
    <w:rsid w:val="007B2724"/>
    <w:rsid w:val="007B27D2"/>
    <w:rsid w:val="007B2EAC"/>
    <w:rsid w:val="007B3178"/>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00C"/>
    <w:rsid w:val="007C6E00"/>
    <w:rsid w:val="007C72A8"/>
    <w:rsid w:val="007D0421"/>
    <w:rsid w:val="007D16F6"/>
    <w:rsid w:val="007D192A"/>
    <w:rsid w:val="007D1D86"/>
    <w:rsid w:val="007D2289"/>
    <w:rsid w:val="007D2899"/>
    <w:rsid w:val="007D4554"/>
    <w:rsid w:val="007D4584"/>
    <w:rsid w:val="007D47CD"/>
    <w:rsid w:val="007D4D07"/>
    <w:rsid w:val="007D5806"/>
    <w:rsid w:val="007D6988"/>
    <w:rsid w:val="007D6CE6"/>
    <w:rsid w:val="007D759E"/>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CB9"/>
    <w:rsid w:val="007F6F18"/>
    <w:rsid w:val="007F7987"/>
    <w:rsid w:val="008000EE"/>
    <w:rsid w:val="00800130"/>
    <w:rsid w:val="0080055A"/>
    <w:rsid w:val="008008A4"/>
    <w:rsid w:val="00800CCB"/>
    <w:rsid w:val="008017C0"/>
    <w:rsid w:val="00801901"/>
    <w:rsid w:val="00801D20"/>
    <w:rsid w:val="00801D46"/>
    <w:rsid w:val="00801D79"/>
    <w:rsid w:val="00801E0C"/>
    <w:rsid w:val="00802FDB"/>
    <w:rsid w:val="00803BB2"/>
    <w:rsid w:val="00804B52"/>
    <w:rsid w:val="00804FE7"/>
    <w:rsid w:val="008056B3"/>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ED7"/>
    <w:rsid w:val="008116BD"/>
    <w:rsid w:val="008125C7"/>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2EC"/>
    <w:rsid w:val="00827B7C"/>
    <w:rsid w:val="00827F68"/>
    <w:rsid w:val="008302A1"/>
    <w:rsid w:val="0083059D"/>
    <w:rsid w:val="00830633"/>
    <w:rsid w:val="0083089C"/>
    <w:rsid w:val="008310D9"/>
    <w:rsid w:val="00831375"/>
    <w:rsid w:val="00831816"/>
    <w:rsid w:val="008318A3"/>
    <w:rsid w:val="00831C53"/>
    <w:rsid w:val="0083247C"/>
    <w:rsid w:val="00832A8E"/>
    <w:rsid w:val="00833022"/>
    <w:rsid w:val="00833222"/>
    <w:rsid w:val="00833923"/>
    <w:rsid w:val="0083418A"/>
    <w:rsid w:val="00834639"/>
    <w:rsid w:val="008351F1"/>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E6D"/>
    <w:rsid w:val="008523CC"/>
    <w:rsid w:val="00852E67"/>
    <w:rsid w:val="00853B27"/>
    <w:rsid w:val="0085400A"/>
    <w:rsid w:val="0085443D"/>
    <w:rsid w:val="00854ADF"/>
    <w:rsid w:val="00854E3F"/>
    <w:rsid w:val="0085554B"/>
    <w:rsid w:val="0085616A"/>
    <w:rsid w:val="0085620D"/>
    <w:rsid w:val="008562A0"/>
    <w:rsid w:val="0085660A"/>
    <w:rsid w:val="008567F9"/>
    <w:rsid w:val="00856CFD"/>
    <w:rsid w:val="00856FF7"/>
    <w:rsid w:val="0085715D"/>
    <w:rsid w:val="0085743F"/>
    <w:rsid w:val="0085775F"/>
    <w:rsid w:val="00857AA3"/>
    <w:rsid w:val="00857D43"/>
    <w:rsid w:val="00857F29"/>
    <w:rsid w:val="00861728"/>
    <w:rsid w:val="00861DD3"/>
    <w:rsid w:val="00861E47"/>
    <w:rsid w:val="00862384"/>
    <w:rsid w:val="0086321E"/>
    <w:rsid w:val="008632C0"/>
    <w:rsid w:val="00863672"/>
    <w:rsid w:val="00863D9C"/>
    <w:rsid w:val="00864237"/>
    <w:rsid w:val="00865A8B"/>
    <w:rsid w:val="00865EFC"/>
    <w:rsid w:val="00866242"/>
    <w:rsid w:val="008663BA"/>
    <w:rsid w:val="00866785"/>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9C2"/>
    <w:rsid w:val="00873D07"/>
    <w:rsid w:val="008740BB"/>
    <w:rsid w:val="00874DFD"/>
    <w:rsid w:val="00875013"/>
    <w:rsid w:val="0087514E"/>
    <w:rsid w:val="0087541C"/>
    <w:rsid w:val="00875E39"/>
    <w:rsid w:val="00875ECC"/>
    <w:rsid w:val="008760A4"/>
    <w:rsid w:val="008772BE"/>
    <w:rsid w:val="00877518"/>
    <w:rsid w:val="00877C6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5172"/>
    <w:rsid w:val="008857E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270"/>
    <w:rsid w:val="0089367F"/>
    <w:rsid w:val="008939BE"/>
    <w:rsid w:val="0089466D"/>
    <w:rsid w:val="00894B1A"/>
    <w:rsid w:val="008951A8"/>
    <w:rsid w:val="008956BD"/>
    <w:rsid w:val="00895737"/>
    <w:rsid w:val="0089624D"/>
    <w:rsid w:val="008968D7"/>
    <w:rsid w:val="00896DB2"/>
    <w:rsid w:val="00896EB8"/>
    <w:rsid w:val="00897A69"/>
    <w:rsid w:val="00897F83"/>
    <w:rsid w:val="008A0E21"/>
    <w:rsid w:val="008A19FC"/>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2F7E"/>
    <w:rsid w:val="008B302F"/>
    <w:rsid w:val="008B356B"/>
    <w:rsid w:val="008B3770"/>
    <w:rsid w:val="008B3906"/>
    <w:rsid w:val="008B3ED7"/>
    <w:rsid w:val="008B45BC"/>
    <w:rsid w:val="008B463F"/>
    <w:rsid w:val="008B49AE"/>
    <w:rsid w:val="008B4A4A"/>
    <w:rsid w:val="008B4E9B"/>
    <w:rsid w:val="008B4FE8"/>
    <w:rsid w:val="008B5836"/>
    <w:rsid w:val="008B5873"/>
    <w:rsid w:val="008B5ED3"/>
    <w:rsid w:val="008B64A6"/>
    <w:rsid w:val="008B64B0"/>
    <w:rsid w:val="008B6932"/>
    <w:rsid w:val="008B6C12"/>
    <w:rsid w:val="008B6F0E"/>
    <w:rsid w:val="008B7073"/>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3EC"/>
    <w:rsid w:val="008F05D8"/>
    <w:rsid w:val="008F06EB"/>
    <w:rsid w:val="008F0743"/>
    <w:rsid w:val="008F088C"/>
    <w:rsid w:val="008F0E38"/>
    <w:rsid w:val="008F11DF"/>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F6D"/>
    <w:rsid w:val="00921BAD"/>
    <w:rsid w:val="0092239E"/>
    <w:rsid w:val="0092246C"/>
    <w:rsid w:val="009224E7"/>
    <w:rsid w:val="00922598"/>
    <w:rsid w:val="0092276F"/>
    <w:rsid w:val="0092280B"/>
    <w:rsid w:val="00922D28"/>
    <w:rsid w:val="00922DE5"/>
    <w:rsid w:val="00922F0C"/>
    <w:rsid w:val="009232D9"/>
    <w:rsid w:val="00923911"/>
    <w:rsid w:val="00923B7C"/>
    <w:rsid w:val="00923C16"/>
    <w:rsid w:val="00923E75"/>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91"/>
    <w:rsid w:val="00932BBB"/>
    <w:rsid w:val="00932D2F"/>
    <w:rsid w:val="00932D51"/>
    <w:rsid w:val="009339EC"/>
    <w:rsid w:val="009340B4"/>
    <w:rsid w:val="00934277"/>
    <w:rsid w:val="009343B2"/>
    <w:rsid w:val="00934C0E"/>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54A"/>
    <w:rsid w:val="00946558"/>
    <w:rsid w:val="00946572"/>
    <w:rsid w:val="00946BBA"/>
    <w:rsid w:val="00946FAD"/>
    <w:rsid w:val="009470D1"/>
    <w:rsid w:val="00947582"/>
    <w:rsid w:val="00947CE3"/>
    <w:rsid w:val="00947FA3"/>
    <w:rsid w:val="00950649"/>
    <w:rsid w:val="00950813"/>
    <w:rsid w:val="0095192B"/>
    <w:rsid w:val="0095240E"/>
    <w:rsid w:val="009526C6"/>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869"/>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3C7"/>
    <w:rsid w:val="009833FD"/>
    <w:rsid w:val="009835EA"/>
    <w:rsid w:val="00983671"/>
    <w:rsid w:val="00983903"/>
    <w:rsid w:val="00983EAA"/>
    <w:rsid w:val="00984B39"/>
    <w:rsid w:val="00984DF4"/>
    <w:rsid w:val="009850B7"/>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7BB"/>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47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6C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DA2"/>
    <w:rsid w:val="009D7624"/>
    <w:rsid w:val="009D780D"/>
    <w:rsid w:val="009D7E52"/>
    <w:rsid w:val="009D7F29"/>
    <w:rsid w:val="009E00F3"/>
    <w:rsid w:val="009E0166"/>
    <w:rsid w:val="009E01B6"/>
    <w:rsid w:val="009E0472"/>
    <w:rsid w:val="009E04AB"/>
    <w:rsid w:val="009E083B"/>
    <w:rsid w:val="009E09BD"/>
    <w:rsid w:val="009E2636"/>
    <w:rsid w:val="009E27F4"/>
    <w:rsid w:val="009E3A1D"/>
    <w:rsid w:val="009E3FC1"/>
    <w:rsid w:val="009E4033"/>
    <w:rsid w:val="009E429A"/>
    <w:rsid w:val="009E42CF"/>
    <w:rsid w:val="009E43A5"/>
    <w:rsid w:val="009E48F6"/>
    <w:rsid w:val="009E4C74"/>
    <w:rsid w:val="009E5FE9"/>
    <w:rsid w:val="009E7D4E"/>
    <w:rsid w:val="009F02F9"/>
    <w:rsid w:val="009F11C2"/>
    <w:rsid w:val="009F1D9B"/>
    <w:rsid w:val="009F1DC3"/>
    <w:rsid w:val="009F1E72"/>
    <w:rsid w:val="009F1EB2"/>
    <w:rsid w:val="009F1F04"/>
    <w:rsid w:val="009F21BC"/>
    <w:rsid w:val="009F230A"/>
    <w:rsid w:val="009F3232"/>
    <w:rsid w:val="009F4335"/>
    <w:rsid w:val="009F4336"/>
    <w:rsid w:val="009F4858"/>
    <w:rsid w:val="009F48F8"/>
    <w:rsid w:val="009F4942"/>
    <w:rsid w:val="009F5CFB"/>
    <w:rsid w:val="009F5E15"/>
    <w:rsid w:val="009F603A"/>
    <w:rsid w:val="009F6649"/>
    <w:rsid w:val="009F7216"/>
    <w:rsid w:val="009F7497"/>
    <w:rsid w:val="00A00386"/>
    <w:rsid w:val="00A00DD6"/>
    <w:rsid w:val="00A00E73"/>
    <w:rsid w:val="00A00EC3"/>
    <w:rsid w:val="00A00ED0"/>
    <w:rsid w:val="00A01008"/>
    <w:rsid w:val="00A0124B"/>
    <w:rsid w:val="00A020D5"/>
    <w:rsid w:val="00A027AF"/>
    <w:rsid w:val="00A02815"/>
    <w:rsid w:val="00A0333F"/>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20A0F"/>
    <w:rsid w:val="00A2101B"/>
    <w:rsid w:val="00A213F6"/>
    <w:rsid w:val="00A21606"/>
    <w:rsid w:val="00A21BE5"/>
    <w:rsid w:val="00A21EEF"/>
    <w:rsid w:val="00A2240D"/>
    <w:rsid w:val="00A22602"/>
    <w:rsid w:val="00A2279B"/>
    <w:rsid w:val="00A227A2"/>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F93"/>
    <w:rsid w:val="00A36FC4"/>
    <w:rsid w:val="00A37B3E"/>
    <w:rsid w:val="00A40206"/>
    <w:rsid w:val="00A40958"/>
    <w:rsid w:val="00A40A6D"/>
    <w:rsid w:val="00A41D8A"/>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C37"/>
    <w:rsid w:val="00A52DD9"/>
    <w:rsid w:val="00A52ED7"/>
    <w:rsid w:val="00A542C8"/>
    <w:rsid w:val="00A54576"/>
    <w:rsid w:val="00A54856"/>
    <w:rsid w:val="00A55067"/>
    <w:rsid w:val="00A5554F"/>
    <w:rsid w:val="00A55902"/>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C31"/>
    <w:rsid w:val="00A811A7"/>
    <w:rsid w:val="00A811E8"/>
    <w:rsid w:val="00A8167E"/>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69B"/>
    <w:rsid w:val="00A87954"/>
    <w:rsid w:val="00A903C8"/>
    <w:rsid w:val="00A91634"/>
    <w:rsid w:val="00A91C25"/>
    <w:rsid w:val="00A91D58"/>
    <w:rsid w:val="00A92368"/>
    <w:rsid w:val="00A924E5"/>
    <w:rsid w:val="00A92AC8"/>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AE"/>
    <w:rsid w:val="00AB21F9"/>
    <w:rsid w:val="00AB243F"/>
    <w:rsid w:val="00AB3909"/>
    <w:rsid w:val="00AB393C"/>
    <w:rsid w:val="00AB4143"/>
    <w:rsid w:val="00AB488E"/>
    <w:rsid w:val="00AB4A58"/>
    <w:rsid w:val="00AB4D6C"/>
    <w:rsid w:val="00AB51DD"/>
    <w:rsid w:val="00AB54EB"/>
    <w:rsid w:val="00AB58A4"/>
    <w:rsid w:val="00AB5A32"/>
    <w:rsid w:val="00AB617A"/>
    <w:rsid w:val="00AB6943"/>
    <w:rsid w:val="00AB6DFE"/>
    <w:rsid w:val="00AB7883"/>
    <w:rsid w:val="00AC1807"/>
    <w:rsid w:val="00AC1D9E"/>
    <w:rsid w:val="00AC2142"/>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C5"/>
    <w:rsid w:val="00AD2408"/>
    <w:rsid w:val="00AD2DF4"/>
    <w:rsid w:val="00AD3125"/>
    <w:rsid w:val="00AD390E"/>
    <w:rsid w:val="00AD3F74"/>
    <w:rsid w:val="00AD432D"/>
    <w:rsid w:val="00AD4BB3"/>
    <w:rsid w:val="00AD4F75"/>
    <w:rsid w:val="00AD5421"/>
    <w:rsid w:val="00AD555B"/>
    <w:rsid w:val="00AD5792"/>
    <w:rsid w:val="00AD57F3"/>
    <w:rsid w:val="00AD584B"/>
    <w:rsid w:val="00AD685D"/>
    <w:rsid w:val="00AD693F"/>
    <w:rsid w:val="00AD6FD8"/>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1973"/>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44CF"/>
    <w:rsid w:val="00B044D9"/>
    <w:rsid w:val="00B048D4"/>
    <w:rsid w:val="00B04EC5"/>
    <w:rsid w:val="00B05290"/>
    <w:rsid w:val="00B05458"/>
    <w:rsid w:val="00B05B45"/>
    <w:rsid w:val="00B05D0D"/>
    <w:rsid w:val="00B0637D"/>
    <w:rsid w:val="00B064CA"/>
    <w:rsid w:val="00B06B40"/>
    <w:rsid w:val="00B07386"/>
    <w:rsid w:val="00B0757A"/>
    <w:rsid w:val="00B075C2"/>
    <w:rsid w:val="00B07D3B"/>
    <w:rsid w:val="00B07EB4"/>
    <w:rsid w:val="00B10062"/>
    <w:rsid w:val="00B10832"/>
    <w:rsid w:val="00B121C9"/>
    <w:rsid w:val="00B128D7"/>
    <w:rsid w:val="00B12B67"/>
    <w:rsid w:val="00B12D6A"/>
    <w:rsid w:val="00B13AA2"/>
    <w:rsid w:val="00B13D1E"/>
    <w:rsid w:val="00B14745"/>
    <w:rsid w:val="00B153E3"/>
    <w:rsid w:val="00B157E5"/>
    <w:rsid w:val="00B1623F"/>
    <w:rsid w:val="00B162B7"/>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27FFB"/>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307"/>
    <w:rsid w:val="00B4741F"/>
    <w:rsid w:val="00B47A0E"/>
    <w:rsid w:val="00B50264"/>
    <w:rsid w:val="00B503C1"/>
    <w:rsid w:val="00B50940"/>
    <w:rsid w:val="00B509FF"/>
    <w:rsid w:val="00B5194E"/>
    <w:rsid w:val="00B5226E"/>
    <w:rsid w:val="00B522E5"/>
    <w:rsid w:val="00B52F24"/>
    <w:rsid w:val="00B52F64"/>
    <w:rsid w:val="00B53267"/>
    <w:rsid w:val="00B53BCD"/>
    <w:rsid w:val="00B53DBF"/>
    <w:rsid w:val="00B545FA"/>
    <w:rsid w:val="00B5471A"/>
    <w:rsid w:val="00B547C3"/>
    <w:rsid w:val="00B54954"/>
    <w:rsid w:val="00B555E9"/>
    <w:rsid w:val="00B55CE7"/>
    <w:rsid w:val="00B56138"/>
    <w:rsid w:val="00B57C8E"/>
    <w:rsid w:val="00B6022D"/>
    <w:rsid w:val="00B60432"/>
    <w:rsid w:val="00B61C7E"/>
    <w:rsid w:val="00B61E2E"/>
    <w:rsid w:val="00B61F6F"/>
    <w:rsid w:val="00B6247B"/>
    <w:rsid w:val="00B628EE"/>
    <w:rsid w:val="00B62ECE"/>
    <w:rsid w:val="00B63293"/>
    <w:rsid w:val="00B63934"/>
    <w:rsid w:val="00B639EA"/>
    <w:rsid w:val="00B6436C"/>
    <w:rsid w:val="00B64F9D"/>
    <w:rsid w:val="00B65590"/>
    <w:rsid w:val="00B6564D"/>
    <w:rsid w:val="00B65AC5"/>
    <w:rsid w:val="00B65BD4"/>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5E0"/>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7D1"/>
    <w:rsid w:val="00B82F31"/>
    <w:rsid w:val="00B83AE9"/>
    <w:rsid w:val="00B84406"/>
    <w:rsid w:val="00B84464"/>
    <w:rsid w:val="00B8490A"/>
    <w:rsid w:val="00B84AB6"/>
    <w:rsid w:val="00B84DBA"/>
    <w:rsid w:val="00B852B5"/>
    <w:rsid w:val="00B856EA"/>
    <w:rsid w:val="00B8623B"/>
    <w:rsid w:val="00B86269"/>
    <w:rsid w:val="00B872BE"/>
    <w:rsid w:val="00B877AA"/>
    <w:rsid w:val="00B905F0"/>
    <w:rsid w:val="00B90722"/>
    <w:rsid w:val="00B90B7A"/>
    <w:rsid w:val="00B9125A"/>
    <w:rsid w:val="00B92511"/>
    <w:rsid w:val="00B9251B"/>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88E"/>
    <w:rsid w:val="00B97B6E"/>
    <w:rsid w:val="00B97DB5"/>
    <w:rsid w:val="00BA0B91"/>
    <w:rsid w:val="00BA1377"/>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787B"/>
    <w:rsid w:val="00BA79D0"/>
    <w:rsid w:val="00BA7FAD"/>
    <w:rsid w:val="00BB03B5"/>
    <w:rsid w:val="00BB057B"/>
    <w:rsid w:val="00BB073C"/>
    <w:rsid w:val="00BB07A9"/>
    <w:rsid w:val="00BB0848"/>
    <w:rsid w:val="00BB09C2"/>
    <w:rsid w:val="00BB0E3E"/>
    <w:rsid w:val="00BB1770"/>
    <w:rsid w:val="00BB1BE9"/>
    <w:rsid w:val="00BB1E35"/>
    <w:rsid w:val="00BB27D6"/>
    <w:rsid w:val="00BB32F0"/>
    <w:rsid w:val="00BB37A4"/>
    <w:rsid w:val="00BB3C4A"/>
    <w:rsid w:val="00BB3CD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C06"/>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BB2"/>
    <w:rsid w:val="00BE3383"/>
    <w:rsid w:val="00BE38EB"/>
    <w:rsid w:val="00BE3E92"/>
    <w:rsid w:val="00BE3F08"/>
    <w:rsid w:val="00BE4B1B"/>
    <w:rsid w:val="00BE4DB0"/>
    <w:rsid w:val="00BE5298"/>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5E43"/>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436"/>
    <w:rsid w:val="00C105EA"/>
    <w:rsid w:val="00C11CF2"/>
    <w:rsid w:val="00C11D7B"/>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3D4"/>
    <w:rsid w:val="00C37693"/>
    <w:rsid w:val="00C3796D"/>
    <w:rsid w:val="00C37B28"/>
    <w:rsid w:val="00C37BC5"/>
    <w:rsid w:val="00C37CA1"/>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51B"/>
    <w:rsid w:val="00C60AA5"/>
    <w:rsid w:val="00C60DE1"/>
    <w:rsid w:val="00C6124F"/>
    <w:rsid w:val="00C61595"/>
    <w:rsid w:val="00C615C8"/>
    <w:rsid w:val="00C61B32"/>
    <w:rsid w:val="00C61FEA"/>
    <w:rsid w:val="00C6255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2D0D"/>
    <w:rsid w:val="00C83527"/>
    <w:rsid w:val="00C83C21"/>
    <w:rsid w:val="00C83D2F"/>
    <w:rsid w:val="00C83D6C"/>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7032"/>
    <w:rsid w:val="00CA078A"/>
    <w:rsid w:val="00CA082F"/>
    <w:rsid w:val="00CA09C2"/>
    <w:rsid w:val="00CA0AB3"/>
    <w:rsid w:val="00CA181E"/>
    <w:rsid w:val="00CA215A"/>
    <w:rsid w:val="00CA29D5"/>
    <w:rsid w:val="00CA3369"/>
    <w:rsid w:val="00CA3781"/>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952"/>
    <w:rsid w:val="00CB1ABD"/>
    <w:rsid w:val="00CB1E40"/>
    <w:rsid w:val="00CB2910"/>
    <w:rsid w:val="00CB2AC8"/>
    <w:rsid w:val="00CB31FF"/>
    <w:rsid w:val="00CB32F7"/>
    <w:rsid w:val="00CB3579"/>
    <w:rsid w:val="00CB44D3"/>
    <w:rsid w:val="00CB4610"/>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1562"/>
    <w:rsid w:val="00CD246E"/>
    <w:rsid w:val="00CD273A"/>
    <w:rsid w:val="00CD2AF4"/>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61"/>
    <w:rsid w:val="00CD6EBF"/>
    <w:rsid w:val="00CD7076"/>
    <w:rsid w:val="00CD7394"/>
    <w:rsid w:val="00CD74A3"/>
    <w:rsid w:val="00CE0757"/>
    <w:rsid w:val="00CE092B"/>
    <w:rsid w:val="00CE0B88"/>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3F3"/>
    <w:rsid w:val="00CF5FDE"/>
    <w:rsid w:val="00CF6354"/>
    <w:rsid w:val="00CF65B9"/>
    <w:rsid w:val="00CF69C5"/>
    <w:rsid w:val="00CF6F78"/>
    <w:rsid w:val="00CF7731"/>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A8F"/>
    <w:rsid w:val="00D21CA2"/>
    <w:rsid w:val="00D21D17"/>
    <w:rsid w:val="00D21E5D"/>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60A"/>
    <w:rsid w:val="00D50BF9"/>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AD6"/>
    <w:rsid w:val="00D5648A"/>
    <w:rsid w:val="00D56625"/>
    <w:rsid w:val="00D5689B"/>
    <w:rsid w:val="00D56B30"/>
    <w:rsid w:val="00D60342"/>
    <w:rsid w:val="00D603DC"/>
    <w:rsid w:val="00D6068C"/>
    <w:rsid w:val="00D60E23"/>
    <w:rsid w:val="00D62203"/>
    <w:rsid w:val="00D62E5B"/>
    <w:rsid w:val="00D6320B"/>
    <w:rsid w:val="00D63479"/>
    <w:rsid w:val="00D635E9"/>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323C"/>
    <w:rsid w:val="00D93303"/>
    <w:rsid w:val="00D93592"/>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C8A"/>
    <w:rsid w:val="00DA1DEA"/>
    <w:rsid w:val="00DA20E9"/>
    <w:rsid w:val="00DA273A"/>
    <w:rsid w:val="00DA27E7"/>
    <w:rsid w:val="00DA2CEC"/>
    <w:rsid w:val="00DA2D44"/>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1B7"/>
    <w:rsid w:val="00DB2462"/>
    <w:rsid w:val="00DB313B"/>
    <w:rsid w:val="00DB3172"/>
    <w:rsid w:val="00DB334F"/>
    <w:rsid w:val="00DB38D8"/>
    <w:rsid w:val="00DB3907"/>
    <w:rsid w:val="00DB3AB4"/>
    <w:rsid w:val="00DB3C88"/>
    <w:rsid w:val="00DB4398"/>
    <w:rsid w:val="00DB50B1"/>
    <w:rsid w:val="00DB578C"/>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805"/>
    <w:rsid w:val="00DC2307"/>
    <w:rsid w:val="00DC2995"/>
    <w:rsid w:val="00DC2AB7"/>
    <w:rsid w:val="00DC346E"/>
    <w:rsid w:val="00DC3A53"/>
    <w:rsid w:val="00DC4208"/>
    <w:rsid w:val="00DC4D9D"/>
    <w:rsid w:val="00DC5754"/>
    <w:rsid w:val="00DC6670"/>
    <w:rsid w:val="00DC719E"/>
    <w:rsid w:val="00DC71C3"/>
    <w:rsid w:val="00DC743A"/>
    <w:rsid w:val="00DC7A31"/>
    <w:rsid w:val="00DD0195"/>
    <w:rsid w:val="00DD1079"/>
    <w:rsid w:val="00DD10C7"/>
    <w:rsid w:val="00DD14C1"/>
    <w:rsid w:val="00DD27DC"/>
    <w:rsid w:val="00DD2AB6"/>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1DD"/>
    <w:rsid w:val="00E11966"/>
    <w:rsid w:val="00E11AC1"/>
    <w:rsid w:val="00E12206"/>
    <w:rsid w:val="00E12531"/>
    <w:rsid w:val="00E12E73"/>
    <w:rsid w:val="00E131BE"/>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14D1"/>
    <w:rsid w:val="00E2249B"/>
    <w:rsid w:val="00E2343F"/>
    <w:rsid w:val="00E23813"/>
    <w:rsid w:val="00E243CE"/>
    <w:rsid w:val="00E246DB"/>
    <w:rsid w:val="00E24908"/>
    <w:rsid w:val="00E24A42"/>
    <w:rsid w:val="00E25241"/>
    <w:rsid w:val="00E26647"/>
    <w:rsid w:val="00E26A6F"/>
    <w:rsid w:val="00E26B6B"/>
    <w:rsid w:val="00E26BEC"/>
    <w:rsid w:val="00E2797A"/>
    <w:rsid w:val="00E30460"/>
    <w:rsid w:val="00E30549"/>
    <w:rsid w:val="00E31E1A"/>
    <w:rsid w:val="00E31F40"/>
    <w:rsid w:val="00E32A79"/>
    <w:rsid w:val="00E33CB9"/>
    <w:rsid w:val="00E343BD"/>
    <w:rsid w:val="00E35962"/>
    <w:rsid w:val="00E35A26"/>
    <w:rsid w:val="00E35B66"/>
    <w:rsid w:val="00E35B6C"/>
    <w:rsid w:val="00E35BC4"/>
    <w:rsid w:val="00E36579"/>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EAD"/>
    <w:rsid w:val="00E5423F"/>
    <w:rsid w:val="00E5436C"/>
    <w:rsid w:val="00E5448C"/>
    <w:rsid w:val="00E545B7"/>
    <w:rsid w:val="00E5470D"/>
    <w:rsid w:val="00E54D84"/>
    <w:rsid w:val="00E55033"/>
    <w:rsid w:val="00E55073"/>
    <w:rsid w:val="00E5537B"/>
    <w:rsid w:val="00E564FD"/>
    <w:rsid w:val="00E57073"/>
    <w:rsid w:val="00E57238"/>
    <w:rsid w:val="00E5745E"/>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461"/>
    <w:rsid w:val="00E728CA"/>
    <w:rsid w:val="00E72C3C"/>
    <w:rsid w:val="00E737E2"/>
    <w:rsid w:val="00E742B9"/>
    <w:rsid w:val="00E74706"/>
    <w:rsid w:val="00E74A7C"/>
    <w:rsid w:val="00E7535E"/>
    <w:rsid w:val="00E75EBB"/>
    <w:rsid w:val="00E76377"/>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6B7"/>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2BC"/>
    <w:rsid w:val="00E92A0A"/>
    <w:rsid w:val="00E92AD0"/>
    <w:rsid w:val="00E92FE3"/>
    <w:rsid w:val="00E938E6"/>
    <w:rsid w:val="00E94051"/>
    <w:rsid w:val="00E94E5C"/>
    <w:rsid w:val="00E95093"/>
    <w:rsid w:val="00E9562D"/>
    <w:rsid w:val="00E958FC"/>
    <w:rsid w:val="00E95B39"/>
    <w:rsid w:val="00E95C6B"/>
    <w:rsid w:val="00E96A09"/>
    <w:rsid w:val="00E96E7D"/>
    <w:rsid w:val="00E97451"/>
    <w:rsid w:val="00E974EB"/>
    <w:rsid w:val="00E9766A"/>
    <w:rsid w:val="00E978BC"/>
    <w:rsid w:val="00E97E39"/>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095E"/>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683"/>
    <w:rsid w:val="00EE389E"/>
    <w:rsid w:val="00EE38E7"/>
    <w:rsid w:val="00EE3DA3"/>
    <w:rsid w:val="00EE3E5C"/>
    <w:rsid w:val="00EE4210"/>
    <w:rsid w:val="00EE4BC1"/>
    <w:rsid w:val="00EE5452"/>
    <w:rsid w:val="00EE5EAF"/>
    <w:rsid w:val="00EE60F4"/>
    <w:rsid w:val="00EE676F"/>
    <w:rsid w:val="00EE6981"/>
    <w:rsid w:val="00EE7A2E"/>
    <w:rsid w:val="00EF155D"/>
    <w:rsid w:val="00EF1D9C"/>
    <w:rsid w:val="00EF261A"/>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1E60"/>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49BF"/>
    <w:rsid w:val="00F25505"/>
    <w:rsid w:val="00F2593C"/>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597D"/>
    <w:rsid w:val="00F368B6"/>
    <w:rsid w:val="00F36A11"/>
    <w:rsid w:val="00F36C90"/>
    <w:rsid w:val="00F36D83"/>
    <w:rsid w:val="00F3756B"/>
    <w:rsid w:val="00F375E7"/>
    <w:rsid w:val="00F37A2C"/>
    <w:rsid w:val="00F4013A"/>
    <w:rsid w:val="00F4035D"/>
    <w:rsid w:val="00F40694"/>
    <w:rsid w:val="00F4288E"/>
    <w:rsid w:val="00F42BC0"/>
    <w:rsid w:val="00F434D7"/>
    <w:rsid w:val="00F437E7"/>
    <w:rsid w:val="00F43ADD"/>
    <w:rsid w:val="00F44A09"/>
    <w:rsid w:val="00F453EE"/>
    <w:rsid w:val="00F45965"/>
    <w:rsid w:val="00F46FDC"/>
    <w:rsid w:val="00F47367"/>
    <w:rsid w:val="00F47599"/>
    <w:rsid w:val="00F47BEA"/>
    <w:rsid w:val="00F47CAD"/>
    <w:rsid w:val="00F50F32"/>
    <w:rsid w:val="00F5110D"/>
    <w:rsid w:val="00F51233"/>
    <w:rsid w:val="00F5187D"/>
    <w:rsid w:val="00F520BD"/>
    <w:rsid w:val="00F52547"/>
    <w:rsid w:val="00F52867"/>
    <w:rsid w:val="00F5292D"/>
    <w:rsid w:val="00F53A5A"/>
    <w:rsid w:val="00F53BC0"/>
    <w:rsid w:val="00F54746"/>
    <w:rsid w:val="00F550AE"/>
    <w:rsid w:val="00F553CD"/>
    <w:rsid w:val="00F55594"/>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74A"/>
    <w:rsid w:val="00F62B53"/>
    <w:rsid w:val="00F62CBF"/>
    <w:rsid w:val="00F645DF"/>
    <w:rsid w:val="00F65345"/>
    <w:rsid w:val="00F65E8D"/>
    <w:rsid w:val="00F66144"/>
    <w:rsid w:val="00F66838"/>
    <w:rsid w:val="00F66854"/>
    <w:rsid w:val="00F670D6"/>
    <w:rsid w:val="00F671F0"/>
    <w:rsid w:val="00F6734B"/>
    <w:rsid w:val="00F67B4B"/>
    <w:rsid w:val="00F67EFE"/>
    <w:rsid w:val="00F67F1F"/>
    <w:rsid w:val="00F7012E"/>
    <w:rsid w:val="00F70168"/>
    <w:rsid w:val="00F70400"/>
    <w:rsid w:val="00F70D7E"/>
    <w:rsid w:val="00F70DD7"/>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7167"/>
    <w:rsid w:val="00F802EE"/>
    <w:rsid w:val="00F803E5"/>
    <w:rsid w:val="00F823BD"/>
    <w:rsid w:val="00F826CA"/>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32F"/>
    <w:rsid w:val="00F937D3"/>
    <w:rsid w:val="00F94113"/>
    <w:rsid w:val="00F9451B"/>
    <w:rsid w:val="00F947C2"/>
    <w:rsid w:val="00F94B2B"/>
    <w:rsid w:val="00F94C27"/>
    <w:rsid w:val="00F95391"/>
    <w:rsid w:val="00F95CBC"/>
    <w:rsid w:val="00F95D23"/>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3FE"/>
    <w:rsid w:val="00FB1A91"/>
    <w:rsid w:val="00FB1ADF"/>
    <w:rsid w:val="00FB1DD5"/>
    <w:rsid w:val="00FB241F"/>
    <w:rsid w:val="00FB2FFF"/>
    <w:rsid w:val="00FB32BF"/>
    <w:rsid w:val="00FB3A04"/>
    <w:rsid w:val="00FB3A69"/>
    <w:rsid w:val="00FB4096"/>
    <w:rsid w:val="00FB4845"/>
    <w:rsid w:val="00FB4C76"/>
    <w:rsid w:val="00FB6560"/>
    <w:rsid w:val="00FB678B"/>
    <w:rsid w:val="00FB6CE4"/>
    <w:rsid w:val="00FB75B5"/>
    <w:rsid w:val="00FB7E90"/>
    <w:rsid w:val="00FC0685"/>
    <w:rsid w:val="00FC069F"/>
    <w:rsid w:val="00FC100C"/>
    <w:rsid w:val="00FC10D3"/>
    <w:rsid w:val="00FC13BC"/>
    <w:rsid w:val="00FC15AC"/>
    <w:rsid w:val="00FC1614"/>
    <w:rsid w:val="00FC1696"/>
    <w:rsid w:val="00FC1848"/>
    <w:rsid w:val="00FC2417"/>
    <w:rsid w:val="00FC2762"/>
    <w:rsid w:val="00FC31A5"/>
    <w:rsid w:val="00FC502D"/>
    <w:rsid w:val="00FC50C6"/>
    <w:rsid w:val="00FC5AA5"/>
    <w:rsid w:val="00FC6066"/>
    <w:rsid w:val="00FC6354"/>
    <w:rsid w:val="00FC692F"/>
    <w:rsid w:val="00FC6995"/>
    <w:rsid w:val="00FC6C81"/>
    <w:rsid w:val="00FC7EE0"/>
    <w:rsid w:val="00FD09D0"/>
    <w:rsid w:val="00FD0AAD"/>
    <w:rsid w:val="00FD0D8C"/>
    <w:rsid w:val="00FD1000"/>
    <w:rsid w:val="00FD1527"/>
    <w:rsid w:val="00FD155D"/>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1601</TotalTime>
  <Pages>4</Pages>
  <Words>2175</Words>
  <Characters>11502</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309</cp:revision>
  <cp:lastPrinted>2017-09-11T16:45:00Z</cp:lastPrinted>
  <dcterms:created xsi:type="dcterms:W3CDTF">2021-10-22T21:16:00Z</dcterms:created>
  <dcterms:modified xsi:type="dcterms:W3CDTF">2022-01-10T22:34:00Z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