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7D358" w14:textId="0D048467" w:rsidR="009A2EDB" w:rsidRPr="00F90084" w:rsidRDefault="009A2EDB" w:rsidP="009A2EDB">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Pr>
          <w:rFonts w:eastAsia="宋体" w:cs="Arial"/>
          <w:noProof w:val="0"/>
          <w:sz w:val="24"/>
          <w:szCs w:val="24"/>
        </w:rPr>
        <w:t>101-bis-</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1417FC" w:rsidRPr="001417FC">
        <w:rPr>
          <w:rFonts w:eastAsia="宋体" w:cs="Arial"/>
          <w:noProof w:val="0"/>
          <w:sz w:val="24"/>
          <w:szCs w:val="24"/>
        </w:rPr>
        <w:t>R4-2200963</w:t>
      </w:r>
    </w:p>
    <w:p w14:paraId="11239503" w14:textId="77777777" w:rsidR="009A2EDB" w:rsidRDefault="009A2EDB" w:rsidP="009A2EDB">
      <w:pPr>
        <w:tabs>
          <w:tab w:val="left" w:pos="1985"/>
        </w:tabs>
        <w:jc w:val="both"/>
        <w:rPr>
          <w:rFonts w:ascii="Arial" w:hAnsi="Arial" w:cs="Arial"/>
          <w:b/>
          <w:sz w:val="22"/>
        </w:rPr>
      </w:pPr>
      <w:r w:rsidRPr="006505F4">
        <w:rPr>
          <w:rFonts w:ascii="Arial" w:eastAsia="宋体" w:hAnsi="Arial" w:cs="Arial"/>
          <w:b/>
          <w:sz w:val="24"/>
          <w:szCs w:val="24"/>
        </w:rPr>
        <w:t>Electronic Meeting,</w:t>
      </w:r>
      <w:r w:rsidRPr="00EE1CC1">
        <w:rPr>
          <w:rFonts w:ascii="Arial" w:eastAsia="宋体" w:hAnsi="Arial" w:cs="Arial"/>
          <w:b/>
          <w:sz w:val="24"/>
          <w:szCs w:val="24"/>
        </w:rPr>
        <w:t xml:space="preserve"> </w:t>
      </w:r>
      <w:r>
        <w:rPr>
          <w:rFonts w:ascii="Arial" w:eastAsia="宋体" w:hAnsi="Arial" w:cs="Arial"/>
          <w:b/>
          <w:sz w:val="24"/>
          <w:szCs w:val="24"/>
        </w:rPr>
        <w:t>Jan</w:t>
      </w:r>
      <w:r w:rsidRPr="00EE1CC1">
        <w:rPr>
          <w:rFonts w:ascii="Arial" w:eastAsia="宋体" w:hAnsi="Arial" w:cs="Arial"/>
          <w:b/>
          <w:sz w:val="24"/>
          <w:szCs w:val="24"/>
        </w:rPr>
        <w:t xml:space="preserve">. </w:t>
      </w:r>
      <w:r>
        <w:rPr>
          <w:rFonts w:ascii="Arial" w:eastAsia="宋体" w:hAnsi="Arial" w:cs="Arial"/>
          <w:b/>
          <w:sz w:val="24"/>
          <w:szCs w:val="24"/>
        </w:rPr>
        <w:t>17</w:t>
      </w:r>
      <w:r w:rsidRPr="00A31C64">
        <w:rPr>
          <w:rFonts w:ascii="Arial" w:eastAsia="宋体" w:hAnsi="Arial" w:cs="Arial"/>
          <w:b/>
          <w:sz w:val="24"/>
          <w:szCs w:val="24"/>
          <w:vertAlign w:val="superscript"/>
        </w:rPr>
        <w:t>th</w:t>
      </w:r>
      <w:r>
        <w:rPr>
          <w:rFonts w:ascii="Arial" w:eastAsia="宋体" w:hAnsi="Arial" w:cs="Arial"/>
          <w:b/>
          <w:sz w:val="24"/>
          <w:szCs w:val="24"/>
        </w:rPr>
        <w:t xml:space="preserve"> </w:t>
      </w:r>
      <w:r w:rsidRPr="00EE1CC1">
        <w:rPr>
          <w:rFonts w:ascii="Arial" w:eastAsia="宋体" w:hAnsi="Arial" w:cs="Arial"/>
          <w:b/>
          <w:sz w:val="24"/>
          <w:szCs w:val="24"/>
        </w:rPr>
        <w:t xml:space="preserve">– </w:t>
      </w:r>
      <w:r>
        <w:rPr>
          <w:rFonts w:ascii="Arial" w:eastAsia="宋体" w:hAnsi="Arial" w:cs="Arial"/>
          <w:b/>
          <w:sz w:val="24"/>
          <w:szCs w:val="24"/>
        </w:rPr>
        <w:t>25</w:t>
      </w:r>
      <w:r w:rsidRPr="00EE1CC1">
        <w:rPr>
          <w:rFonts w:ascii="Arial" w:eastAsia="宋体" w:hAnsi="Arial" w:cs="Arial"/>
          <w:b/>
          <w:sz w:val="24"/>
          <w:szCs w:val="24"/>
          <w:vertAlign w:val="superscript"/>
        </w:rPr>
        <w:t>th</w:t>
      </w:r>
      <w:r w:rsidRPr="006505F4">
        <w:rPr>
          <w:rFonts w:ascii="Arial" w:eastAsia="宋体" w:hAnsi="Arial" w:cs="Arial"/>
          <w:b/>
          <w:sz w:val="24"/>
          <w:szCs w:val="24"/>
        </w:rPr>
        <w:t>, 202</w:t>
      </w:r>
      <w:r>
        <w:rPr>
          <w:rFonts w:ascii="Arial" w:eastAsia="宋体" w:hAnsi="Arial" w:cs="Arial"/>
          <w:b/>
          <w:sz w:val="24"/>
          <w:szCs w:val="24"/>
        </w:rPr>
        <w:t>2</w:t>
      </w:r>
    </w:p>
    <w:p w14:paraId="2F3010A3" w14:textId="77777777" w:rsidR="00027C14" w:rsidRPr="009A2EDB"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EBDAC6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C29B8" w:rsidRPr="00CC29B8">
        <w:rPr>
          <w:rFonts w:ascii="Arial" w:hAnsi="Arial" w:cs="Arial"/>
          <w:sz w:val="22"/>
        </w:rPr>
        <w:t>Further discussion on impact of MPE requirements</w:t>
      </w:r>
    </w:p>
    <w:p w14:paraId="20128F93" w14:textId="1868653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96B50">
        <w:rPr>
          <w:rFonts w:ascii="Arial" w:hAnsi="Arial" w:cs="Arial"/>
          <w:sz w:val="22"/>
          <w:lang w:val="en-US"/>
        </w:rPr>
        <w:t>6</w:t>
      </w:r>
      <w:r w:rsidR="00CC29B8" w:rsidRPr="00CC29B8">
        <w:rPr>
          <w:rFonts w:ascii="Arial" w:hAnsi="Arial" w:cs="Arial"/>
          <w:sz w:val="22"/>
          <w:lang w:val="en-US"/>
        </w:rPr>
        <w:t>.19.2.2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CC95418" w14:textId="79A395B2" w:rsidR="00920CFB" w:rsidRDefault="00920CFB" w:rsidP="00A82B9B">
      <w:pPr>
        <w:jc w:val="both"/>
        <w:rPr>
          <w:rFonts w:eastAsia="宋体"/>
          <w:lang w:eastAsia="zh-CN"/>
        </w:rPr>
      </w:pPr>
      <w:r>
        <w:rPr>
          <w:rFonts w:eastAsia="宋体" w:hint="eastAsia"/>
          <w:lang w:eastAsia="zh-CN"/>
        </w:rPr>
        <w:t>In</w:t>
      </w:r>
      <w:r>
        <w:rPr>
          <w:rFonts w:eastAsia="宋体"/>
          <w:lang w:eastAsia="zh-CN"/>
        </w:rPr>
        <w:t xml:space="preserve"> RAN4#101-e, extensive discussions were made regarding MPE </w:t>
      </w:r>
      <w:bookmarkStart w:id="4" w:name="_GoBack"/>
      <w:bookmarkEnd w:id="4"/>
      <w:proofErr w:type="spellStart"/>
      <w:r>
        <w:rPr>
          <w:rFonts w:eastAsia="宋体"/>
          <w:lang w:eastAsia="zh-CN"/>
        </w:rPr>
        <w:t>requirments</w:t>
      </w:r>
      <w:proofErr w:type="spellEnd"/>
      <w:r>
        <w:rPr>
          <w:rFonts w:eastAsia="宋体"/>
          <w:lang w:eastAsia="zh-CN"/>
        </w:rPr>
        <w:t>. A WF has been agreed in [1]:</w:t>
      </w:r>
    </w:p>
    <w:p w14:paraId="47EA6211" w14:textId="77777777" w:rsidR="00920CFB" w:rsidRPr="00920CFB" w:rsidRDefault="00920CFB" w:rsidP="00920CFB">
      <w:pPr>
        <w:ind w:leftChars="200" w:left="400"/>
        <w:jc w:val="both"/>
        <w:rPr>
          <w:rFonts w:eastAsia="宋体"/>
          <w:b/>
          <w:shd w:val="pct15" w:color="auto" w:fill="FFFFFF"/>
          <w:lang w:val="en-US" w:eastAsia="zh-CN"/>
        </w:rPr>
      </w:pPr>
      <w:r w:rsidRPr="00920CFB">
        <w:rPr>
          <w:rFonts w:eastAsia="宋体"/>
          <w:b/>
          <w:shd w:val="pct15" w:color="auto" w:fill="FFFFFF"/>
          <w:lang w:val="en-US" w:eastAsia="zh-CN"/>
        </w:rPr>
        <w:t>WF2: Impact of MPE enhancements</w:t>
      </w:r>
    </w:p>
    <w:p w14:paraId="05C0F408" w14:textId="77777777" w:rsidR="00920CFB" w:rsidRPr="00920CFB" w:rsidRDefault="00920CFB" w:rsidP="00920CFB">
      <w:pPr>
        <w:numPr>
          <w:ilvl w:val="0"/>
          <w:numId w:val="26"/>
        </w:numPr>
        <w:ind w:leftChars="400" w:left="1200"/>
        <w:jc w:val="both"/>
        <w:rPr>
          <w:rFonts w:eastAsia="宋体"/>
          <w:i/>
          <w:shd w:val="pct15" w:color="auto" w:fill="FFFFFF"/>
          <w:lang w:val="en-US" w:eastAsia="zh-CN"/>
        </w:rPr>
      </w:pPr>
      <w:r w:rsidRPr="00920CFB">
        <w:rPr>
          <w:rFonts w:eastAsia="宋体"/>
          <w:i/>
          <w:shd w:val="pct15" w:color="auto" w:fill="FFFFFF"/>
          <w:lang w:val="en-US" w:eastAsia="zh-CN"/>
        </w:rPr>
        <w:t>Discussion summary</w:t>
      </w:r>
    </w:p>
    <w:p w14:paraId="565E7FD1" w14:textId="77777777" w:rsidR="00920CFB" w:rsidRPr="00920CFB" w:rsidRDefault="00920CFB" w:rsidP="00920CFB">
      <w:pPr>
        <w:numPr>
          <w:ilvl w:val="1"/>
          <w:numId w:val="26"/>
        </w:numPr>
        <w:ind w:leftChars="600" w:left="1600"/>
        <w:jc w:val="both"/>
        <w:rPr>
          <w:rFonts w:eastAsia="宋体"/>
          <w:i/>
          <w:shd w:val="pct15" w:color="auto" w:fill="FFFFFF"/>
          <w:lang w:val="en-US" w:eastAsia="zh-CN"/>
        </w:rPr>
      </w:pPr>
      <w:r w:rsidRPr="00920CFB">
        <w:rPr>
          <w:rFonts w:eastAsia="宋体"/>
          <w:i/>
          <w:shd w:val="pct15" w:color="auto" w:fill="FFFFFF"/>
          <w:lang w:val="en-US" w:eastAsia="zh-CN"/>
        </w:rPr>
        <w:t xml:space="preserve">Most companies support not to make changes to the existing P-MPR related definition/capabilities for the Rel-17 MPE enhancements. </w:t>
      </w:r>
    </w:p>
    <w:p w14:paraId="025A5583" w14:textId="77777777" w:rsidR="00920CFB" w:rsidRPr="00920CFB" w:rsidRDefault="00920CFB" w:rsidP="00920CFB">
      <w:pPr>
        <w:numPr>
          <w:ilvl w:val="1"/>
          <w:numId w:val="26"/>
        </w:numPr>
        <w:ind w:leftChars="600" w:left="1600"/>
        <w:jc w:val="both"/>
        <w:rPr>
          <w:rFonts w:eastAsia="宋体"/>
          <w:i/>
          <w:shd w:val="pct15" w:color="auto" w:fill="FFFFFF"/>
          <w:lang w:val="en-US" w:eastAsia="zh-CN"/>
        </w:rPr>
      </w:pPr>
      <w:r w:rsidRPr="00920CFB">
        <w:rPr>
          <w:rFonts w:eastAsia="宋体"/>
          <w:i/>
          <w:shd w:val="pct15" w:color="auto" w:fill="FFFFFF"/>
          <w:lang w:val="en-US" w:eastAsia="zh-CN"/>
        </w:rPr>
        <w:t>On the other hand, some companies share that RAN4 still needs further check if the current definition/capability could accommodate the enhancement.</w:t>
      </w:r>
    </w:p>
    <w:p w14:paraId="5E8F3B3C" w14:textId="77777777" w:rsidR="00920CFB" w:rsidRPr="00920CFB" w:rsidRDefault="00920CFB" w:rsidP="00920CFB">
      <w:pPr>
        <w:numPr>
          <w:ilvl w:val="0"/>
          <w:numId w:val="26"/>
        </w:numPr>
        <w:ind w:leftChars="400" w:left="1200"/>
        <w:jc w:val="both"/>
        <w:rPr>
          <w:rFonts w:eastAsia="宋体"/>
          <w:shd w:val="pct15" w:color="auto" w:fill="FFFFFF"/>
          <w:lang w:val="en-US" w:eastAsia="zh-CN"/>
        </w:rPr>
      </w:pPr>
      <w:r w:rsidRPr="00920CFB">
        <w:rPr>
          <w:rFonts w:eastAsia="宋体"/>
          <w:shd w:val="pct15" w:color="auto" w:fill="FFFFFF"/>
          <w:lang w:val="en-US" w:eastAsia="zh-CN"/>
        </w:rPr>
        <w:t>Agreements</w:t>
      </w:r>
    </w:p>
    <w:p w14:paraId="37E052ED" w14:textId="77777777" w:rsidR="00920CFB" w:rsidRPr="00920CFB" w:rsidRDefault="00920CFB" w:rsidP="00920CFB">
      <w:pPr>
        <w:numPr>
          <w:ilvl w:val="1"/>
          <w:numId w:val="27"/>
        </w:numPr>
        <w:ind w:leftChars="600" w:left="1600"/>
        <w:jc w:val="both"/>
        <w:rPr>
          <w:rFonts w:eastAsia="宋体"/>
          <w:shd w:val="pct15" w:color="auto" w:fill="FFFFFF"/>
          <w:lang w:val="en-US" w:eastAsia="zh-CN"/>
        </w:rPr>
      </w:pPr>
      <w:r w:rsidRPr="00920CFB">
        <w:rPr>
          <w:rFonts w:eastAsia="宋体"/>
          <w:shd w:val="pct15" w:color="auto" w:fill="FFFFFF"/>
          <w:lang w:val="en-US" w:eastAsia="zh-CN"/>
        </w:rPr>
        <w:t>RAN4 will further check if the current definition/capability could implement the enhancement for a following case or not</w:t>
      </w:r>
    </w:p>
    <w:p w14:paraId="33DA2EAE" w14:textId="77777777" w:rsidR="00920CFB" w:rsidRPr="00920CFB" w:rsidRDefault="00920CFB" w:rsidP="00920CFB">
      <w:pPr>
        <w:numPr>
          <w:ilvl w:val="2"/>
          <w:numId w:val="27"/>
        </w:numPr>
        <w:ind w:leftChars="800" w:left="2000"/>
        <w:jc w:val="both"/>
        <w:rPr>
          <w:rFonts w:eastAsia="宋体"/>
          <w:shd w:val="pct15" w:color="auto" w:fill="FFFFFF"/>
          <w:lang w:val="en-US" w:eastAsia="zh-CN"/>
        </w:rPr>
      </w:pPr>
      <w:r w:rsidRPr="00920CFB">
        <w:rPr>
          <w:rFonts w:eastAsia="宋体"/>
          <w:shd w:val="pct15" w:color="auto" w:fill="FFFFFF"/>
          <w:lang w:val="en-US" w:eastAsia="zh-CN"/>
        </w:rPr>
        <w:t xml:space="preserve">Relation between each of the reported P-MPR values(N≤4) tied with the corresponding respective(M=1) SSBRI(s)/CRI(s) and </w:t>
      </w:r>
      <w:proofErr w:type="spellStart"/>
      <w:r w:rsidRPr="00920CFB">
        <w:rPr>
          <w:rFonts w:eastAsia="宋体"/>
          <w:shd w:val="pct15" w:color="auto" w:fill="FFFFFF"/>
          <w:lang w:val="en-US" w:eastAsia="zh-CN"/>
        </w:rPr>
        <w:t>Pcmax</w:t>
      </w:r>
      <w:proofErr w:type="spellEnd"/>
    </w:p>
    <w:p w14:paraId="543DA838" w14:textId="77777777" w:rsidR="00920CFB" w:rsidRPr="00920CFB" w:rsidRDefault="00920CFB" w:rsidP="00920CFB">
      <w:pPr>
        <w:numPr>
          <w:ilvl w:val="1"/>
          <w:numId w:val="27"/>
        </w:numPr>
        <w:ind w:leftChars="600" w:left="1600"/>
        <w:jc w:val="both"/>
        <w:rPr>
          <w:rFonts w:eastAsia="宋体"/>
          <w:shd w:val="pct15" w:color="auto" w:fill="FFFFFF"/>
          <w:lang w:val="en-US" w:eastAsia="zh-CN"/>
        </w:rPr>
      </w:pPr>
      <w:r w:rsidRPr="00920CFB">
        <w:rPr>
          <w:rFonts w:eastAsia="宋体"/>
          <w:shd w:val="pct15" w:color="auto" w:fill="FFFFFF"/>
          <w:lang w:val="en-US" w:eastAsia="zh-CN"/>
        </w:rPr>
        <w:t>For the next meeting, companies are encouraged to provide views if changes are required considering RAN1 agreements and above</w:t>
      </w:r>
    </w:p>
    <w:p w14:paraId="659885E8" w14:textId="4803BBAB" w:rsidR="00920CFB" w:rsidRDefault="00920CFB" w:rsidP="00A82B9B">
      <w:pPr>
        <w:jc w:val="both"/>
        <w:rPr>
          <w:rFonts w:eastAsia="宋体"/>
          <w:lang w:val="en-US" w:eastAsia="zh-CN"/>
        </w:rPr>
      </w:pPr>
    </w:p>
    <w:p w14:paraId="173F7F98" w14:textId="77351C54" w:rsidR="00920CFB" w:rsidRDefault="00920CFB" w:rsidP="00A82B9B">
      <w:pPr>
        <w:jc w:val="both"/>
        <w:rPr>
          <w:rFonts w:eastAsia="宋体"/>
          <w:lang w:val="en-US" w:eastAsia="zh-CN"/>
        </w:rPr>
      </w:pPr>
      <w:r>
        <w:rPr>
          <w:rFonts w:eastAsia="宋体" w:hint="eastAsia"/>
          <w:lang w:val="en-US" w:eastAsia="zh-CN"/>
        </w:rPr>
        <w:t>I</w:t>
      </w:r>
      <w:r>
        <w:rPr>
          <w:rFonts w:eastAsia="宋体"/>
          <w:lang w:val="en-US" w:eastAsia="zh-CN"/>
        </w:rPr>
        <w:t>n RAN1#107-e</w:t>
      </w:r>
      <w:r>
        <w:rPr>
          <w:rFonts w:eastAsia="宋体" w:hint="eastAsia"/>
          <w:lang w:val="en-US" w:eastAsia="zh-CN"/>
        </w:rPr>
        <w:t>,</w:t>
      </w:r>
      <w:r>
        <w:rPr>
          <w:rFonts w:eastAsia="宋体"/>
          <w:lang w:val="en-US" w:eastAsia="zh-CN"/>
        </w:rPr>
        <w:t xml:space="preserve"> the following agreements were made</w:t>
      </w:r>
      <w:r w:rsidR="009846EC">
        <w:rPr>
          <w:rFonts w:eastAsia="宋体"/>
          <w:lang w:val="en-US" w:eastAsia="zh-CN"/>
        </w:rPr>
        <w:t xml:space="preserve"> regarding MPE issue:</w:t>
      </w:r>
    </w:p>
    <w:p w14:paraId="5C8CE508" w14:textId="77777777" w:rsidR="009846EC" w:rsidRPr="009846EC" w:rsidRDefault="009846EC" w:rsidP="009846EC">
      <w:pPr>
        <w:ind w:leftChars="200" w:left="400"/>
        <w:rPr>
          <w:rStyle w:val="apple-converted-space"/>
          <w:rFonts w:ascii="Times" w:hAnsi="Times" w:cs="Times"/>
          <w:shd w:val="pct15" w:color="auto" w:fill="FFFFFF"/>
        </w:rPr>
      </w:pPr>
      <w:r w:rsidRPr="009846EC">
        <w:rPr>
          <w:b/>
          <w:bCs/>
          <w:shd w:val="pct15" w:color="auto" w:fill="FFFFFF"/>
        </w:rPr>
        <w:t>Conclusion</w:t>
      </w:r>
    </w:p>
    <w:p w14:paraId="243B51E7" w14:textId="77777777" w:rsidR="009846EC" w:rsidRPr="009846EC" w:rsidRDefault="009846EC" w:rsidP="009846EC">
      <w:pPr>
        <w:ind w:leftChars="200" w:left="400"/>
        <w:rPr>
          <w:color w:val="1F497D"/>
          <w:shd w:val="pct15" w:color="auto" w:fill="FFFFFF"/>
        </w:rPr>
      </w:pPr>
      <w:r w:rsidRPr="009846EC">
        <w:rPr>
          <w:shd w:val="pct15" w:color="auto" w:fill="FFFFFF"/>
        </w:rPr>
        <w:t>On Rel.17 enhancements to facilitate MPE mitigation, there is no consensus on a specification-based criterion for selecting N from a candidate SSB/CSI-RS resource pool</w:t>
      </w:r>
    </w:p>
    <w:p w14:paraId="645DE1D4" w14:textId="3513A92C" w:rsidR="009846EC" w:rsidRPr="009846EC" w:rsidRDefault="009846EC" w:rsidP="00A82B9B">
      <w:pPr>
        <w:jc w:val="both"/>
        <w:rPr>
          <w:rFonts w:eastAsia="宋体"/>
          <w:lang w:eastAsia="zh-CN"/>
        </w:rPr>
      </w:pPr>
      <w:r>
        <w:rPr>
          <w:rFonts w:eastAsia="宋体" w:hint="eastAsia"/>
          <w:lang w:eastAsia="zh-CN"/>
        </w:rPr>
        <w:t>T</w:t>
      </w:r>
      <w:r>
        <w:rPr>
          <w:rFonts w:eastAsia="宋体"/>
          <w:lang w:eastAsia="zh-CN"/>
        </w:rPr>
        <w:t>his basically means that RAN1 would not specify any criterion for beam selection and purely left for implementation.</w:t>
      </w:r>
      <w:r>
        <w:rPr>
          <w:rFonts w:eastAsia="宋体" w:hint="eastAsia"/>
          <w:lang w:eastAsia="zh-CN"/>
        </w:rPr>
        <w:t xml:space="preserve"> </w:t>
      </w:r>
      <w:r>
        <w:rPr>
          <w:rFonts w:eastAsia="宋体"/>
          <w:lang w:eastAsia="zh-CN"/>
        </w:rPr>
        <w:t xml:space="preserve">The basic specification status is identical to last meeting. Earlier RAN1 agreements can reference to </w:t>
      </w:r>
      <w:r>
        <w:rPr>
          <w:rFonts w:eastAsia="宋体" w:hint="eastAsia"/>
          <w:lang w:eastAsia="zh-CN"/>
        </w:rPr>
        <w:t>[</w:t>
      </w:r>
      <w:r>
        <w:rPr>
          <w:rFonts w:eastAsia="宋体"/>
          <w:lang w:eastAsia="zh-CN"/>
        </w:rPr>
        <w:t>3].</w:t>
      </w:r>
    </w:p>
    <w:p w14:paraId="2694EDF5" w14:textId="15944AFC" w:rsidR="00583EA4" w:rsidRDefault="00A82B9B" w:rsidP="001032DC">
      <w:pPr>
        <w:overflowPunct/>
        <w:autoSpaceDE/>
        <w:autoSpaceDN/>
        <w:adjustRightInd/>
        <w:jc w:val="both"/>
        <w:textAlignment w:val="auto"/>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9846EC">
        <w:rPr>
          <w:rFonts w:eastAsia="宋体"/>
          <w:lang w:val="en-US" w:eastAsia="zh-CN"/>
        </w:rPr>
        <w:t>proposal was provided</w:t>
      </w:r>
      <w:r w:rsidR="001032DC">
        <w:rPr>
          <w:rFonts w:eastAsia="宋体"/>
          <w:lang w:val="en-US" w:eastAsia="zh-CN"/>
        </w:rPr>
        <w:t>.</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4C475F13" w14:textId="1CC809DD" w:rsidR="009846EC" w:rsidRDefault="009846EC"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RAN4#101-e, extensive discussion </w:t>
      </w:r>
      <w:proofErr w:type="gramStart"/>
      <w:r>
        <w:rPr>
          <w:rFonts w:eastAsia="宋体"/>
          <w:lang w:eastAsia="zh-CN"/>
        </w:rPr>
        <w:t>were</w:t>
      </w:r>
      <w:proofErr w:type="gramEnd"/>
      <w:r>
        <w:rPr>
          <w:rFonts w:eastAsia="宋体"/>
          <w:lang w:eastAsia="zh-CN"/>
        </w:rPr>
        <w:t xml:space="preserve"> made and documented in [2]. Since RAN1 did not make any new conclusion compared in last meeting, the following basic observations on RAN1 conclusion which are excerpted from [3] are still hold:</w:t>
      </w:r>
    </w:p>
    <w:p w14:paraId="26EA52BC" w14:textId="77777777" w:rsidR="009846EC" w:rsidRPr="009846EC" w:rsidRDefault="009846EC" w:rsidP="009846EC">
      <w:pPr>
        <w:overflowPunct/>
        <w:autoSpaceDE/>
        <w:autoSpaceDN/>
        <w:adjustRightInd/>
        <w:ind w:leftChars="200" w:left="400"/>
        <w:jc w:val="both"/>
        <w:textAlignment w:val="auto"/>
        <w:rPr>
          <w:rFonts w:eastAsia="宋体"/>
          <w:shd w:val="pct15" w:color="auto" w:fill="FFFFFF"/>
          <w:lang w:eastAsia="zh-CN"/>
        </w:rPr>
      </w:pPr>
      <w:r w:rsidRPr="009846EC">
        <w:rPr>
          <w:rFonts w:eastAsia="宋体" w:hint="eastAsia"/>
          <w:b/>
          <w:shd w:val="pct15" w:color="auto" w:fill="FFFFFF"/>
          <w:lang w:eastAsia="zh-CN"/>
        </w:rPr>
        <w:t>O</w:t>
      </w:r>
      <w:r w:rsidRPr="009846EC">
        <w:rPr>
          <w:rFonts w:eastAsia="宋体"/>
          <w:b/>
          <w:shd w:val="pct15" w:color="auto" w:fill="FFFFFF"/>
          <w:lang w:eastAsia="zh-CN"/>
        </w:rPr>
        <w:t xml:space="preserve">bservation 1: </w:t>
      </w:r>
      <w:r w:rsidRPr="009846EC">
        <w:rPr>
          <w:rFonts w:eastAsia="宋体"/>
          <w:shd w:val="pct15" w:color="auto" w:fill="FFFFFF"/>
          <w:lang w:eastAsia="zh-CN"/>
        </w:rPr>
        <w:t>RAN1 has extend the number of P-MPR from 1 to N (4 maximum) that can be reported by a UE.</w:t>
      </w:r>
    </w:p>
    <w:p w14:paraId="0674C799" w14:textId="77777777" w:rsidR="009846EC" w:rsidRPr="009846EC" w:rsidRDefault="009846EC" w:rsidP="009846EC">
      <w:pPr>
        <w:overflowPunct/>
        <w:autoSpaceDE/>
        <w:autoSpaceDN/>
        <w:adjustRightInd/>
        <w:ind w:leftChars="200" w:left="400"/>
        <w:jc w:val="both"/>
        <w:textAlignment w:val="auto"/>
        <w:rPr>
          <w:rFonts w:eastAsia="宋体"/>
          <w:shd w:val="pct15" w:color="auto" w:fill="FFFFFF"/>
          <w:lang w:eastAsia="zh-CN"/>
        </w:rPr>
      </w:pPr>
      <w:r w:rsidRPr="009846EC">
        <w:rPr>
          <w:rFonts w:eastAsia="宋体"/>
          <w:b/>
          <w:shd w:val="pct15" w:color="auto" w:fill="FFFFFF"/>
          <w:lang w:eastAsia="zh-CN"/>
        </w:rPr>
        <w:lastRenderedPageBreak/>
        <w:t xml:space="preserve">Observation 2: </w:t>
      </w:r>
      <w:r w:rsidRPr="009846EC">
        <w:rPr>
          <w:rFonts w:eastAsia="宋体"/>
          <w:shd w:val="pct15" w:color="auto" w:fill="FFFFFF"/>
          <w:lang w:eastAsia="zh-CN"/>
        </w:rPr>
        <w:t xml:space="preserve">One P-MPR would be reported with one corresponding SSBRI/CRI, this means the reported P-MPR is actually a per-beam value. </w:t>
      </w:r>
    </w:p>
    <w:p w14:paraId="4919EF21" w14:textId="77777777" w:rsidR="009846EC" w:rsidRPr="009846EC" w:rsidRDefault="009846EC" w:rsidP="009846EC">
      <w:pPr>
        <w:overflowPunct/>
        <w:autoSpaceDE/>
        <w:autoSpaceDN/>
        <w:adjustRightInd/>
        <w:ind w:leftChars="200" w:left="400"/>
        <w:jc w:val="both"/>
        <w:textAlignment w:val="auto"/>
        <w:rPr>
          <w:rFonts w:eastAsia="宋体"/>
          <w:shd w:val="pct15" w:color="auto" w:fill="FFFFFF"/>
          <w:lang w:eastAsia="zh-CN"/>
        </w:rPr>
      </w:pPr>
      <w:r w:rsidRPr="009846EC">
        <w:rPr>
          <w:rFonts w:eastAsia="宋体"/>
          <w:b/>
          <w:shd w:val="pct15" w:color="auto" w:fill="FFFFFF"/>
          <w:lang w:eastAsia="zh-CN"/>
        </w:rPr>
        <w:t xml:space="preserve">Observation 3: </w:t>
      </w:r>
      <w:r w:rsidRPr="009846EC">
        <w:rPr>
          <w:rFonts w:eastAsia="宋体"/>
          <w:shd w:val="pct15" w:color="auto" w:fill="FFFFFF"/>
          <w:lang w:eastAsia="zh-CN"/>
        </w:rPr>
        <w:t xml:space="preserve">No per-panel or per-beam P-MPR was explicit mentioned, but neither implementations are precluded. </w:t>
      </w:r>
    </w:p>
    <w:p w14:paraId="5CC5AF7E" w14:textId="483DA0D9" w:rsidR="009846EC" w:rsidRDefault="009846EC" w:rsidP="00121B54">
      <w:pPr>
        <w:overflowPunct/>
        <w:autoSpaceDE/>
        <w:autoSpaceDN/>
        <w:adjustRightInd/>
        <w:jc w:val="both"/>
        <w:textAlignment w:val="auto"/>
        <w:rPr>
          <w:rFonts w:eastAsia="宋体"/>
          <w:lang w:eastAsia="zh-CN"/>
        </w:rPr>
      </w:pPr>
    </w:p>
    <w:p w14:paraId="7F507A19" w14:textId="34D6232F" w:rsidR="004B5603" w:rsidRPr="00F20936" w:rsidRDefault="004B5603" w:rsidP="00121B54">
      <w:pPr>
        <w:overflowPunct/>
        <w:autoSpaceDE/>
        <w:autoSpaceDN/>
        <w:adjustRightInd/>
        <w:jc w:val="both"/>
        <w:textAlignment w:val="auto"/>
        <w:rPr>
          <w:rFonts w:eastAsia="宋体"/>
          <w:lang w:eastAsia="zh-CN"/>
        </w:rPr>
      </w:pPr>
      <w:r w:rsidRPr="004B5603">
        <w:rPr>
          <w:rFonts w:eastAsia="宋体" w:hint="eastAsia"/>
          <w:b/>
          <w:lang w:eastAsia="zh-CN"/>
        </w:rPr>
        <w:t>O</w:t>
      </w:r>
      <w:r w:rsidRPr="004B5603">
        <w:rPr>
          <w:rFonts w:eastAsia="宋体"/>
          <w:b/>
          <w:lang w:eastAsia="zh-CN"/>
        </w:rPr>
        <w:t xml:space="preserve">bservation 1: </w:t>
      </w:r>
      <w:r w:rsidRPr="00F20936">
        <w:rPr>
          <w:rFonts w:eastAsia="宋体"/>
          <w:lang w:eastAsia="zh-CN"/>
        </w:rPr>
        <w:t>RAN1 did not specify the criterion for selection of SSBRI(s)/CRI(s).</w:t>
      </w:r>
    </w:p>
    <w:p w14:paraId="021A5BBA" w14:textId="77777777" w:rsidR="004B5603" w:rsidRPr="009846EC" w:rsidRDefault="004B5603" w:rsidP="00121B54">
      <w:pPr>
        <w:overflowPunct/>
        <w:autoSpaceDE/>
        <w:autoSpaceDN/>
        <w:adjustRightInd/>
        <w:jc w:val="both"/>
        <w:textAlignment w:val="auto"/>
        <w:rPr>
          <w:rFonts w:eastAsia="宋体"/>
          <w:lang w:eastAsia="zh-CN"/>
        </w:rPr>
      </w:pPr>
    </w:p>
    <w:p w14:paraId="3E9B22AE" w14:textId="6953D430" w:rsidR="00C47D18" w:rsidRDefault="00C47D18" w:rsidP="00C47D18">
      <w:pPr>
        <w:overflowPunct/>
        <w:autoSpaceDE/>
        <w:autoSpaceDN/>
        <w:adjustRightInd/>
        <w:jc w:val="both"/>
        <w:textAlignment w:val="auto"/>
        <w:rPr>
          <w:rFonts w:eastAsia="宋体"/>
          <w:sz w:val="21"/>
          <w:lang w:eastAsia="zh-CN"/>
        </w:rPr>
      </w:pPr>
      <w:proofErr w:type="gramStart"/>
      <w:r>
        <w:rPr>
          <w:rFonts w:eastAsia="宋体" w:hint="eastAsia"/>
          <w:lang w:eastAsia="zh-CN"/>
        </w:rPr>
        <w:t>A</w:t>
      </w:r>
      <w:r>
        <w:rPr>
          <w:rFonts w:eastAsia="宋体"/>
          <w:lang w:eastAsia="zh-CN"/>
        </w:rPr>
        <w:t>lso</w:t>
      </w:r>
      <w:proofErr w:type="gramEnd"/>
      <w:r>
        <w:rPr>
          <w:rFonts w:eastAsia="宋体"/>
          <w:lang w:eastAsia="zh-CN"/>
        </w:rPr>
        <w:t xml:space="preserve"> as discussed before, t</w:t>
      </w:r>
      <w:r>
        <w:rPr>
          <w:rFonts w:eastAsia="宋体"/>
          <w:sz w:val="21"/>
          <w:lang w:eastAsia="zh-CN"/>
        </w:rPr>
        <w:t>he P-MPR for FR2 is used for the restriction of measured peak EIRP as following:</w:t>
      </w:r>
    </w:p>
    <w:p w14:paraId="608E3DAF" w14:textId="77777777" w:rsidR="00C47D18" w:rsidRPr="00A64C60" w:rsidRDefault="00C47D18" w:rsidP="00C47D18">
      <w:pPr>
        <w:ind w:leftChars="200" w:left="400"/>
        <w:rPr>
          <w:rFonts w:eastAsia="宋体"/>
          <w:sz w:val="21"/>
          <w:shd w:val="pct15" w:color="auto" w:fill="FFFFFF"/>
          <w:lang w:eastAsia="zh-CN"/>
        </w:rPr>
      </w:pPr>
      <w:r w:rsidRPr="00A64C60">
        <w:rPr>
          <w:shd w:val="pct15" w:color="auto" w:fill="FFFFFF"/>
        </w:rPr>
        <w:t xml:space="preserve">The configured UE maximum output power </w:t>
      </w:r>
      <w:proofErr w:type="spellStart"/>
      <w:proofErr w:type="gramStart"/>
      <w:r w:rsidRPr="00A64C60">
        <w:rPr>
          <w:shd w:val="pct15" w:color="auto" w:fill="FFFFFF"/>
        </w:rPr>
        <w:t>P</w:t>
      </w:r>
      <w:r w:rsidRPr="00A64C60">
        <w:rPr>
          <w:shd w:val="pct15" w:color="auto" w:fill="FFFFFF"/>
          <w:vertAlign w:val="subscript"/>
        </w:rPr>
        <w:t>CMAX,f</w:t>
      </w:r>
      <w:proofErr w:type="gramEnd"/>
      <w:r w:rsidRPr="00A64C60">
        <w:rPr>
          <w:shd w:val="pct15" w:color="auto" w:fill="FFFFFF"/>
          <w:vertAlign w:val="subscript"/>
        </w:rPr>
        <w:t>,c</w:t>
      </w:r>
      <w:proofErr w:type="spellEnd"/>
      <w:r w:rsidRPr="00A64C60">
        <w:rPr>
          <w:shd w:val="pct15" w:color="auto" w:fill="FFFFFF"/>
        </w:rPr>
        <w:t xml:space="preserve"> for carrier </w:t>
      </w:r>
      <w:r w:rsidRPr="00A64C60">
        <w:rPr>
          <w:i/>
          <w:shd w:val="pct15" w:color="auto" w:fill="FFFFFF"/>
        </w:rPr>
        <w:t>f</w:t>
      </w:r>
      <w:r w:rsidRPr="00A64C60">
        <w:rPr>
          <w:shd w:val="pct15" w:color="auto" w:fill="FFFFFF"/>
        </w:rPr>
        <w:t xml:space="preserve"> of a serving cell </w:t>
      </w:r>
      <w:r w:rsidRPr="00A64C60">
        <w:rPr>
          <w:i/>
          <w:shd w:val="pct15" w:color="auto" w:fill="FFFFFF"/>
        </w:rPr>
        <w:t>c</w:t>
      </w:r>
      <w:r w:rsidRPr="00A64C60">
        <w:rPr>
          <w:shd w:val="pct15" w:color="auto" w:fill="FFFFFF"/>
        </w:rPr>
        <w:t xml:space="preserve"> shall be set such that the corresponding measured peak EIRP </w:t>
      </w:r>
      <w:proofErr w:type="spellStart"/>
      <w:r w:rsidRPr="00A64C60">
        <w:rPr>
          <w:shd w:val="pct15" w:color="auto" w:fill="FFFFFF"/>
        </w:rPr>
        <w:t>P</w:t>
      </w:r>
      <w:r w:rsidRPr="00A64C60">
        <w:rPr>
          <w:shd w:val="pct15" w:color="auto" w:fill="FFFFFF"/>
          <w:vertAlign w:val="subscript"/>
        </w:rPr>
        <w:t>UMAX,f,c</w:t>
      </w:r>
      <w:proofErr w:type="spellEnd"/>
      <w:r w:rsidRPr="00A64C60">
        <w:rPr>
          <w:shd w:val="pct15" w:color="auto" w:fill="FFFFFF"/>
        </w:rPr>
        <w:t xml:space="preserve"> is within the following bounds</w:t>
      </w:r>
    </w:p>
    <w:p w14:paraId="4BE13F8F" w14:textId="77777777" w:rsidR="00C47D18" w:rsidRPr="00A64C60" w:rsidRDefault="00C47D18" w:rsidP="00C47D18">
      <w:pPr>
        <w:pStyle w:val="EQ"/>
        <w:ind w:leftChars="400" w:left="800"/>
        <w:jc w:val="center"/>
        <w:rPr>
          <w:shd w:val="pct15" w:color="auto" w:fill="FFFFFF"/>
        </w:rPr>
      </w:pPr>
      <w:r w:rsidRPr="00A64C60">
        <w:rPr>
          <w:shd w:val="pct15" w:color="auto" w:fill="FFFFFF"/>
        </w:rPr>
        <w:t>P</w:t>
      </w:r>
      <w:r w:rsidRPr="00A64C60">
        <w:rPr>
          <w:shd w:val="pct15" w:color="auto" w:fill="FFFFFF"/>
          <w:vertAlign w:val="subscript"/>
        </w:rPr>
        <w:t>Powerclass</w:t>
      </w:r>
      <w:r w:rsidRPr="00A64C60">
        <w:rPr>
          <w:shd w:val="pct15" w:color="auto" w:fill="FFFFFF"/>
        </w:rPr>
        <w:t xml:space="preserve"> + </w:t>
      </w:r>
      <w:r w:rsidRPr="00A64C60">
        <w:rPr>
          <w:rFonts w:ascii="Symbol" w:hAnsi="Symbol"/>
          <w:shd w:val="pct15" w:color="auto" w:fill="FFFFFF"/>
        </w:rPr>
        <w:t></w:t>
      </w:r>
      <w:r w:rsidRPr="00A64C60">
        <w:rPr>
          <w:shd w:val="pct15" w:color="auto" w:fill="FFFFFF"/>
        </w:rPr>
        <w:t>P</w:t>
      </w:r>
      <w:r w:rsidRPr="00A64C60">
        <w:rPr>
          <w:shd w:val="pct15" w:color="auto" w:fill="FFFFFF"/>
          <w:vertAlign w:val="subscript"/>
        </w:rPr>
        <w:t>IBE</w:t>
      </w:r>
      <w:r w:rsidRPr="00A64C60">
        <w:rPr>
          <w:shd w:val="pct15" w:color="auto" w:fill="FFFFFF"/>
        </w:rPr>
        <w:t xml:space="preserve"> – MAX(MAX(MPR</w:t>
      </w:r>
      <w:r w:rsidRPr="00A64C60">
        <w:rPr>
          <w:shd w:val="pct15" w:color="auto" w:fill="FFFFFF"/>
          <w:vertAlign w:val="subscript"/>
        </w:rPr>
        <w:t>f,c</w:t>
      </w:r>
      <w:r w:rsidRPr="00A64C60">
        <w:rPr>
          <w:shd w:val="pct15" w:color="auto" w:fill="FFFFFF"/>
        </w:rPr>
        <w:t>, A- MPR</w:t>
      </w:r>
      <w:r w:rsidRPr="00A64C60">
        <w:rPr>
          <w:shd w:val="pct15" w:color="auto" w:fill="FFFFFF"/>
          <w:vertAlign w:val="subscript"/>
        </w:rPr>
        <w:t>f,c</w:t>
      </w:r>
      <w:r w:rsidRPr="00A64C60">
        <w:rPr>
          <w:shd w:val="pct15" w:color="auto" w:fill="FFFFFF"/>
        </w:rPr>
        <w:t>,) + ΔMB</w:t>
      </w:r>
      <w:r w:rsidRPr="00A64C60">
        <w:rPr>
          <w:shd w:val="pct15" w:color="auto" w:fill="FFFFFF"/>
          <w:vertAlign w:val="subscript"/>
        </w:rPr>
        <w:t>P,n</w:t>
      </w:r>
      <w:r w:rsidRPr="00A64C60">
        <w:rPr>
          <w:shd w:val="pct15" w:color="auto" w:fill="FFFFFF"/>
        </w:rPr>
        <w:t>, P-MPR</w:t>
      </w:r>
      <w:r w:rsidRPr="00A64C60">
        <w:rPr>
          <w:shd w:val="pct15" w:color="auto" w:fill="FFFFFF"/>
          <w:vertAlign w:val="subscript"/>
        </w:rPr>
        <w:t>f,c</w:t>
      </w:r>
      <w:r w:rsidRPr="00A64C60">
        <w:rPr>
          <w:shd w:val="pct15" w:color="auto" w:fill="FFFFFF"/>
        </w:rPr>
        <w:t>) – MAX{T(MAX(MPR</w:t>
      </w:r>
      <w:r w:rsidRPr="00A64C60">
        <w:rPr>
          <w:shd w:val="pct15" w:color="auto" w:fill="FFFFFF"/>
          <w:vertAlign w:val="subscript"/>
        </w:rPr>
        <w:t>f,c</w:t>
      </w:r>
      <w:r w:rsidRPr="00A64C60">
        <w:rPr>
          <w:shd w:val="pct15" w:color="auto" w:fill="FFFFFF"/>
        </w:rPr>
        <w:t>, A- MPR</w:t>
      </w:r>
      <w:r w:rsidRPr="00A64C60">
        <w:rPr>
          <w:shd w:val="pct15" w:color="auto" w:fill="FFFFFF"/>
          <w:vertAlign w:val="subscript"/>
        </w:rPr>
        <w:t>f,c</w:t>
      </w:r>
      <w:r w:rsidRPr="00A64C60">
        <w:rPr>
          <w:shd w:val="pct15" w:color="auto" w:fill="FFFFFF"/>
        </w:rPr>
        <w:t>,)), T(P-MPR</w:t>
      </w:r>
      <w:r w:rsidRPr="00A64C60">
        <w:rPr>
          <w:shd w:val="pct15" w:color="auto" w:fill="FFFFFF"/>
          <w:vertAlign w:val="subscript"/>
        </w:rPr>
        <w:t>f,c</w:t>
      </w:r>
      <w:r w:rsidRPr="00A64C60">
        <w:rPr>
          <w:shd w:val="pct15" w:color="auto" w:fill="FFFFFF"/>
        </w:rPr>
        <w:t>)} ≤ P</w:t>
      </w:r>
      <w:r w:rsidRPr="00A64C60">
        <w:rPr>
          <w:shd w:val="pct15" w:color="auto" w:fill="FFFFFF"/>
          <w:vertAlign w:val="subscript"/>
        </w:rPr>
        <w:t>UMAX,f,c</w:t>
      </w:r>
      <w:r w:rsidRPr="00A64C60">
        <w:rPr>
          <w:shd w:val="pct15" w:color="auto" w:fill="FFFFFF"/>
        </w:rPr>
        <w:t xml:space="preserve"> ≤ EIRP</w:t>
      </w:r>
      <w:r w:rsidRPr="00A64C60">
        <w:rPr>
          <w:shd w:val="pct15" w:color="auto" w:fill="FFFFFF"/>
          <w:vertAlign w:val="subscript"/>
        </w:rPr>
        <w:t>max</w:t>
      </w:r>
    </w:p>
    <w:p w14:paraId="76608754" w14:textId="77777777" w:rsidR="00F20936" w:rsidRDefault="004B5603"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t can be seen that the P-MPR in the equation</w:t>
      </w:r>
      <w:r w:rsidR="00F20936">
        <w:rPr>
          <w:rFonts w:eastAsia="宋体"/>
          <w:lang w:eastAsia="zh-CN"/>
        </w:rPr>
        <w:t xml:space="preserve"> </w:t>
      </w:r>
      <w:r w:rsidR="00F20936">
        <w:rPr>
          <w:rFonts w:eastAsia="宋体" w:hint="eastAsia"/>
          <w:lang w:eastAsia="zh-CN"/>
        </w:rPr>
        <w:t>is</w:t>
      </w:r>
      <w:r w:rsidR="00F20936">
        <w:rPr>
          <w:rFonts w:eastAsia="宋体"/>
          <w:lang w:eastAsia="zh-CN"/>
        </w:rPr>
        <w:t xml:space="preserve"> quite flexible and can actually already be adaptable to different beams. In </w:t>
      </w:r>
      <w:proofErr w:type="gramStart"/>
      <w:r w:rsidR="00F20936">
        <w:rPr>
          <w:rFonts w:eastAsia="宋体"/>
          <w:lang w:eastAsia="zh-CN"/>
        </w:rPr>
        <w:t>this senses</w:t>
      </w:r>
      <w:proofErr w:type="gramEnd"/>
      <w:r w:rsidR="00F20936">
        <w:rPr>
          <w:rFonts w:eastAsia="宋体"/>
          <w:lang w:eastAsia="zh-CN"/>
        </w:rPr>
        <w:t>, there is no need to make any extension to the P-MPR item and equation, and just some concept clarification is sufficient.</w:t>
      </w:r>
    </w:p>
    <w:p w14:paraId="4A84E153" w14:textId="6465CDE6" w:rsidR="00F20936" w:rsidRDefault="00F20936" w:rsidP="00121B54">
      <w:pPr>
        <w:overflowPunct/>
        <w:autoSpaceDE/>
        <w:autoSpaceDN/>
        <w:adjustRightInd/>
        <w:jc w:val="both"/>
        <w:textAlignment w:val="auto"/>
        <w:rPr>
          <w:rFonts w:eastAsia="宋体"/>
          <w:lang w:eastAsia="zh-CN"/>
        </w:rPr>
      </w:pPr>
      <w:r w:rsidRPr="00F20936">
        <w:rPr>
          <w:rFonts w:eastAsia="宋体" w:hint="eastAsia"/>
          <w:b/>
          <w:lang w:eastAsia="zh-CN"/>
        </w:rPr>
        <w:t>O</w:t>
      </w:r>
      <w:r w:rsidRPr="00F20936">
        <w:rPr>
          <w:rFonts w:eastAsia="宋体"/>
          <w:b/>
          <w:lang w:eastAsia="zh-CN"/>
        </w:rPr>
        <w:t xml:space="preserve">bservation 2: </w:t>
      </w:r>
      <w:r>
        <w:rPr>
          <w:rFonts w:eastAsia="宋体"/>
          <w:lang w:eastAsia="zh-CN"/>
        </w:rPr>
        <w:t xml:space="preserve">The current P-MPR item in the </w:t>
      </w:r>
      <w:proofErr w:type="spellStart"/>
      <w:r>
        <w:rPr>
          <w:rFonts w:eastAsia="宋体"/>
          <w:lang w:eastAsia="zh-CN"/>
        </w:rPr>
        <w:t>Pcmax</w:t>
      </w:r>
      <w:proofErr w:type="spellEnd"/>
      <w:r>
        <w:rPr>
          <w:rFonts w:eastAsia="宋体"/>
          <w:lang w:eastAsia="zh-CN"/>
        </w:rPr>
        <w:t xml:space="preserve"> related equation is already sufficient to cover multiple Beam cases.</w:t>
      </w:r>
    </w:p>
    <w:p w14:paraId="2A41C5BB" w14:textId="3C2E5FA3" w:rsidR="00F20936" w:rsidRPr="00F20936" w:rsidRDefault="00F20936" w:rsidP="00121B54">
      <w:pPr>
        <w:overflowPunct/>
        <w:autoSpaceDE/>
        <w:autoSpaceDN/>
        <w:adjustRightInd/>
        <w:jc w:val="both"/>
        <w:textAlignment w:val="auto"/>
        <w:rPr>
          <w:rFonts w:eastAsia="宋体"/>
          <w:b/>
          <w:lang w:eastAsia="zh-CN"/>
        </w:rPr>
      </w:pPr>
      <w:r w:rsidRPr="00F20936">
        <w:rPr>
          <w:rFonts w:eastAsia="宋体" w:hint="eastAsia"/>
          <w:b/>
          <w:lang w:eastAsia="zh-CN"/>
        </w:rPr>
        <w:t>P</w:t>
      </w:r>
      <w:r w:rsidRPr="00F20936">
        <w:rPr>
          <w:rFonts w:eastAsia="宋体"/>
          <w:b/>
          <w:lang w:eastAsia="zh-CN"/>
        </w:rPr>
        <w:t>roposal: No extension of P-MPR or equation is needed. Some clarification note can be considered if deemed necessary.</w:t>
      </w:r>
    </w:p>
    <w:p w14:paraId="74BBFB14" w14:textId="77777777" w:rsidR="00DD401A" w:rsidRPr="00D95EB1" w:rsidRDefault="00DD401A" w:rsidP="000C59D9">
      <w:pPr>
        <w:overflowPunct/>
        <w:autoSpaceDE/>
        <w:autoSpaceDN/>
        <w:adjustRightInd/>
        <w:jc w:val="both"/>
        <w:textAlignment w:val="auto"/>
        <w:rPr>
          <w:rFonts w:eastAsiaTheme="minorEastAsia"/>
          <w:b/>
          <w:lang w:val="sv-SE"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5901D79" w14:textId="29888E09" w:rsidR="002A77E3" w:rsidRDefault="002A77E3" w:rsidP="002A77E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w:t>
      </w:r>
      <w:r>
        <w:rPr>
          <w:rFonts w:eastAsia="宋体"/>
          <w:lang w:val="en-US" w:eastAsia="zh-CN"/>
        </w:rPr>
        <w:t xml:space="preserve"> </w:t>
      </w:r>
      <w:r w:rsidR="00F20936">
        <w:rPr>
          <w:rFonts w:eastAsia="宋体"/>
          <w:lang w:val="en-US" w:eastAsia="zh-CN"/>
        </w:rPr>
        <w:t xml:space="preserve">further views of </w:t>
      </w:r>
      <w:r>
        <w:rPr>
          <w:rFonts w:eastAsia="宋体"/>
          <w:lang w:val="en-US" w:eastAsia="zh-CN"/>
        </w:rPr>
        <w:t>UE RF impact of RAN1 MPE mitigation were provided.</w:t>
      </w:r>
    </w:p>
    <w:p w14:paraId="1F4192BF" w14:textId="77777777" w:rsidR="00F20936" w:rsidRDefault="00F20936" w:rsidP="00F20936">
      <w:pPr>
        <w:overflowPunct/>
        <w:autoSpaceDE/>
        <w:autoSpaceDN/>
        <w:adjustRightInd/>
        <w:jc w:val="both"/>
        <w:textAlignment w:val="auto"/>
        <w:rPr>
          <w:rFonts w:eastAsia="宋体"/>
          <w:b/>
          <w:lang w:eastAsia="zh-CN"/>
        </w:rPr>
      </w:pPr>
    </w:p>
    <w:p w14:paraId="2A7C1BD0" w14:textId="7643B9F3" w:rsidR="00F20936" w:rsidRPr="00F20936" w:rsidRDefault="00F20936" w:rsidP="00F20936">
      <w:pPr>
        <w:overflowPunct/>
        <w:autoSpaceDE/>
        <w:autoSpaceDN/>
        <w:adjustRightInd/>
        <w:jc w:val="both"/>
        <w:textAlignment w:val="auto"/>
        <w:rPr>
          <w:rFonts w:eastAsia="宋体"/>
          <w:lang w:eastAsia="zh-CN"/>
        </w:rPr>
      </w:pPr>
      <w:r w:rsidRPr="004B5603">
        <w:rPr>
          <w:rFonts w:eastAsia="宋体" w:hint="eastAsia"/>
          <w:b/>
          <w:lang w:eastAsia="zh-CN"/>
        </w:rPr>
        <w:t>O</w:t>
      </w:r>
      <w:r w:rsidRPr="004B5603">
        <w:rPr>
          <w:rFonts w:eastAsia="宋体"/>
          <w:b/>
          <w:lang w:eastAsia="zh-CN"/>
        </w:rPr>
        <w:t xml:space="preserve">bservation 1: </w:t>
      </w:r>
      <w:r w:rsidRPr="00F20936">
        <w:rPr>
          <w:rFonts w:eastAsia="宋体"/>
          <w:lang w:eastAsia="zh-CN"/>
        </w:rPr>
        <w:t>RAN1 did not specify the criterion for selection of SSBRI(s)/CRI(s).</w:t>
      </w:r>
    </w:p>
    <w:p w14:paraId="5A3C7D91" w14:textId="6C04841E" w:rsidR="00F20936" w:rsidRDefault="00F20936" w:rsidP="00F20936">
      <w:pPr>
        <w:overflowPunct/>
        <w:autoSpaceDE/>
        <w:autoSpaceDN/>
        <w:adjustRightInd/>
        <w:jc w:val="both"/>
        <w:textAlignment w:val="auto"/>
        <w:rPr>
          <w:rFonts w:eastAsia="宋体"/>
          <w:lang w:eastAsia="zh-CN"/>
        </w:rPr>
      </w:pPr>
      <w:r w:rsidRPr="00F20936">
        <w:rPr>
          <w:rFonts w:eastAsia="宋体" w:hint="eastAsia"/>
          <w:b/>
          <w:lang w:eastAsia="zh-CN"/>
        </w:rPr>
        <w:t>O</w:t>
      </w:r>
      <w:r w:rsidRPr="00F20936">
        <w:rPr>
          <w:rFonts w:eastAsia="宋体"/>
          <w:b/>
          <w:lang w:eastAsia="zh-CN"/>
        </w:rPr>
        <w:t xml:space="preserve">bservation 2: </w:t>
      </w:r>
      <w:r>
        <w:rPr>
          <w:rFonts w:eastAsia="宋体"/>
          <w:lang w:eastAsia="zh-CN"/>
        </w:rPr>
        <w:t xml:space="preserve">The current P-MPR item in the </w:t>
      </w:r>
      <w:proofErr w:type="spellStart"/>
      <w:r>
        <w:rPr>
          <w:rFonts w:eastAsia="宋体"/>
          <w:lang w:eastAsia="zh-CN"/>
        </w:rPr>
        <w:t>Pcmax</w:t>
      </w:r>
      <w:proofErr w:type="spellEnd"/>
      <w:r>
        <w:rPr>
          <w:rFonts w:eastAsia="宋体"/>
          <w:lang w:eastAsia="zh-CN"/>
        </w:rPr>
        <w:t xml:space="preserve"> related equation is already sufficient to cover multiple Beam cases.</w:t>
      </w:r>
    </w:p>
    <w:p w14:paraId="5DAA1724" w14:textId="77777777" w:rsidR="00F20936" w:rsidRPr="00F20936" w:rsidRDefault="00F20936" w:rsidP="00F20936">
      <w:pPr>
        <w:overflowPunct/>
        <w:autoSpaceDE/>
        <w:autoSpaceDN/>
        <w:adjustRightInd/>
        <w:jc w:val="both"/>
        <w:textAlignment w:val="auto"/>
        <w:rPr>
          <w:rFonts w:eastAsia="宋体"/>
          <w:b/>
          <w:lang w:eastAsia="zh-CN"/>
        </w:rPr>
      </w:pPr>
      <w:r w:rsidRPr="00F20936">
        <w:rPr>
          <w:rFonts w:eastAsia="宋体" w:hint="eastAsia"/>
          <w:b/>
          <w:lang w:eastAsia="zh-CN"/>
        </w:rPr>
        <w:t>P</w:t>
      </w:r>
      <w:r w:rsidRPr="00F20936">
        <w:rPr>
          <w:rFonts w:eastAsia="宋体"/>
          <w:b/>
          <w:lang w:eastAsia="zh-CN"/>
        </w:rPr>
        <w:t>roposal: No extension of P-MPR or equation is needed. Some clarification note can be considered if deemed necessary.</w:t>
      </w:r>
    </w:p>
    <w:p w14:paraId="34608135" w14:textId="77777777" w:rsidR="002A77E3" w:rsidRPr="00D95EB1" w:rsidRDefault="002A77E3" w:rsidP="00D5776D">
      <w:pPr>
        <w:overflowPunct/>
        <w:autoSpaceDE/>
        <w:autoSpaceDN/>
        <w:adjustRightInd/>
        <w:jc w:val="both"/>
        <w:textAlignment w:val="auto"/>
        <w:rPr>
          <w:rFonts w:eastAsia="宋体"/>
          <w:lang w:val="sv-SE"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5E57C70D" w14:textId="6F75105D" w:rsidR="00920CFB" w:rsidRDefault="00920CFB" w:rsidP="00920CFB">
      <w:pPr>
        <w:pStyle w:val="25"/>
        <w:ind w:leftChars="-10" w:left="264"/>
        <w:rPr>
          <w:rFonts w:eastAsia="宋体"/>
          <w:lang w:eastAsia="zh-CN"/>
        </w:rPr>
      </w:pPr>
      <w:r w:rsidRPr="00C819FE">
        <w:rPr>
          <w:rFonts w:eastAsia="宋体"/>
          <w:lang w:eastAsia="zh-CN"/>
        </w:rPr>
        <w:t xml:space="preserve">[1] </w:t>
      </w:r>
      <w:r>
        <w:rPr>
          <w:rFonts w:eastAsia="宋体"/>
          <w:lang w:eastAsia="zh-CN"/>
        </w:rPr>
        <w:t xml:space="preserve">R4-2120006, </w:t>
      </w:r>
      <w:r w:rsidRPr="00C65475">
        <w:rPr>
          <w:rFonts w:eastAsia="宋体"/>
          <w:lang w:eastAsia="zh-CN"/>
        </w:rPr>
        <w:t xml:space="preserve">WF on </w:t>
      </w:r>
      <w:proofErr w:type="spellStart"/>
      <w:r w:rsidRPr="00C65475">
        <w:rPr>
          <w:rFonts w:eastAsia="宋体"/>
          <w:lang w:eastAsia="zh-CN"/>
        </w:rPr>
        <w:t>FeMIMO</w:t>
      </w:r>
      <w:proofErr w:type="spellEnd"/>
      <w:r w:rsidRPr="00C65475">
        <w:rPr>
          <w:rFonts w:eastAsia="宋体"/>
          <w:lang w:eastAsia="zh-CN"/>
        </w:rPr>
        <w:t xml:space="preserve"> RF</w:t>
      </w:r>
      <w:r>
        <w:rPr>
          <w:rFonts w:eastAsia="宋体"/>
          <w:lang w:eastAsia="zh-CN"/>
        </w:rPr>
        <w:t xml:space="preserve">, </w:t>
      </w:r>
      <w:r w:rsidRPr="00C65475">
        <w:rPr>
          <w:rFonts w:eastAsia="宋体"/>
          <w:lang w:eastAsia="zh-CN"/>
        </w:rPr>
        <w:t>Samsung</w:t>
      </w:r>
      <w:proofErr w:type="gramStart"/>
      <w:r>
        <w:rPr>
          <w:rFonts w:eastAsia="宋体"/>
          <w:lang w:eastAsia="zh-CN"/>
        </w:rPr>
        <w:t>, ,</w:t>
      </w:r>
      <w:proofErr w:type="gramEnd"/>
      <w:r>
        <w:rPr>
          <w:rFonts w:eastAsia="宋体"/>
          <w:lang w:eastAsia="zh-CN"/>
        </w:rPr>
        <w:t xml:space="preserve"> RAN4#101-e</w:t>
      </w:r>
    </w:p>
    <w:p w14:paraId="687C1D08" w14:textId="77777777" w:rsidR="00920CFB" w:rsidRDefault="00920CFB" w:rsidP="00920CFB">
      <w:pPr>
        <w:pStyle w:val="25"/>
        <w:ind w:leftChars="-10" w:left="264"/>
        <w:rPr>
          <w:rFonts w:eastAsia="宋体"/>
          <w:lang w:eastAsia="zh-CN"/>
        </w:rPr>
      </w:pPr>
      <w:r>
        <w:rPr>
          <w:rFonts w:eastAsia="宋体"/>
          <w:lang w:eastAsia="zh-CN"/>
        </w:rPr>
        <w:t xml:space="preserve">[2] </w:t>
      </w:r>
      <w:r w:rsidRPr="001E31F8">
        <w:rPr>
          <w:rFonts w:eastAsia="宋体"/>
          <w:lang w:eastAsia="zh-CN"/>
        </w:rPr>
        <w:t>R4-211</w:t>
      </w:r>
      <w:r>
        <w:rPr>
          <w:rFonts w:eastAsia="宋体"/>
          <w:lang w:eastAsia="zh-CN"/>
        </w:rPr>
        <w:t xml:space="preserve">9932, </w:t>
      </w:r>
      <w:r w:rsidRPr="00C65475">
        <w:rPr>
          <w:rFonts w:eastAsia="宋体"/>
          <w:lang w:eastAsia="zh-CN"/>
        </w:rPr>
        <w:t>Email discussion summary for [101-</w:t>
      </w:r>
      <w:proofErr w:type="gramStart"/>
      <w:r w:rsidRPr="00C65475">
        <w:rPr>
          <w:rFonts w:eastAsia="宋体"/>
          <w:lang w:eastAsia="zh-CN"/>
        </w:rPr>
        <w:t>e][</w:t>
      </w:r>
      <w:proofErr w:type="gramEnd"/>
      <w:r w:rsidRPr="00C65475">
        <w:rPr>
          <w:rFonts w:eastAsia="宋体"/>
          <w:lang w:eastAsia="zh-CN"/>
        </w:rPr>
        <w:t xml:space="preserve">132] </w:t>
      </w:r>
      <w:proofErr w:type="spellStart"/>
      <w:r w:rsidRPr="00C65475">
        <w:rPr>
          <w:rFonts w:eastAsia="宋体"/>
          <w:lang w:eastAsia="zh-CN"/>
        </w:rPr>
        <w:t>NR_feMIMO</w:t>
      </w:r>
      <w:proofErr w:type="spellEnd"/>
      <w:r>
        <w:rPr>
          <w:rFonts w:eastAsia="宋体"/>
          <w:lang w:eastAsia="zh-CN"/>
        </w:rPr>
        <w:t>, Moderator(Samsung), RAN4#101-e</w:t>
      </w:r>
    </w:p>
    <w:p w14:paraId="7C72978A" w14:textId="77777777" w:rsidR="00920CFB" w:rsidRDefault="00920CFB" w:rsidP="00920CFB">
      <w:pPr>
        <w:pStyle w:val="25"/>
        <w:ind w:leftChars="-10" w:left="264"/>
        <w:rPr>
          <w:rFonts w:eastAsia="宋体"/>
          <w:lang w:val="en-US" w:eastAsia="zh-CN"/>
        </w:rPr>
      </w:pPr>
      <w:r>
        <w:rPr>
          <w:rFonts w:eastAsia="宋体" w:hint="eastAsia"/>
          <w:lang w:eastAsia="zh-CN"/>
        </w:rPr>
        <w:t>[</w:t>
      </w:r>
      <w:r>
        <w:rPr>
          <w:rFonts w:eastAsia="宋体"/>
          <w:lang w:eastAsia="zh-CN"/>
        </w:rPr>
        <w:t xml:space="preserve">3] </w:t>
      </w:r>
      <w:r w:rsidRPr="009C6692">
        <w:rPr>
          <w:rFonts w:eastAsia="宋体"/>
          <w:lang w:val="en-US" w:eastAsia="zh-CN"/>
        </w:rPr>
        <w:t>R4-2118288</w:t>
      </w:r>
      <w:r>
        <w:rPr>
          <w:rFonts w:eastAsia="宋体"/>
          <w:lang w:val="en-US" w:eastAsia="zh-CN"/>
        </w:rPr>
        <w:t xml:space="preserve">, </w:t>
      </w:r>
      <w:r w:rsidRPr="009C6692">
        <w:rPr>
          <w:rFonts w:eastAsia="宋体"/>
          <w:lang w:val="en-US" w:eastAsia="zh-CN"/>
        </w:rPr>
        <w:t>Further discussion on impact of multi-panel reception requirements</w:t>
      </w:r>
      <w:r>
        <w:rPr>
          <w:rFonts w:eastAsia="宋体"/>
          <w:lang w:val="en-US" w:eastAsia="zh-CN"/>
        </w:rPr>
        <w:t>, vivo, RAN4#101-e</w:t>
      </w:r>
    </w:p>
    <w:p w14:paraId="13C3EC95" w14:textId="77777777" w:rsidR="00920CFB" w:rsidRPr="00920CFB" w:rsidRDefault="00920CFB" w:rsidP="002A77E3">
      <w:pPr>
        <w:pStyle w:val="25"/>
        <w:ind w:leftChars="-10" w:left="264"/>
        <w:rPr>
          <w:rFonts w:eastAsia="宋体"/>
          <w:lang w:val="en-US" w:eastAsia="zh-CN"/>
        </w:rPr>
      </w:pPr>
    </w:p>
    <w:sectPr w:rsidR="00920CFB" w:rsidRPr="00920CFB"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D4B65" w14:textId="77777777" w:rsidR="00124EB2" w:rsidRDefault="00124EB2">
      <w:r>
        <w:separator/>
      </w:r>
    </w:p>
  </w:endnote>
  <w:endnote w:type="continuationSeparator" w:id="0">
    <w:p w14:paraId="6ED9CABA" w14:textId="77777777" w:rsidR="00124EB2" w:rsidRDefault="0012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6C41B" w14:textId="77777777" w:rsidR="00124EB2" w:rsidRDefault="00124EB2">
      <w:r>
        <w:separator/>
      </w:r>
    </w:p>
  </w:footnote>
  <w:footnote w:type="continuationSeparator" w:id="0">
    <w:p w14:paraId="1BDEDBAC" w14:textId="77777777" w:rsidR="00124EB2" w:rsidRDefault="00124E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1"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7"/>
  </w:num>
  <w:num w:numId="2">
    <w:abstractNumId w:val="13"/>
  </w:num>
  <w:num w:numId="3">
    <w:abstractNumId w:val="15"/>
  </w:num>
  <w:num w:numId="4">
    <w:abstractNumId w:val="24"/>
  </w:num>
  <w:num w:numId="5">
    <w:abstractNumId w:val="10"/>
  </w:num>
  <w:num w:numId="6">
    <w:abstractNumId w:val="5"/>
  </w:num>
  <w:num w:numId="7">
    <w:abstractNumId w:val="16"/>
  </w:num>
  <w:num w:numId="8">
    <w:abstractNumId w:val="1"/>
  </w:num>
  <w:num w:numId="9">
    <w:abstractNumId w:val="2"/>
  </w:num>
  <w:num w:numId="10">
    <w:abstractNumId w:val="23"/>
  </w:num>
  <w:num w:numId="11">
    <w:abstractNumId w:val="9"/>
  </w:num>
  <w:num w:numId="12">
    <w:abstractNumId w:val="18"/>
  </w:num>
  <w:num w:numId="13">
    <w:abstractNumId w:val="20"/>
  </w:num>
  <w:num w:numId="14">
    <w:abstractNumId w:val="14"/>
  </w:num>
  <w:num w:numId="15">
    <w:abstractNumId w:val="19"/>
  </w:num>
  <w:num w:numId="16">
    <w:abstractNumId w:val="8"/>
  </w:num>
  <w:num w:numId="17">
    <w:abstractNumId w:val="3"/>
  </w:num>
  <w:num w:numId="18">
    <w:abstractNumId w:val="25"/>
  </w:num>
  <w:num w:numId="19">
    <w:abstractNumId w:val="4"/>
  </w:num>
  <w:num w:numId="20">
    <w:abstractNumId w:val="0"/>
  </w:num>
  <w:num w:numId="21">
    <w:abstractNumId w:val="12"/>
  </w:num>
  <w:num w:numId="22">
    <w:abstractNumId w:val="11"/>
  </w:num>
  <w:num w:numId="23">
    <w:abstractNumId w:val="17"/>
  </w:num>
  <w:num w:numId="24">
    <w:abstractNumId w:val="6"/>
  </w:num>
  <w:num w:numId="25">
    <w:abstractNumId w:val="17"/>
  </w:num>
  <w:num w:numId="26">
    <w:abstractNumId w:val="22"/>
  </w:num>
  <w:num w:numId="2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1FC"/>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55"/>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B50"/>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02AB"/>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4EB2"/>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7FC"/>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784"/>
    <w:rsid w:val="001A6C85"/>
    <w:rsid w:val="001A7BF1"/>
    <w:rsid w:val="001B015A"/>
    <w:rsid w:val="001B0330"/>
    <w:rsid w:val="001B044D"/>
    <w:rsid w:val="001B04A1"/>
    <w:rsid w:val="001B0B7A"/>
    <w:rsid w:val="001B0D44"/>
    <w:rsid w:val="001B0EA1"/>
    <w:rsid w:val="001B14C1"/>
    <w:rsid w:val="001B15B6"/>
    <w:rsid w:val="001B16F1"/>
    <w:rsid w:val="001B2063"/>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1DEA"/>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467"/>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33"/>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603"/>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285"/>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2CCF"/>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0CFB"/>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6EC"/>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2EDB"/>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3A0"/>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86F"/>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47D18"/>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3B08"/>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936"/>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3F6C"/>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 w:type="character" w:customStyle="1" w:styleId="apple-converted-space">
    <w:name w:val="apple-converted-space"/>
    <w:basedOn w:val="a2"/>
    <w:rsid w:val="0098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162644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04876-B4F6-4BF3-9CCC-165EA823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3404</TotalTime>
  <Pages>2</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3860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20</cp:revision>
  <cp:lastPrinted>2010-01-07T02:23:00Z</cp:lastPrinted>
  <dcterms:created xsi:type="dcterms:W3CDTF">2021-10-09T06:14:00Z</dcterms:created>
  <dcterms:modified xsi:type="dcterms:W3CDTF">2022-01-10T15:04:00Z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