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101-bis-e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w:t>
      </w:r>
      <w:bookmarkStart w:id="4" w:name="_GoBack"/>
      <w:r>
        <w:rPr>
          <w:rFonts w:hint="eastAsia" w:ascii="Arial" w:hAnsi="Arial" w:eastAsia="宋体" w:cs="Times New Roman"/>
          <w:b/>
          <w:bCs/>
          <w:sz w:val="24"/>
          <w:szCs w:val="24"/>
          <w:lang w:val="en-US" w:eastAsia="zh-CN"/>
        </w:rPr>
        <w:t>4-</w:t>
      </w:r>
      <w:r>
        <w:rPr>
          <w:rFonts w:hint="eastAsia" w:ascii="Arial" w:hAnsi="Arial" w:eastAsia="宋体" w:cs="Times New Roman"/>
          <w:b/>
          <w:bCs/>
          <w:sz w:val="24"/>
          <w:szCs w:val="24"/>
          <w:lang w:val="en-GB"/>
        </w:rPr>
        <w:t>2200742</w:t>
      </w:r>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ascii="Arial" w:hAnsi="Arial" w:eastAsia="宋体" w:cs="Arial"/>
          <w:b/>
          <w:sz w:val="24"/>
          <w:szCs w:val="24"/>
          <w:lang w:eastAsia="zh-CN"/>
        </w:rPr>
        <w:t>January 17-25,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eastAsia"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Other RRM requirements for FR2 inter-band DL CA requirements for CBM</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6.4.6.1.2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jc w:val="both"/>
        <w:rPr>
          <w:rFonts w:hint="default" w:eastAsia="宋体"/>
          <w:sz w:val="22"/>
          <w:lang w:val="en-US" w:eastAsia="zh-CN"/>
        </w:rPr>
      </w:pPr>
      <w:r>
        <w:rPr>
          <w:rFonts w:hint="eastAsia" w:eastAsia="宋体"/>
          <w:sz w:val="22"/>
          <w:lang w:val="en-US" w:eastAsia="zh-CN"/>
        </w:rPr>
        <w:t xml:space="preserve">In the last 101-e meeting, RRM requirements for FR2 inter-band CA for CBM have been discussed and a WF document was approved[1]. In this contribution ,we further provide our views on the open issues about </w:t>
      </w:r>
      <w:r>
        <w:rPr>
          <w:rFonts w:hint="eastAsia" w:eastAsia="宋体"/>
          <w:sz w:val="22"/>
          <w:lang w:val="en-US" w:eastAsia="ko-KR"/>
        </w:rPr>
        <w:t>SCell activation delay</w:t>
      </w:r>
      <w:r>
        <w:rPr>
          <w:rFonts w:hint="eastAsia" w:eastAsia="宋体"/>
          <w:sz w:val="22"/>
          <w:lang w:val="en-US" w:eastAsia="zh-CN"/>
        </w:rPr>
        <w:t>.</w:t>
      </w:r>
      <w:r>
        <w:rPr>
          <w:rFonts w:hint="eastAsia" w:eastAsia="宋体"/>
          <w:sz w:val="22"/>
          <w:lang w:val="en-US" w:eastAsia="ko-KR"/>
        </w:rPr>
        <w:t xml:space="preserve"> </w:t>
      </w:r>
    </w:p>
    <w:p>
      <w:pPr>
        <w:pStyle w:val="29"/>
        <w:numPr>
          <w:ilvl w:val="0"/>
          <w:numId w:val="6"/>
        </w:numPr>
        <w:jc w:val="both"/>
        <w:rPr>
          <w:rFonts w:hint="eastAsia"/>
          <w:lang w:val="en-US" w:eastAsia="zh-CN"/>
        </w:rPr>
      </w:pPr>
      <w:r>
        <w:rPr>
          <w:rFonts w:hint="eastAsia"/>
          <w:lang w:val="en-US" w:eastAsia="zh-CN"/>
        </w:rPr>
        <w:t>Discussion</w:t>
      </w:r>
    </w:p>
    <w:p>
      <w:pPr>
        <w:jc w:val="both"/>
        <w:rPr>
          <w:rFonts w:hint="eastAsia" w:eastAsia="宋体"/>
          <w:sz w:val="22"/>
          <w:lang w:val="en-US" w:eastAsia="zh-CN"/>
        </w:rPr>
      </w:pPr>
      <w:r>
        <w:rPr>
          <w:rFonts w:hint="eastAsia" w:eastAsia="宋体"/>
          <w:sz w:val="22"/>
          <w:lang w:val="en-US" w:eastAsia="zh-CN"/>
        </w:rPr>
        <w:t xml:space="preserve">The following issues about </w:t>
      </w:r>
      <w:r>
        <w:rPr>
          <w:rFonts w:hint="eastAsia" w:eastAsia="宋体"/>
          <w:sz w:val="22"/>
          <w:lang w:val="en-US" w:eastAsia="ko-KR"/>
        </w:rPr>
        <w:t>SCell activation delay</w:t>
      </w:r>
      <w:r>
        <w:rPr>
          <w:rFonts w:hint="eastAsia" w:eastAsia="宋体"/>
          <w:sz w:val="22"/>
          <w:lang w:val="en-US" w:eastAsia="zh-CN"/>
        </w:rPr>
        <w:t xml:space="preserve"> are open for discussion:</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pBdr>
                <w:top w:val="none" w:color="auto" w:sz="0" w:space="0"/>
                <w:left w:val="none" w:color="auto" w:sz="0" w:space="0"/>
                <w:bottom w:val="none" w:color="auto" w:sz="0" w:space="0"/>
                <w:right w:val="none" w:color="auto" w:sz="0" w:space="0"/>
              </w:pBdr>
              <w:spacing w:before="240"/>
              <w:rPr>
                <w:b/>
                <w:color w:val="auto"/>
                <w:u w:val="single"/>
                <w:lang w:eastAsia="ko-KR"/>
              </w:rPr>
            </w:pPr>
            <w:r>
              <w:rPr>
                <w:iCs/>
                <w:color w:val="000000" w:themeColor="text1"/>
                <w:lang w:eastAsia="zh-CN"/>
                <w14:textFill>
                  <w14:solidFill>
                    <w14:schemeClr w14:val="tx1"/>
                  </w14:solidFill>
                </w14:textFill>
              </w:rPr>
              <w:t xml:space="preserve"> </w:t>
            </w:r>
            <w:r>
              <w:rPr>
                <w:b/>
                <w:color w:val="auto"/>
                <w:u w:val="single"/>
                <w:lang w:eastAsia="ko-KR"/>
              </w:rPr>
              <w:t xml:space="preserve">Issue 1-2-4: SCell activation delay </w:t>
            </w:r>
          </w:p>
          <w:p>
            <w:pPr>
              <w:pBdr>
                <w:top w:val="none" w:color="auto" w:sz="0" w:space="0"/>
                <w:left w:val="none" w:color="auto" w:sz="0" w:space="0"/>
                <w:bottom w:val="none" w:color="auto" w:sz="0" w:space="0"/>
                <w:right w:val="none" w:color="auto" w:sz="0" w:space="0"/>
              </w:pBdr>
              <w:rPr>
                <w:rFonts w:cstheme="minorHAnsi"/>
                <w:color w:val="auto"/>
              </w:rPr>
            </w:pPr>
            <w:r>
              <w:rPr>
                <w:rFonts w:eastAsiaTheme="minorEastAsia"/>
                <w:i/>
                <w:color w:val="auto"/>
                <w:lang w:val="en-US" w:eastAsia="zh-CN"/>
              </w:rPr>
              <w:t xml:space="preserve">Candidate options: </w:t>
            </w:r>
          </w:p>
          <w:p>
            <w:pPr>
              <w:pBdr>
                <w:top w:val="none" w:color="auto" w:sz="0" w:space="0"/>
                <w:left w:val="none" w:color="auto" w:sz="0" w:space="0"/>
                <w:bottom w:val="none" w:color="auto" w:sz="0" w:space="0"/>
                <w:right w:val="none" w:color="auto" w:sz="0" w:space="0"/>
              </w:pBdr>
              <w:ind w:left="284"/>
              <w:rPr>
                <w:b/>
                <w:color w:val="auto"/>
                <w:u w:val="single"/>
                <w:lang w:eastAsia="ko-KR"/>
              </w:rPr>
            </w:pPr>
            <w:r>
              <w:rPr>
                <w:b/>
                <w:color w:val="auto"/>
                <w:u w:val="single"/>
                <w:lang w:eastAsia="ko-KR"/>
              </w:rPr>
              <w:t>Issue1-2-4-2: Can AGC settling time be reduced for UE owing to following AGC settling in Pcell/PSCell?</w:t>
            </w:r>
          </w:p>
          <w:p>
            <w:pPr>
              <w:pStyle w:val="27"/>
              <w:numPr>
                <w:ilvl w:val="1"/>
                <w:numId w:val="7"/>
              </w:numPr>
              <w:pBdr>
                <w:top w:val="none" w:color="auto" w:sz="0" w:space="0"/>
                <w:left w:val="none" w:color="auto" w:sz="0" w:space="0"/>
                <w:bottom w:val="none" w:color="auto" w:sz="0" w:space="0"/>
                <w:right w:val="none" w:color="auto" w:sz="0" w:space="0"/>
              </w:pBdr>
              <w:overflowPunct/>
              <w:autoSpaceDE/>
              <w:autoSpaceDN/>
              <w:adjustRightInd/>
              <w:spacing w:after="120" w:line="259" w:lineRule="auto"/>
              <w:ind w:left="1010" w:firstLineChars="0"/>
              <w:textAlignment w:val="auto"/>
              <w:rPr>
                <w:rFonts w:cstheme="minorHAnsi"/>
                <w:color w:val="auto"/>
              </w:rPr>
            </w:pPr>
            <w:r>
              <w:rPr>
                <w:rFonts w:cstheme="minorHAnsi"/>
                <w:color w:val="auto"/>
              </w:rPr>
              <w:t>Option 1: Yes (Nokia, Huawei, Qualcomm)</w:t>
            </w:r>
          </w:p>
          <w:p>
            <w:pPr>
              <w:pStyle w:val="27"/>
              <w:numPr>
                <w:ilvl w:val="2"/>
                <w:numId w:val="8"/>
              </w:numPr>
              <w:pBdr>
                <w:top w:val="none" w:color="auto" w:sz="0" w:space="0"/>
                <w:left w:val="none" w:color="auto" w:sz="0" w:space="0"/>
                <w:bottom w:val="none" w:color="auto" w:sz="0" w:space="0"/>
                <w:right w:val="none" w:color="auto" w:sz="0" w:space="0"/>
              </w:pBdr>
              <w:overflowPunct/>
              <w:autoSpaceDE/>
              <w:adjustRightInd/>
              <w:spacing w:after="120" w:line="256" w:lineRule="auto"/>
              <w:ind w:left="1148" w:firstLineChars="0"/>
              <w:textAlignment w:val="auto"/>
              <w:rPr>
                <w:rFonts w:cstheme="minorHAnsi"/>
                <w:color w:val="auto"/>
              </w:rPr>
            </w:pPr>
            <w:r>
              <w:rPr>
                <w:rFonts w:cstheme="minorHAnsi"/>
                <w:color w:val="auto"/>
              </w:rPr>
              <w:t>If RTD &lt; X (Nokia)</w:t>
            </w:r>
          </w:p>
          <w:p>
            <w:pPr>
              <w:pStyle w:val="27"/>
              <w:numPr>
                <w:ilvl w:val="2"/>
                <w:numId w:val="8"/>
              </w:numPr>
              <w:pBdr>
                <w:top w:val="none" w:color="auto" w:sz="0" w:space="0"/>
                <w:left w:val="none" w:color="auto" w:sz="0" w:space="0"/>
                <w:bottom w:val="none" w:color="auto" w:sz="0" w:space="0"/>
                <w:right w:val="none" w:color="auto" w:sz="0" w:space="0"/>
              </w:pBdr>
              <w:overflowPunct/>
              <w:autoSpaceDE/>
              <w:adjustRightInd/>
              <w:spacing w:after="120" w:line="256" w:lineRule="auto"/>
              <w:ind w:left="1148" w:firstLineChars="0"/>
              <w:textAlignment w:val="auto"/>
              <w:rPr>
                <w:rFonts w:cstheme="minorHAnsi"/>
                <w:color w:val="auto"/>
              </w:rPr>
            </w:pPr>
            <w:r>
              <w:rPr>
                <w:bCs/>
                <w:color w:val="auto"/>
                <w:lang w:eastAsia="ko-KR"/>
              </w:rPr>
              <w:t>If this is about the number of required SSB bursts for coarse and fine AGC</w:t>
            </w:r>
          </w:p>
          <w:p>
            <w:pPr>
              <w:pStyle w:val="27"/>
              <w:numPr>
                <w:ilvl w:val="1"/>
                <w:numId w:val="7"/>
              </w:numPr>
              <w:pBdr>
                <w:top w:val="none" w:color="auto" w:sz="0" w:space="0"/>
                <w:left w:val="none" w:color="auto" w:sz="0" w:space="0"/>
                <w:bottom w:val="none" w:color="auto" w:sz="0" w:space="0"/>
                <w:right w:val="none" w:color="auto" w:sz="0" w:space="0"/>
              </w:pBdr>
              <w:overflowPunct/>
              <w:autoSpaceDE/>
              <w:autoSpaceDN/>
              <w:adjustRightInd/>
              <w:spacing w:after="120" w:line="259" w:lineRule="auto"/>
              <w:ind w:left="1010" w:firstLineChars="0"/>
              <w:textAlignment w:val="auto"/>
              <w:rPr>
                <w:rFonts w:cstheme="minorHAnsi"/>
                <w:color w:val="auto"/>
              </w:rPr>
            </w:pPr>
            <w:r>
              <w:rPr>
                <w:rFonts w:cstheme="minorHAnsi"/>
                <w:color w:val="auto"/>
              </w:rPr>
              <w:t>Option 2: No (</w:t>
            </w:r>
            <w:r>
              <w:rPr>
                <w:rFonts w:eastAsia="宋体"/>
                <w:color w:val="auto"/>
                <w:szCs w:val="24"/>
                <w:lang w:val="en-US" w:eastAsia="zh-CN"/>
              </w:rPr>
              <w:t>Mediatek</w:t>
            </w:r>
            <w:r>
              <w:rPr>
                <w:rFonts w:cstheme="minorHAnsi"/>
                <w:color w:val="auto"/>
              </w:rPr>
              <w:t>, OPPO, ZTE, Vivo, Ericsson, Apple)</w:t>
            </w:r>
          </w:p>
          <w:p>
            <w:pPr>
              <w:pStyle w:val="27"/>
              <w:numPr>
                <w:ilvl w:val="2"/>
                <w:numId w:val="8"/>
              </w:numPr>
              <w:pBdr>
                <w:top w:val="none" w:color="auto" w:sz="0" w:space="0"/>
                <w:left w:val="none" w:color="auto" w:sz="0" w:space="0"/>
                <w:bottom w:val="none" w:color="auto" w:sz="0" w:space="0"/>
                <w:right w:val="none" w:color="auto" w:sz="0" w:space="0"/>
              </w:pBdr>
              <w:overflowPunct/>
              <w:autoSpaceDE/>
              <w:adjustRightInd/>
              <w:spacing w:after="120" w:line="256" w:lineRule="auto"/>
              <w:ind w:left="1148" w:firstLineChars="0"/>
              <w:textAlignment w:val="auto"/>
              <w:rPr>
                <w:rFonts w:cstheme="minorHAnsi"/>
                <w:color w:val="auto"/>
              </w:rPr>
            </w:pPr>
            <w:r>
              <w:rPr>
                <w:rFonts w:cstheme="minorHAnsi"/>
                <w:color w:val="auto"/>
              </w:rPr>
              <w:t>If RTD &gt; X (Nokia)</w:t>
            </w:r>
          </w:p>
          <w:p>
            <w:pPr>
              <w:pStyle w:val="27"/>
              <w:pBdr>
                <w:top w:val="none" w:color="auto" w:sz="0" w:space="0"/>
                <w:left w:val="none" w:color="auto" w:sz="0" w:space="0"/>
                <w:bottom w:val="none" w:color="auto" w:sz="0" w:space="0"/>
                <w:right w:val="none" w:color="auto" w:sz="0" w:space="0"/>
              </w:pBdr>
              <w:overflowPunct/>
              <w:autoSpaceDE/>
              <w:autoSpaceDN/>
              <w:adjustRightInd/>
              <w:spacing w:after="120" w:line="259" w:lineRule="auto"/>
              <w:ind w:left="1294" w:firstLine="0" w:firstLineChars="0"/>
              <w:textAlignment w:val="auto"/>
              <w:rPr>
                <w:rFonts w:cstheme="minorHAnsi"/>
                <w:color w:val="auto"/>
              </w:rPr>
            </w:pPr>
          </w:p>
          <w:p>
            <w:pPr>
              <w:pBdr>
                <w:top w:val="none" w:color="auto" w:sz="0" w:space="0"/>
                <w:left w:val="none" w:color="auto" w:sz="0" w:space="0"/>
                <w:bottom w:val="none" w:color="auto" w:sz="0" w:space="0"/>
                <w:right w:val="none" w:color="auto" w:sz="0" w:space="0"/>
              </w:pBdr>
              <w:ind w:left="284"/>
              <w:rPr>
                <w:b/>
                <w:color w:val="auto"/>
                <w:u w:val="single"/>
                <w:lang w:eastAsia="ko-KR"/>
              </w:rPr>
            </w:pPr>
            <w:r>
              <w:rPr>
                <w:b/>
                <w:color w:val="auto"/>
                <w:u w:val="single"/>
                <w:lang w:eastAsia="ko-KR"/>
              </w:rPr>
              <w:t>Issue1-2-4-3: Can TCI state indication and CSI reporting can be skipped for both semi-persistent and periodic CSI reporting?</w:t>
            </w:r>
          </w:p>
          <w:p>
            <w:pPr>
              <w:pStyle w:val="27"/>
              <w:numPr>
                <w:ilvl w:val="1"/>
                <w:numId w:val="7"/>
              </w:numPr>
              <w:pBdr>
                <w:top w:val="none" w:color="auto" w:sz="0" w:space="0"/>
                <w:left w:val="none" w:color="auto" w:sz="0" w:space="0"/>
                <w:bottom w:val="none" w:color="auto" w:sz="0" w:space="0"/>
                <w:right w:val="none" w:color="auto" w:sz="0" w:space="0"/>
              </w:pBdr>
              <w:overflowPunct/>
              <w:autoSpaceDE/>
              <w:autoSpaceDN/>
              <w:adjustRightInd/>
              <w:spacing w:after="120" w:line="259" w:lineRule="auto"/>
              <w:ind w:left="1010" w:firstLineChars="0"/>
              <w:textAlignment w:val="auto"/>
              <w:rPr>
                <w:rFonts w:cstheme="minorHAnsi"/>
                <w:color w:val="auto"/>
              </w:rPr>
            </w:pPr>
            <w:r>
              <w:rPr>
                <w:rFonts w:cstheme="minorHAnsi"/>
                <w:color w:val="auto"/>
              </w:rPr>
              <w:t>Option 1: Yes (ZTE, Nokia, Ericsson)</w:t>
            </w:r>
          </w:p>
          <w:p>
            <w:pPr>
              <w:pStyle w:val="27"/>
              <w:numPr>
                <w:ilvl w:val="1"/>
                <w:numId w:val="7"/>
              </w:numPr>
              <w:pBdr>
                <w:top w:val="none" w:color="auto" w:sz="0" w:space="0"/>
                <w:left w:val="none" w:color="auto" w:sz="0" w:space="0"/>
                <w:bottom w:val="none" w:color="auto" w:sz="0" w:space="0"/>
                <w:right w:val="none" w:color="auto" w:sz="0" w:space="0"/>
              </w:pBdr>
              <w:overflowPunct/>
              <w:autoSpaceDE/>
              <w:autoSpaceDN/>
              <w:adjustRightInd/>
              <w:spacing w:after="120" w:line="259" w:lineRule="auto"/>
              <w:ind w:left="1010" w:firstLineChars="0"/>
              <w:textAlignment w:val="auto"/>
              <w:rPr>
                <w:rFonts w:cstheme="minorHAnsi"/>
                <w:color w:val="auto"/>
              </w:rPr>
            </w:pPr>
            <w:r>
              <w:rPr>
                <w:rFonts w:cstheme="minorHAnsi"/>
                <w:color w:val="auto"/>
              </w:rPr>
              <w:t>Option 2: No (Mediatek, Qualcomm, Vivo, Apple)</w:t>
            </w:r>
          </w:p>
          <w:p>
            <w:pPr>
              <w:pStyle w:val="27"/>
              <w:numPr>
                <w:ilvl w:val="1"/>
                <w:numId w:val="7"/>
              </w:numPr>
              <w:pBdr>
                <w:top w:val="none" w:color="auto" w:sz="0" w:space="0"/>
                <w:left w:val="none" w:color="auto" w:sz="0" w:space="0"/>
                <w:bottom w:val="none" w:color="auto" w:sz="0" w:space="0"/>
                <w:right w:val="none" w:color="auto" w:sz="0" w:space="0"/>
              </w:pBdr>
              <w:overflowPunct/>
              <w:autoSpaceDE/>
              <w:autoSpaceDN/>
              <w:adjustRightInd/>
              <w:spacing w:after="120" w:line="259" w:lineRule="auto"/>
              <w:ind w:left="1010" w:firstLineChars="0"/>
              <w:textAlignment w:val="auto"/>
              <w:rPr>
                <w:rFonts w:cstheme="minorHAnsi"/>
                <w:color w:val="auto"/>
              </w:rPr>
            </w:pPr>
            <w:r>
              <w:rPr>
                <w:rFonts w:cstheme="minorHAnsi"/>
                <w:color w:val="auto"/>
              </w:rPr>
              <w:t>Option 3: Only TCI state indication can be skipped (Huawei)</w:t>
            </w:r>
          </w:p>
          <w:p>
            <w:pPr>
              <w:pStyle w:val="27"/>
              <w:numPr>
                <w:ilvl w:val="1"/>
                <w:numId w:val="7"/>
              </w:numPr>
              <w:pBdr>
                <w:top w:val="none" w:color="auto" w:sz="0" w:space="0"/>
                <w:left w:val="none" w:color="auto" w:sz="0" w:space="0"/>
                <w:bottom w:val="none" w:color="auto" w:sz="0" w:space="0"/>
                <w:right w:val="none" w:color="auto" w:sz="0" w:space="0"/>
              </w:pBdr>
              <w:overflowPunct/>
              <w:autoSpaceDE/>
              <w:autoSpaceDN/>
              <w:adjustRightInd/>
              <w:spacing w:after="120" w:line="259" w:lineRule="auto"/>
              <w:ind w:left="1010" w:firstLineChars="0"/>
              <w:textAlignment w:val="auto"/>
              <w:rPr>
                <w:rFonts w:cstheme="minorHAnsi"/>
                <w:color w:val="auto"/>
              </w:rPr>
            </w:pPr>
            <w:r>
              <w:rPr>
                <w:rFonts w:cstheme="minorHAnsi"/>
                <w:color w:val="auto"/>
              </w:rPr>
              <w:t>Option 4: consider defining requirements for following cases</w:t>
            </w:r>
          </w:p>
          <w:p>
            <w:pPr>
              <w:pStyle w:val="27"/>
              <w:numPr>
                <w:ilvl w:val="2"/>
                <w:numId w:val="7"/>
              </w:numPr>
              <w:pBdr>
                <w:top w:val="none" w:color="auto" w:sz="0" w:space="0"/>
                <w:left w:val="none" w:color="auto" w:sz="0" w:space="0"/>
                <w:bottom w:val="none" w:color="auto" w:sz="0" w:space="0"/>
                <w:right w:val="none" w:color="auto" w:sz="0" w:space="0"/>
              </w:pBdr>
              <w:spacing w:after="120" w:line="259" w:lineRule="auto"/>
              <w:ind w:left="2376" w:leftChars="0" w:hanging="360" w:firstLineChars="0"/>
              <w:rPr>
                <w:rFonts w:cstheme="minorHAnsi"/>
                <w:color w:val="auto"/>
              </w:rPr>
            </w:pPr>
            <w:r>
              <w:rPr>
                <w:rFonts w:cstheme="minorHAnsi"/>
                <w:color w:val="auto"/>
              </w:rPr>
              <w:t>SCell have same TCI with PCell/PSCell (TCI indication is not needed, hence uncertainty mac is not needed)</w:t>
            </w:r>
          </w:p>
          <w:p>
            <w:pPr>
              <w:pStyle w:val="27"/>
              <w:numPr>
                <w:ilvl w:val="2"/>
                <w:numId w:val="7"/>
              </w:numPr>
              <w:pBdr>
                <w:top w:val="none" w:color="auto" w:sz="0" w:space="0"/>
                <w:left w:val="none" w:color="auto" w:sz="0" w:space="0"/>
                <w:bottom w:val="none" w:color="auto" w:sz="0" w:space="0"/>
                <w:right w:val="none" w:color="auto" w:sz="0" w:space="0"/>
              </w:pBdr>
              <w:spacing w:after="120" w:line="259" w:lineRule="auto"/>
              <w:ind w:left="2376" w:leftChars="0" w:hanging="360" w:firstLineChars="0"/>
            </w:pPr>
            <w:r>
              <w:rPr>
                <w:rFonts w:cstheme="minorHAnsi"/>
                <w:color w:val="auto"/>
              </w:rPr>
              <w:t>SCell have different TCI with PCell/PSCell (TCI indication is needed, hence uncertainty mac is needed)</w:t>
            </w:r>
          </w:p>
        </w:tc>
      </w:tr>
    </w:tbl>
    <w:p>
      <w:pPr>
        <w:rPr>
          <w:rFonts w:hint="eastAsia" w:eastAsia="宋体"/>
          <w:color w:val="000000" w:themeColor="text1"/>
          <w:szCs w:val="18"/>
          <w:lang w:val="en-US" w:eastAsia="zh-CN"/>
          <w14:textFill>
            <w14:solidFill>
              <w14:schemeClr w14:val="tx1"/>
            </w14:solidFill>
          </w14:textFill>
        </w:rPr>
      </w:pPr>
    </w:p>
    <w:p>
      <w:pPr>
        <w:rPr>
          <w:rFonts w:hint="default" w:eastAsia="宋体"/>
          <w:color w:val="000000" w:themeColor="text1"/>
          <w:szCs w:val="18"/>
          <w:lang w:val="en-US" w:eastAsia="zh-CN"/>
          <w14:textFill>
            <w14:solidFill>
              <w14:schemeClr w14:val="tx1"/>
            </w14:solidFill>
          </w14:textFill>
        </w:rPr>
      </w:pPr>
      <w:r>
        <w:rPr>
          <w:rFonts w:hint="eastAsia" w:eastAsia="宋体"/>
          <w:color w:val="000000" w:themeColor="text1"/>
          <w:szCs w:val="18"/>
          <w:lang w:val="en-US" w:eastAsia="zh-CN"/>
          <w14:textFill>
            <w14:solidFill>
              <w14:schemeClr w14:val="tx1"/>
            </w14:solidFill>
          </w14:textFill>
        </w:rPr>
        <w:t>According to RF session discussion and the agreement[2], RAN4 agrees to define CBM requirements in such manner that both single chain and multi chain architectures are possible. Thus it is possible for the UE to implement separate or same RF chain for CBM. If the same RF chain is applied for CBM UE, AGC setting time may be reduced. However, if separate RF chain is applied, AGC setting time cannot be reduced. It is suggested to consider the delay requirement to fulfill the worst case.</w:t>
      </w:r>
    </w:p>
    <w:p>
      <w:pPr>
        <w:rPr>
          <w:rFonts w:hint="default" w:eastAsia="宋体"/>
          <w:b/>
          <w:bCs/>
          <w:color w:val="000000" w:themeColor="text1"/>
          <w:szCs w:val="18"/>
          <w:lang w:val="en-US"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Proposal 1:</w:t>
      </w:r>
      <w:r>
        <w:rPr>
          <w:rFonts w:hint="eastAsia"/>
          <w:b/>
          <w:bCs/>
          <w:sz w:val="20"/>
          <w:szCs w:val="15"/>
          <w:lang w:val="en-US" w:eastAsia="zh-CN"/>
        </w:rPr>
        <w:t xml:space="preserve">AGC settling time cannot be reduced for </w:t>
      </w:r>
      <w:r>
        <w:rPr>
          <w:rFonts w:hint="eastAsia"/>
          <w:b/>
          <w:bCs/>
          <w:sz w:val="20"/>
          <w:szCs w:val="15"/>
          <w:lang w:val="en-US" w:eastAsia="ko-KR"/>
        </w:rPr>
        <w:t xml:space="preserve">SCell activation delay </w:t>
      </w:r>
      <w:r>
        <w:rPr>
          <w:rFonts w:hint="eastAsia"/>
          <w:b/>
          <w:bCs/>
          <w:sz w:val="20"/>
          <w:szCs w:val="15"/>
          <w:lang w:val="en-US" w:eastAsia="zh-CN"/>
        </w:rPr>
        <w:t>requirement.</w:t>
      </w:r>
    </w:p>
    <w:p>
      <w:pPr>
        <w:numPr>
          <w:ilvl w:val="0"/>
          <w:numId w:val="0"/>
        </w:numPr>
        <w:overflowPunct w:val="0"/>
        <w:autoSpaceDE w:val="0"/>
        <w:autoSpaceDN w:val="0"/>
        <w:adjustRightInd w:val="0"/>
        <w:spacing w:after="120"/>
        <w:ind w:leftChars="0"/>
        <w:textAlignment w:val="baseline"/>
        <w:rPr>
          <w:rFonts w:hint="eastAsia" w:cs="Times New Roman"/>
          <w:b w:val="0"/>
          <w:bCs w:val="0"/>
          <w:kern w:val="2"/>
          <w:sz w:val="21"/>
          <w:szCs w:val="22"/>
          <w:u w:val="none"/>
          <w:vertAlign w:val="baseline"/>
          <w:lang w:val="en-US" w:eastAsia="zh-CN" w:bidi="ar-SA"/>
        </w:rPr>
      </w:pPr>
    </w:p>
    <w:p>
      <w:pPr>
        <w:rPr>
          <w:rFonts w:hint="default" w:eastAsia="宋体"/>
          <w:color w:val="000000" w:themeColor="text1"/>
          <w:szCs w:val="18"/>
          <w:lang w:val="en-US" w:eastAsia="zh-CN"/>
          <w14:textFill>
            <w14:solidFill>
              <w14:schemeClr w14:val="tx1"/>
            </w14:solidFill>
          </w14:textFill>
        </w:rPr>
      </w:pPr>
      <w:r>
        <w:rPr>
          <w:rFonts w:hint="eastAsia" w:eastAsia="宋体"/>
          <w:color w:val="000000" w:themeColor="text1"/>
          <w:szCs w:val="18"/>
          <w:lang w:val="en-US" w:eastAsia="zh-CN"/>
          <w14:textFill>
            <w14:solidFill>
              <w14:schemeClr w14:val="tx1"/>
            </w14:solidFill>
          </w14:textFill>
        </w:rPr>
        <w:t xml:space="preserve">UE performs CBM for PCell and target SCell in FR2. Since the beam characteristic for SCell could be regarded as the same as that of the </w:t>
      </w:r>
      <w:r>
        <w:rPr>
          <w:rFonts w:hint="eastAsia" w:eastAsia="宋体"/>
          <w:lang w:val="en-US" w:eastAsia="zh-CN"/>
        </w:rPr>
        <w:t xml:space="preserve">PCell, the </w:t>
      </w:r>
      <w:r>
        <w:rPr>
          <w:rFonts w:hint="eastAsia" w:eastAsia="宋体"/>
          <w:color w:val="000000" w:themeColor="text1"/>
          <w:szCs w:val="18"/>
          <w:lang w:val="en-US" w:eastAsia="ko-KR"/>
          <w14:textFill>
            <w14:solidFill>
              <w14:schemeClr w14:val="tx1"/>
            </w14:solidFill>
          </w14:textFill>
        </w:rPr>
        <w:t>TCI state indication</w:t>
      </w:r>
      <w:r>
        <w:rPr>
          <w:rFonts w:hint="eastAsia" w:eastAsia="宋体"/>
          <w:color w:val="000000" w:themeColor="text1"/>
          <w:szCs w:val="18"/>
          <w:lang w:val="en-US" w:eastAsia="zh-CN"/>
          <w14:textFill>
            <w14:solidFill>
              <w14:schemeClr w14:val="tx1"/>
            </w14:solidFill>
          </w14:textFill>
        </w:rPr>
        <w:t xml:space="preserve"> and </w:t>
      </w:r>
      <w:r>
        <w:rPr>
          <w:rFonts w:hint="eastAsia" w:eastAsia="宋体"/>
          <w:color w:val="000000" w:themeColor="text1"/>
          <w:szCs w:val="18"/>
          <w:lang w:val="en-US" w:eastAsia="ko-KR"/>
          <w14:textFill>
            <w14:solidFill>
              <w14:schemeClr w14:val="tx1"/>
            </w14:solidFill>
          </w14:textFill>
        </w:rPr>
        <w:t>CSI reporting</w:t>
      </w:r>
      <w:r>
        <w:rPr>
          <w:rFonts w:hint="eastAsia" w:eastAsia="宋体"/>
          <w:color w:val="000000" w:themeColor="text1"/>
          <w:szCs w:val="18"/>
          <w:lang w:val="en-US" w:eastAsia="zh-CN"/>
          <w14:textFill>
            <w14:solidFill>
              <w14:schemeClr w14:val="tx1"/>
            </w14:solidFill>
          </w14:textFill>
        </w:rPr>
        <w:t xml:space="preserve"> could be reused for the case of </w:t>
      </w:r>
      <w:r>
        <w:rPr>
          <w:rFonts w:eastAsia="Yu Mincho"/>
        </w:rPr>
        <w:t>periodic and semi-persistent</w:t>
      </w:r>
      <w:r>
        <w:rPr>
          <w:rFonts w:hint="eastAsia" w:eastAsia="宋体"/>
          <w:lang w:val="en-US" w:eastAsia="zh-CN"/>
        </w:rPr>
        <w:t xml:space="preserve"> </w:t>
      </w:r>
      <w:r>
        <w:rPr>
          <w:rFonts w:hint="eastAsia" w:eastAsia="宋体"/>
          <w:color w:val="000000" w:themeColor="text1"/>
          <w:szCs w:val="18"/>
          <w:lang w:val="en-US" w:eastAsia="ko-KR"/>
          <w14:textFill>
            <w14:solidFill>
              <w14:schemeClr w14:val="tx1"/>
            </w14:solidFill>
          </w14:textFill>
        </w:rPr>
        <w:t>CSI reporting</w:t>
      </w:r>
      <w:r>
        <w:rPr>
          <w:rFonts w:hint="eastAsia" w:eastAsia="宋体"/>
          <w:color w:val="000000" w:themeColor="text1"/>
          <w:szCs w:val="18"/>
          <w:lang w:val="en-US" w:eastAsia="zh-CN"/>
          <w14:textFill>
            <w14:solidFill>
              <w14:schemeClr w14:val="tx1"/>
            </w14:solidFill>
          </w14:textFill>
        </w:rPr>
        <w:t xml:space="preserve">. </w:t>
      </w:r>
    </w:p>
    <w:p>
      <w:pPr>
        <w:rPr>
          <w:rFonts w:hint="eastAsia" w:eastAsia="宋体"/>
          <w:b/>
          <w:bCs/>
          <w:sz w:val="20"/>
          <w:szCs w:val="15"/>
          <w:lang w:val="en-US" w:eastAsia="zh-CN"/>
        </w:rPr>
      </w:pPr>
      <w:r>
        <w:rPr>
          <w:rFonts w:hint="eastAsia"/>
          <w:b/>
          <w:bCs/>
          <w:sz w:val="20"/>
          <w:szCs w:val="15"/>
          <w:lang w:val="en-US" w:eastAsia="zh-CN"/>
        </w:rPr>
        <w:t>Proposal</w:t>
      </w:r>
      <w:r>
        <w:rPr>
          <w:rFonts w:hint="eastAsia"/>
          <w:b/>
          <w:bCs/>
          <w:sz w:val="20"/>
          <w:szCs w:val="15"/>
          <w:u w:val="none"/>
          <w:lang w:val="en-US" w:eastAsia="zh-CN"/>
        </w:rPr>
        <w:t xml:space="preserve"> 2: </w:t>
      </w:r>
      <w:r>
        <w:rPr>
          <w:b/>
          <w:bCs/>
          <w:color w:val="auto"/>
          <w:u w:val="none"/>
          <w:lang w:eastAsia="ko-KR"/>
        </w:rPr>
        <w:t>TCI state indication and CSI reporting can be skipped for both semi-persistent and periodic CSI reporting</w:t>
      </w:r>
      <w:r>
        <w:rPr>
          <w:rFonts w:hint="eastAsia" w:eastAsia="宋体"/>
          <w:b/>
          <w:bCs/>
          <w:color w:val="auto"/>
          <w:u w:val="none"/>
          <w:lang w:val="en-US" w:eastAsia="zh-CN"/>
        </w:rPr>
        <w:t>.</w:t>
      </w:r>
    </w:p>
    <w:p>
      <w:pPr>
        <w:pStyle w:val="29"/>
        <w:numPr>
          <w:ilvl w:val="0"/>
          <w:numId w:val="6"/>
        </w:numPr>
        <w:ind w:left="1134" w:leftChars="0" w:hanging="1134" w:firstLineChars="0"/>
        <w:jc w:val="both"/>
      </w:pPr>
      <w:r>
        <w:t>Conclusion</w:t>
      </w:r>
    </w:p>
    <w:p>
      <w:pPr>
        <w:rPr>
          <w:rFonts w:hint="eastAsia"/>
          <w:b/>
          <w:bCs/>
          <w:sz w:val="20"/>
          <w:szCs w:val="15"/>
          <w:lang w:val="en-US" w:eastAsia="zh-CN"/>
        </w:rPr>
      </w:pPr>
      <w:r>
        <w:rPr>
          <w:rFonts w:hint="eastAsia" w:eastAsia="宋体"/>
          <w:b/>
          <w:bCs/>
          <w:color w:val="000000" w:themeColor="text1"/>
          <w:szCs w:val="18"/>
          <w:lang w:val="en-US" w:eastAsia="zh-CN"/>
          <w14:textFill>
            <w14:solidFill>
              <w14:schemeClr w14:val="tx1"/>
            </w14:solidFill>
          </w14:textFill>
        </w:rPr>
        <w:t>Proposal 1:</w:t>
      </w:r>
      <w:r>
        <w:rPr>
          <w:rFonts w:hint="eastAsia"/>
          <w:b/>
          <w:bCs/>
          <w:sz w:val="20"/>
          <w:szCs w:val="15"/>
          <w:lang w:val="en-US" w:eastAsia="zh-CN"/>
        </w:rPr>
        <w:t xml:space="preserve">AGC settling time cannot be reduced for </w:t>
      </w:r>
      <w:r>
        <w:rPr>
          <w:rFonts w:hint="eastAsia"/>
          <w:b/>
          <w:bCs/>
          <w:sz w:val="20"/>
          <w:szCs w:val="15"/>
          <w:lang w:val="en-US" w:eastAsia="ko-KR"/>
        </w:rPr>
        <w:t xml:space="preserve">SCell activation delay </w:t>
      </w:r>
      <w:r>
        <w:rPr>
          <w:rFonts w:hint="eastAsia"/>
          <w:b/>
          <w:bCs/>
          <w:sz w:val="20"/>
          <w:szCs w:val="15"/>
          <w:lang w:val="en-US" w:eastAsia="zh-CN"/>
        </w:rPr>
        <w:t>requirement.</w:t>
      </w:r>
    </w:p>
    <w:p>
      <w:pPr>
        <w:rPr>
          <w:rFonts w:hint="default"/>
          <w:b/>
          <w:bCs/>
          <w:sz w:val="20"/>
          <w:szCs w:val="15"/>
          <w:lang w:val="en-US" w:eastAsia="zh-CN"/>
        </w:rPr>
      </w:pPr>
      <w:r>
        <w:rPr>
          <w:rFonts w:hint="eastAsia"/>
          <w:b/>
          <w:bCs/>
          <w:sz w:val="20"/>
          <w:szCs w:val="15"/>
          <w:lang w:val="en-US" w:eastAsia="zh-CN"/>
        </w:rPr>
        <w:t>Proposal</w:t>
      </w:r>
      <w:r>
        <w:rPr>
          <w:rFonts w:hint="eastAsia"/>
          <w:b/>
          <w:bCs/>
          <w:sz w:val="20"/>
          <w:szCs w:val="15"/>
          <w:u w:val="none"/>
          <w:lang w:val="en-US" w:eastAsia="zh-CN"/>
        </w:rPr>
        <w:t xml:space="preserve"> 2: </w:t>
      </w:r>
      <w:r>
        <w:rPr>
          <w:b/>
          <w:bCs/>
          <w:color w:val="auto"/>
          <w:u w:val="none"/>
          <w:lang w:eastAsia="ko-KR"/>
        </w:rPr>
        <w:t>TCI state indication and CSI reporting can be skipped for both semi-persistent and periodic CSI reporting</w:t>
      </w:r>
      <w:r>
        <w:rPr>
          <w:rFonts w:hint="eastAsia" w:eastAsia="宋体"/>
          <w:b/>
          <w:bCs/>
          <w:color w:val="auto"/>
          <w:u w:val="none"/>
          <w:lang w:val="en-US" w:eastAsia="zh-CN"/>
        </w:rPr>
        <w:t>.</w:t>
      </w:r>
    </w:p>
    <w:p>
      <w:pPr>
        <w:pStyle w:val="29"/>
        <w:jc w:val="both"/>
      </w:pPr>
      <w:r>
        <w:t>References</w:t>
      </w:r>
    </w:p>
    <w:p>
      <w:pPr>
        <w:numPr>
          <w:ilvl w:val="0"/>
          <w:numId w:val="9"/>
        </w:numPr>
        <w:overflowPunct w:val="0"/>
        <w:autoSpaceDE w:val="0"/>
        <w:autoSpaceDN w:val="0"/>
        <w:adjustRightInd w:val="0"/>
        <w:spacing w:after="120" w:line="240" w:lineRule="auto"/>
        <w:jc w:val="both"/>
        <w:textAlignment w:val="baseline"/>
        <w:rPr>
          <w:rFonts w:hint="eastAsia" w:eastAsia="宋体"/>
          <w:lang w:eastAsia="zh-CN"/>
        </w:rPr>
      </w:pPr>
      <w:r>
        <w:rPr>
          <w:rFonts w:ascii="Arial" w:hAnsi="Arial" w:cs="Arial" w:eastAsiaTheme="minorEastAsia"/>
          <w:b/>
          <w:sz w:val="24"/>
          <w:szCs w:val="24"/>
          <w:lang w:eastAsia="zh-CN"/>
        </w:rPr>
        <w:t xml:space="preserve"> </w:t>
      </w:r>
      <w:r>
        <w:rPr>
          <w:rFonts w:hint="eastAsia" w:eastAsia="宋体"/>
          <w:lang w:eastAsia="zh-CN"/>
        </w:rPr>
        <w:t>R4-2120284</w:t>
      </w:r>
      <w:r>
        <w:rPr>
          <w:rFonts w:hint="eastAsia" w:eastAsia="宋体"/>
          <w:lang w:val="en-US" w:eastAsia="zh-CN"/>
        </w:rPr>
        <w:t>,</w:t>
      </w:r>
      <w:r>
        <w:rPr>
          <w:rFonts w:hint="eastAsia" w:eastAsia="宋体"/>
          <w:lang w:eastAsia="zh-CN"/>
        </w:rPr>
        <w:t>WF on RRM requirements for FR2 Inter-band DL CA and UL CA，Nokia, Nokia Shanghai Bell</w:t>
      </w:r>
    </w:p>
    <w:p>
      <w:pPr>
        <w:numPr>
          <w:ilvl w:val="0"/>
          <w:numId w:val="9"/>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eastAsia="zh-CN"/>
        </w:rPr>
        <w:t>R4-2107853</w:t>
      </w:r>
      <w:r>
        <w:rPr>
          <w:rFonts w:hint="eastAsia" w:eastAsia="宋体"/>
          <w:lang w:val="en-US" w:eastAsia="zh-CN"/>
        </w:rPr>
        <w:t>,WF on CBM UE architecture,Qualcomm Incorporated</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A285132"/>
    <w:multiLevelType w:val="multilevel"/>
    <w:tmpl w:val="6A28513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 w:hanging="360"/>
      </w:pPr>
      <w:rPr>
        <w:rFonts w:hint="default" w:ascii="Courier New" w:hAnsi="Courier New" w:cs="Courier New"/>
      </w:rPr>
    </w:lvl>
    <w:lvl w:ilvl="2" w:tentative="0">
      <w:start w:val="1"/>
      <w:numFmt w:val="bullet"/>
      <w:lvlText w:val=""/>
      <w:lvlJc w:val="left"/>
      <w:pPr>
        <w:ind w:left="864" w:hanging="360"/>
      </w:pPr>
      <w:rPr>
        <w:rFonts w:hint="default" w:ascii="Wingdings" w:hAnsi="Wingdings"/>
      </w:rPr>
    </w:lvl>
    <w:lvl w:ilvl="3" w:tentative="0">
      <w:start w:val="1"/>
      <w:numFmt w:val="bullet"/>
      <w:lvlText w:val=""/>
      <w:lvlJc w:val="left"/>
      <w:pPr>
        <w:ind w:left="1584" w:hanging="360"/>
      </w:pPr>
      <w:rPr>
        <w:rFonts w:hint="default" w:ascii="Symbol" w:hAnsi="Symbol"/>
      </w:rPr>
    </w:lvl>
    <w:lvl w:ilvl="4" w:tentative="0">
      <w:start w:val="1"/>
      <w:numFmt w:val="bullet"/>
      <w:lvlText w:val="o"/>
      <w:lvlJc w:val="left"/>
      <w:pPr>
        <w:ind w:left="2304" w:hanging="360"/>
      </w:pPr>
      <w:rPr>
        <w:rFonts w:hint="default" w:ascii="Courier New" w:hAnsi="Courier New" w:cs="Courier New"/>
      </w:rPr>
    </w:lvl>
    <w:lvl w:ilvl="5" w:tentative="0">
      <w:start w:val="1"/>
      <w:numFmt w:val="bullet"/>
      <w:lvlText w:val=""/>
      <w:lvlJc w:val="left"/>
      <w:pPr>
        <w:ind w:left="3024" w:hanging="360"/>
      </w:pPr>
      <w:rPr>
        <w:rFonts w:hint="default" w:ascii="Wingdings" w:hAnsi="Wingdings"/>
      </w:rPr>
    </w:lvl>
    <w:lvl w:ilvl="6" w:tentative="0">
      <w:start w:val="1"/>
      <w:numFmt w:val="bullet"/>
      <w:lvlText w:val=""/>
      <w:lvlJc w:val="left"/>
      <w:pPr>
        <w:ind w:left="3744" w:hanging="360"/>
      </w:pPr>
      <w:rPr>
        <w:rFonts w:hint="default" w:ascii="Symbol" w:hAnsi="Symbol"/>
      </w:rPr>
    </w:lvl>
    <w:lvl w:ilvl="7" w:tentative="0">
      <w:start w:val="1"/>
      <w:numFmt w:val="bullet"/>
      <w:lvlText w:val="o"/>
      <w:lvlJc w:val="left"/>
      <w:pPr>
        <w:ind w:left="4464" w:hanging="360"/>
      </w:pPr>
      <w:rPr>
        <w:rFonts w:hint="default" w:ascii="Courier New" w:hAnsi="Courier New" w:cs="Courier New"/>
      </w:rPr>
    </w:lvl>
    <w:lvl w:ilvl="8" w:tentative="0">
      <w:start w:val="1"/>
      <w:numFmt w:val="bullet"/>
      <w:lvlText w:val=""/>
      <w:lvlJc w:val="left"/>
      <w:pPr>
        <w:ind w:left="5184" w:hanging="360"/>
      </w:pPr>
      <w:rPr>
        <w:rFonts w:hint="default" w:ascii="Wingdings" w:hAnsi="Wingdings"/>
      </w:rPr>
    </w:lvl>
  </w:abstractNum>
  <w:abstractNum w:abstractNumId="8">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8"/>
  </w:num>
  <w:num w:numId="5">
    <w:abstractNumId w:val="5"/>
  </w:num>
  <w:num w:numId="6">
    <w:abstractNumId w:val="0"/>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2CC9"/>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D418F"/>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36877"/>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6A5D79"/>
    <w:rsid w:val="027E1394"/>
    <w:rsid w:val="0284242C"/>
    <w:rsid w:val="028676F2"/>
    <w:rsid w:val="02A340AE"/>
    <w:rsid w:val="02AF305D"/>
    <w:rsid w:val="02B274E2"/>
    <w:rsid w:val="02BD7990"/>
    <w:rsid w:val="02C25D33"/>
    <w:rsid w:val="030809EC"/>
    <w:rsid w:val="03394FFB"/>
    <w:rsid w:val="037B11F1"/>
    <w:rsid w:val="039A1BDA"/>
    <w:rsid w:val="03AE4991"/>
    <w:rsid w:val="03C6506D"/>
    <w:rsid w:val="03F37217"/>
    <w:rsid w:val="04143A32"/>
    <w:rsid w:val="041F4676"/>
    <w:rsid w:val="04503821"/>
    <w:rsid w:val="045B08B5"/>
    <w:rsid w:val="047B40B2"/>
    <w:rsid w:val="0492565C"/>
    <w:rsid w:val="04A56073"/>
    <w:rsid w:val="04C77D0A"/>
    <w:rsid w:val="04D5204C"/>
    <w:rsid w:val="051F0641"/>
    <w:rsid w:val="05733706"/>
    <w:rsid w:val="059B61E4"/>
    <w:rsid w:val="05A86143"/>
    <w:rsid w:val="05AC7AEC"/>
    <w:rsid w:val="05D42FA6"/>
    <w:rsid w:val="06105DAC"/>
    <w:rsid w:val="066957D5"/>
    <w:rsid w:val="068A29F7"/>
    <w:rsid w:val="069766CC"/>
    <w:rsid w:val="07250AD8"/>
    <w:rsid w:val="07502CA2"/>
    <w:rsid w:val="078B76F8"/>
    <w:rsid w:val="079D410C"/>
    <w:rsid w:val="07C5787A"/>
    <w:rsid w:val="07C928A9"/>
    <w:rsid w:val="07D3429D"/>
    <w:rsid w:val="07D735D1"/>
    <w:rsid w:val="07E9174F"/>
    <w:rsid w:val="07F43B3B"/>
    <w:rsid w:val="080A5373"/>
    <w:rsid w:val="085564A9"/>
    <w:rsid w:val="08631FF0"/>
    <w:rsid w:val="08641205"/>
    <w:rsid w:val="0868025F"/>
    <w:rsid w:val="0873226E"/>
    <w:rsid w:val="088E5343"/>
    <w:rsid w:val="08935729"/>
    <w:rsid w:val="08936C0D"/>
    <w:rsid w:val="08A83C27"/>
    <w:rsid w:val="08AF3F5E"/>
    <w:rsid w:val="08C654D4"/>
    <w:rsid w:val="08CC5D10"/>
    <w:rsid w:val="08DC0169"/>
    <w:rsid w:val="092C45E6"/>
    <w:rsid w:val="093220E8"/>
    <w:rsid w:val="099F556C"/>
    <w:rsid w:val="09AC0546"/>
    <w:rsid w:val="09C640C3"/>
    <w:rsid w:val="09D362E0"/>
    <w:rsid w:val="0A202869"/>
    <w:rsid w:val="0A2F63A3"/>
    <w:rsid w:val="0A5763D4"/>
    <w:rsid w:val="0A623873"/>
    <w:rsid w:val="0A7BF868"/>
    <w:rsid w:val="0A9573F8"/>
    <w:rsid w:val="0B206A21"/>
    <w:rsid w:val="0B6C6F78"/>
    <w:rsid w:val="0B7322DC"/>
    <w:rsid w:val="0B7600BE"/>
    <w:rsid w:val="0B84721F"/>
    <w:rsid w:val="0BA7588D"/>
    <w:rsid w:val="0BB77882"/>
    <w:rsid w:val="0BC65E45"/>
    <w:rsid w:val="0C102F73"/>
    <w:rsid w:val="0C2A1653"/>
    <w:rsid w:val="0C3145B0"/>
    <w:rsid w:val="0C3C5307"/>
    <w:rsid w:val="0C56263C"/>
    <w:rsid w:val="0C5E2B8A"/>
    <w:rsid w:val="0CB37D5E"/>
    <w:rsid w:val="0CF62A01"/>
    <w:rsid w:val="0D102274"/>
    <w:rsid w:val="0D69107B"/>
    <w:rsid w:val="0D796541"/>
    <w:rsid w:val="0D9F7C29"/>
    <w:rsid w:val="0DA958CA"/>
    <w:rsid w:val="0DF104D3"/>
    <w:rsid w:val="0E1576FD"/>
    <w:rsid w:val="0E1C586B"/>
    <w:rsid w:val="0E5E051C"/>
    <w:rsid w:val="0E84113B"/>
    <w:rsid w:val="0E8A024B"/>
    <w:rsid w:val="0EAC77C9"/>
    <w:rsid w:val="0ED138E6"/>
    <w:rsid w:val="0EDA22A0"/>
    <w:rsid w:val="0F130B06"/>
    <w:rsid w:val="0F3856C4"/>
    <w:rsid w:val="0F495218"/>
    <w:rsid w:val="0F4C5F28"/>
    <w:rsid w:val="0F4D7364"/>
    <w:rsid w:val="0F5003A5"/>
    <w:rsid w:val="0F67780F"/>
    <w:rsid w:val="0F8F3C2A"/>
    <w:rsid w:val="0F9F5663"/>
    <w:rsid w:val="0FB648CB"/>
    <w:rsid w:val="0FD0731A"/>
    <w:rsid w:val="0FF1533A"/>
    <w:rsid w:val="0FFE0AFA"/>
    <w:rsid w:val="1000683B"/>
    <w:rsid w:val="100525AD"/>
    <w:rsid w:val="101213A0"/>
    <w:rsid w:val="10344905"/>
    <w:rsid w:val="10656E2F"/>
    <w:rsid w:val="10732202"/>
    <w:rsid w:val="10860ED5"/>
    <w:rsid w:val="108F17DE"/>
    <w:rsid w:val="10AA3C13"/>
    <w:rsid w:val="10CA41CF"/>
    <w:rsid w:val="10CD0B75"/>
    <w:rsid w:val="10D43D83"/>
    <w:rsid w:val="110C4D24"/>
    <w:rsid w:val="11283655"/>
    <w:rsid w:val="113B0066"/>
    <w:rsid w:val="114A4434"/>
    <w:rsid w:val="115D458E"/>
    <w:rsid w:val="11650D79"/>
    <w:rsid w:val="11A46722"/>
    <w:rsid w:val="11CA3B79"/>
    <w:rsid w:val="11F71F3A"/>
    <w:rsid w:val="12021254"/>
    <w:rsid w:val="12062D53"/>
    <w:rsid w:val="121A2A50"/>
    <w:rsid w:val="122017FC"/>
    <w:rsid w:val="122047A4"/>
    <w:rsid w:val="12432F43"/>
    <w:rsid w:val="124B5A34"/>
    <w:rsid w:val="12753179"/>
    <w:rsid w:val="128409CA"/>
    <w:rsid w:val="12843280"/>
    <w:rsid w:val="12BB3A94"/>
    <w:rsid w:val="12EF585C"/>
    <w:rsid w:val="12FB3877"/>
    <w:rsid w:val="13027CC3"/>
    <w:rsid w:val="13262572"/>
    <w:rsid w:val="13516C3B"/>
    <w:rsid w:val="135A35EB"/>
    <w:rsid w:val="135B714A"/>
    <w:rsid w:val="136D11EC"/>
    <w:rsid w:val="137D50D6"/>
    <w:rsid w:val="138845FC"/>
    <w:rsid w:val="139B3B65"/>
    <w:rsid w:val="13A04C91"/>
    <w:rsid w:val="13A62830"/>
    <w:rsid w:val="13D36053"/>
    <w:rsid w:val="13F75352"/>
    <w:rsid w:val="13FA5349"/>
    <w:rsid w:val="141E7377"/>
    <w:rsid w:val="142413B8"/>
    <w:rsid w:val="1427772F"/>
    <w:rsid w:val="1480544B"/>
    <w:rsid w:val="148A292B"/>
    <w:rsid w:val="14922769"/>
    <w:rsid w:val="14A25B1A"/>
    <w:rsid w:val="14B36B91"/>
    <w:rsid w:val="14BF6AA8"/>
    <w:rsid w:val="14C960C2"/>
    <w:rsid w:val="14D9405F"/>
    <w:rsid w:val="14DE3D1B"/>
    <w:rsid w:val="14F65349"/>
    <w:rsid w:val="14FA21D5"/>
    <w:rsid w:val="150D5858"/>
    <w:rsid w:val="1590041A"/>
    <w:rsid w:val="15DD3861"/>
    <w:rsid w:val="15EF1E61"/>
    <w:rsid w:val="16222725"/>
    <w:rsid w:val="162900B5"/>
    <w:rsid w:val="1634239A"/>
    <w:rsid w:val="16394032"/>
    <w:rsid w:val="164F667E"/>
    <w:rsid w:val="165D0583"/>
    <w:rsid w:val="16654289"/>
    <w:rsid w:val="16AE4BFB"/>
    <w:rsid w:val="16BA6C12"/>
    <w:rsid w:val="16CB37AF"/>
    <w:rsid w:val="16DB79C9"/>
    <w:rsid w:val="16E93B5B"/>
    <w:rsid w:val="16EA20E7"/>
    <w:rsid w:val="16F55CC6"/>
    <w:rsid w:val="17141F2D"/>
    <w:rsid w:val="176F5C05"/>
    <w:rsid w:val="17705930"/>
    <w:rsid w:val="17A076C4"/>
    <w:rsid w:val="17A62BCE"/>
    <w:rsid w:val="17AC57E6"/>
    <w:rsid w:val="17E12498"/>
    <w:rsid w:val="17E826AB"/>
    <w:rsid w:val="17F275CB"/>
    <w:rsid w:val="18194F39"/>
    <w:rsid w:val="18312DD6"/>
    <w:rsid w:val="18407C50"/>
    <w:rsid w:val="184B7EE3"/>
    <w:rsid w:val="1872258F"/>
    <w:rsid w:val="18AC3E03"/>
    <w:rsid w:val="18D3414F"/>
    <w:rsid w:val="18D91924"/>
    <w:rsid w:val="19831412"/>
    <w:rsid w:val="19A96435"/>
    <w:rsid w:val="19E43A3D"/>
    <w:rsid w:val="19EF476F"/>
    <w:rsid w:val="1A0B3A21"/>
    <w:rsid w:val="1A290039"/>
    <w:rsid w:val="1A352FE3"/>
    <w:rsid w:val="1A7F0493"/>
    <w:rsid w:val="1ABF3A0B"/>
    <w:rsid w:val="1AC158B0"/>
    <w:rsid w:val="1B3329B5"/>
    <w:rsid w:val="1B595D85"/>
    <w:rsid w:val="1B7F155B"/>
    <w:rsid w:val="1BAE2A00"/>
    <w:rsid w:val="1BB6627C"/>
    <w:rsid w:val="1BF056DA"/>
    <w:rsid w:val="1C1B0DC7"/>
    <w:rsid w:val="1C5E2CC4"/>
    <w:rsid w:val="1C5E2F54"/>
    <w:rsid w:val="1CA0799D"/>
    <w:rsid w:val="1CAE294B"/>
    <w:rsid w:val="1CDA242C"/>
    <w:rsid w:val="1CF75BF5"/>
    <w:rsid w:val="1CFB2AC1"/>
    <w:rsid w:val="1D1F1294"/>
    <w:rsid w:val="1D3600B7"/>
    <w:rsid w:val="1D3C7064"/>
    <w:rsid w:val="1D85535E"/>
    <w:rsid w:val="1D955667"/>
    <w:rsid w:val="1DB227A6"/>
    <w:rsid w:val="1DB41841"/>
    <w:rsid w:val="1DCF39D2"/>
    <w:rsid w:val="1DE45821"/>
    <w:rsid w:val="1DF005DE"/>
    <w:rsid w:val="1DF64986"/>
    <w:rsid w:val="1E275184"/>
    <w:rsid w:val="1E5E1170"/>
    <w:rsid w:val="1E8806BC"/>
    <w:rsid w:val="1EA137E3"/>
    <w:rsid w:val="1EC97F44"/>
    <w:rsid w:val="1F0936F5"/>
    <w:rsid w:val="1F0D6CF5"/>
    <w:rsid w:val="1F17474D"/>
    <w:rsid w:val="1F2B10F9"/>
    <w:rsid w:val="1F606B52"/>
    <w:rsid w:val="1F711839"/>
    <w:rsid w:val="1F8429C2"/>
    <w:rsid w:val="1F8A172B"/>
    <w:rsid w:val="1F9A548F"/>
    <w:rsid w:val="1FA564C4"/>
    <w:rsid w:val="1FB811AE"/>
    <w:rsid w:val="1FDC0E64"/>
    <w:rsid w:val="1FE94550"/>
    <w:rsid w:val="200D067C"/>
    <w:rsid w:val="20811B82"/>
    <w:rsid w:val="2081439A"/>
    <w:rsid w:val="208D29F6"/>
    <w:rsid w:val="20941E02"/>
    <w:rsid w:val="20A662B2"/>
    <w:rsid w:val="20BE61DB"/>
    <w:rsid w:val="21091739"/>
    <w:rsid w:val="211451D0"/>
    <w:rsid w:val="211B0B99"/>
    <w:rsid w:val="21402B64"/>
    <w:rsid w:val="2151075A"/>
    <w:rsid w:val="2187422D"/>
    <w:rsid w:val="219E74A3"/>
    <w:rsid w:val="22271C95"/>
    <w:rsid w:val="22450C21"/>
    <w:rsid w:val="22571B82"/>
    <w:rsid w:val="22587625"/>
    <w:rsid w:val="22843CEF"/>
    <w:rsid w:val="22915C95"/>
    <w:rsid w:val="22920D1D"/>
    <w:rsid w:val="22C0245E"/>
    <w:rsid w:val="22C9451A"/>
    <w:rsid w:val="22D22A99"/>
    <w:rsid w:val="22DF0545"/>
    <w:rsid w:val="23514077"/>
    <w:rsid w:val="23855295"/>
    <w:rsid w:val="23B20773"/>
    <w:rsid w:val="23CF6D67"/>
    <w:rsid w:val="23E92C0B"/>
    <w:rsid w:val="241F6375"/>
    <w:rsid w:val="248F188B"/>
    <w:rsid w:val="24BD0518"/>
    <w:rsid w:val="24E91488"/>
    <w:rsid w:val="25077EC5"/>
    <w:rsid w:val="256A021C"/>
    <w:rsid w:val="25962669"/>
    <w:rsid w:val="25C20278"/>
    <w:rsid w:val="25C545AD"/>
    <w:rsid w:val="262D62D9"/>
    <w:rsid w:val="26381808"/>
    <w:rsid w:val="26681CAB"/>
    <w:rsid w:val="267E5FCE"/>
    <w:rsid w:val="26895E91"/>
    <w:rsid w:val="26F16893"/>
    <w:rsid w:val="26F618C3"/>
    <w:rsid w:val="27016D1C"/>
    <w:rsid w:val="27104213"/>
    <w:rsid w:val="27572E0B"/>
    <w:rsid w:val="2762235C"/>
    <w:rsid w:val="276537E8"/>
    <w:rsid w:val="276D7CAD"/>
    <w:rsid w:val="27BE3159"/>
    <w:rsid w:val="27F111B3"/>
    <w:rsid w:val="27F55CE9"/>
    <w:rsid w:val="27F77172"/>
    <w:rsid w:val="28062AB3"/>
    <w:rsid w:val="280C272A"/>
    <w:rsid w:val="281B6C69"/>
    <w:rsid w:val="284E33F7"/>
    <w:rsid w:val="28596ECF"/>
    <w:rsid w:val="28694AA6"/>
    <w:rsid w:val="287A3770"/>
    <w:rsid w:val="2896156C"/>
    <w:rsid w:val="28A01911"/>
    <w:rsid w:val="28B52EA9"/>
    <w:rsid w:val="28C759BF"/>
    <w:rsid w:val="28D22F4D"/>
    <w:rsid w:val="29007BBA"/>
    <w:rsid w:val="290A138C"/>
    <w:rsid w:val="291A4010"/>
    <w:rsid w:val="293606FA"/>
    <w:rsid w:val="29517179"/>
    <w:rsid w:val="29582436"/>
    <w:rsid w:val="299935DB"/>
    <w:rsid w:val="29E7086A"/>
    <w:rsid w:val="2A0E25C0"/>
    <w:rsid w:val="2A1219AD"/>
    <w:rsid w:val="2A2024BB"/>
    <w:rsid w:val="2A394321"/>
    <w:rsid w:val="2AAF72F6"/>
    <w:rsid w:val="2AE07176"/>
    <w:rsid w:val="2AE26D3F"/>
    <w:rsid w:val="2AF125AB"/>
    <w:rsid w:val="2AF80F96"/>
    <w:rsid w:val="2AF8774D"/>
    <w:rsid w:val="2AFC0752"/>
    <w:rsid w:val="2B0233C2"/>
    <w:rsid w:val="2B0F6E62"/>
    <w:rsid w:val="2B1B7C39"/>
    <w:rsid w:val="2B3F4136"/>
    <w:rsid w:val="2B5F7B9D"/>
    <w:rsid w:val="2B6F3DB4"/>
    <w:rsid w:val="2B723B80"/>
    <w:rsid w:val="2B7579C5"/>
    <w:rsid w:val="2B976640"/>
    <w:rsid w:val="2BB04900"/>
    <w:rsid w:val="2BB1476B"/>
    <w:rsid w:val="2BBA73E9"/>
    <w:rsid w:val="2BFE37F5"/>
    <w:rsid w:val="2C127486"/>
    <w:rsid w:val="2C1B2490"/>
    <w:rsid w:val="2C2841AD"/>
    <w:rsid w:val="2C3757DB"/>
    <w:rsid w:val="2C3A3275"/>
    <w:rsid w:val="2C495744"/>
    <w:rsid w:val="2C4F5D11"/>
    <w:rsid w:val="2C696B32"/>
    <w:rsid w:val="2CA40E82"/>
    <w:rsid w:val="2CC440BD"/>
    <w:rsid w:val="2CEE6B8D"/>
    <w:rsid w:val="2D233DAE"/>
    <w:rsid w:val="2D8E403A"/>
    <w:rsid w:val="2DC51DB6"/>
    <w:rsid w:val="2DE6749D"/>
    <w:rsid w:val="2DF9626C"/>
    <w:rsid w:val="2DFD7A78"/>
    <w:rsid w:val="2DFF21A9"/>
    <w:rsid w:val="2E145F76"/>
    <w:rsid w:val="2E290BCC"/>
    <w:rsid w:val="2E3E3E00"/>
    <w:rsid w:val="2E8501BE"/>
    <w:rsid w:val="2EA73673"/>
    <w:rsid w:val="2EA86D09"/>
    <w:rsid w:val="2ECE747D"/>
    <w:rsid w:val="2EDE6622"/>
    <w:rsid w:val="2EDF0237"/>
    <w:rsid w:val="2EFD78DE"/>
    <w:rsid w:val="2F32226B"/>
    <w:rsid w:val="2F376D10"/>
    <w:rsid w:val="2F507B33"/>
    <w:rsid w:val="2FA231C5"/>
    <w:rsid w:val="30131B0F"/>
    <w:rsid w:val="301A7503"/>
    <w:rsid w:val="30266CFB"/>
    <w:rsid w:val="30775A8C"/>
    <w:rsid w:val="308B65F2"/>
    <w:rsid w:val="30A9337F"/>
    <w:rsid w:val="30F5782F"/>
    <w:rsid w:val="30F66636"/>
    <w:rsid w:val="3117229F"/>
    <w:rsid w:val="31395268"/>
    <w:rsid w:val="316D08AD"/>
    <w:rsid w:val="31703761"/>
    <w:rsid w:val="318526EA"/>
    <w:rsid w:val="3197247E"/>
    <w:rsid w:val="31A14F37"/>
    <w:rsid w:val="31A50177"/>
    <w:rsid w:val="31DD775A"/>
    <w:rsid w:val="31ED10C9"/>
    <w:rsid w:val="320F0A18"/>
    <w:rsid w:val="32351CB2"/>
    <w:rsid w:val="324554E5"/>
    <w:rsid w:val="325D2B5A"/>
    <w:rsid w:val="325E4969"/>
    <w:rsid w:val="327661FC"/>
    <w:rsid w:val="32787E64"/>
    <w:rsid w:val="32B33B5A"/>
    <w:rsid w:val="32E16FE7"/>
    <w:rsid w:val="32EE27B2"/>
    <w:rsid w:val="33283C74"/>
    <w:rsid w:val="33372789"/>
    <w:rsid w:val="33373161"/>
    <w:rsid w:val="333876C2"/>
    <w:rsid w:val="3346302E"/>
    <w:rsid w:val="33484A1E"/>
    <w:rsid w:val="335F47E9"/>
    <w:rsid w:val="33672754"/>
    <w:rsid w:val="33757E6E"/>
    <w:rsid w:val="33813C29"/>
    <w:rsid w:val="33AE46D6"/>
    <w:rsid w:val="33E811A0"/>
    <w:rsid w:val="33FB17D8"/>
    <w:rsid w:val="340D027E"/>
    <w:rsid w:val="34693A6E"/>
    <w:rsid w:val="346E4104"/>
    <w:rsid w:val="3476470C"/>
    <w:rsid w:val="34B85E11"/>
    <w:rsid w:val="34D83C16"/>
    <w:rsid w:val="34F4225F"/>
    <w:rsid w:val="34F42A3D"/>
    <w:rsid w:val="35022C0E"/>
    <w:rsid w:val="3509315E"/>
    <w:rsid w:val="351A4CC6"/>
    <w:rsid w:val="356B24AB"/>
    <w:rsid w:val="35AE299B"/>
    <w:rsid w:val="35C620C0"/>
    <w:rsid w:val="35CA47C2"/>
    <w:rsid w:val="371440A5"/>
    <w:rsid w:val="37705F34"/>
    <w:rsid w:val="377700B0"/>
    <w:rsid w:val="37857872"/>
    <w:rsid w:val="379C48BE"/>
    <w:rsid w:val="37AF7036"/>
    <w:rsid w:val="37ED2901"/>
    <w:rsid w:val="37F7347F"/>
    <w:rsid w:val="380927B5"/>
    <w:rsid w:val="381F0B0E"/>
    <w:rsid w:val="382139EC"/>
    <w:rsid w:val="3876150B"/>
    <w:rsid w:val="38D03C78"/>
    <w:rsid w:val="38EF03A6"/>
    <w:rsid w:val="38F0125F"/>
    <w:rsid w:val="3900577A"/>
    <w:rsid w:val="39187A90"/>
    <w:rsid w:val="39202018"/>
    <w:rsid w:val="392739EA"/>
    <w:rsid w:val="392D38AD"/>
    <w:rsid w:val="3946679B"/>
    <w:rsid w:val="394D1646"/>
    <w:rsid w:val="39870C57"/>
    <w:rsid w:val="399A43EA"/>
    <w:rsid w:val="39AE5946"/>
    <w:rsid w:val="3A0F1960"/>
    <w:rsid w:val="3A135535"/>
    <w:rsid w:val="3A166029"/>
    <w:rsid w:val="3A2A08FE"/>
    <w:rsid w:val="3A416AA0"/>
    <w:rsid w:val="3A431070"/>
    <w:rsid w:val="3A434F00"/>
    <w:rsid w:val="3A6B6F88"/>
    <w:rsid w:val="3A841F11"/>
    <w:rsid w:val="3A8B04D0"/>
    <w:rsid w:val="3A977F34"/>
    <w:rsid w:val="3AC125B3"/>
    <w:rsid w:val="3AF216E5"/>
    <w:rsid w:val="3B0B15C3"/>
    <w:rsid w:val="3B0F2999"/>
    <w:rsid w:val="3B30671A"/>
    <w:rsid w:val="3B5555F7"/>
    <w:rsid w:val="3B5662AC"/>
    <w:rsid w:val="3B981241"/>
    <w:rsid w:val="3BBB2E68"/>
    <w:rsid w:val="3BD120B9"/>
    <w:rsid w:val="3BDA3F2B"/>
    <w:rsid w:val="3C0B0D05"/>
    <w:rsid w:val="3C1B10BF"/>
    <w:rsid w:val="3C8823DF"/>
    <w:rsid w:val="3C9D0254"/>
    <w:rsid w:val="3C9F5B7F"/>
    <w:rsid w:val="3CA22406"/>
    <w:rsid w:val="3CC5729E"/>
    <w:rsid w:val="3CCE203C"/>
    <w:rsid w:val="3CD96C18"/>
    <w:rsid w:val="3CDC3348"/>
    <w:rsid w:val="3D02537F"/>
    <w:rsid w:val="3D042BD7"/>
    <w:rsid w:val="3D087EC6"/>
    <w:rsid w:val="3D0C1655"/>
    <w:rsid w:val="3D4E48C8"/>
    <w:rsid w:val="3D50421B"/>
    <w:rsid w:val="3D77737D"/>
    <w:rsid w:val="3D807C08"/>
    <w:rsid w:val="3DBF5349"/>
    <w:rsid w:val="3DC04E13"/>
    <w:rsid w:val="3DCC0A6F"/>
    <w:rsid w:val="3DD244E7"/>
    <w:rsid w:val="3DDC294B"/>
    <w:rsid w:val="3E0E5340"/>
    <w:rsid w:val="3E132617"/>
    <w:rsid w:val="3E1747FA"/>
    <w:rsid w:val="3E2E7EE8"/>
    <w:rsid w:val="3E4F76FB"/>
    <w:rsid w:val="3E5B41D6"/>
    <w:rsid w:val="3E964B98"/>
    <w:rsid w:val="3E9B2B8B"/>
    <w:rsid w:val="3EAD26A1"/>
    <w:rsid w:val="3EB01A0B"/>
    <w:rsid w:val="3ECE16FA"/>
    <w:rsid w:val="3F064C6A"/>
    <w:rsid w:val="3F322D0C"/>
    <w:rsid w:val="3F3542FD"/>
    <w:rsid w:val="3F4118C8"/>
    <w:rsid w:val="3F4334BB"/>
    <w:rsid w:val="3F5C676A"/>
    <w:rsid w:val="3F651AFB"/>
    <w:rsid w:val="3FF55768"/>
    <w:rsid w:val="40093B4F"/>
    <w:rsid w:val="40350A49"/>
    <w:rsid w:val="40460408"/>
    <w:rsid w:val="40462AC9"/>
    <w:rsid w:val="405313A9"/>
    <w:rsid w:val="40566CBF"/>
    <w:rsid w:val="40662F6F"/>
    <w:rsid w:val="40776BAF"/>
    <w:rsid w:val="407921CE"/>
    <w:rsid w:val="40C04FE0"/>
    <w:rsid w:val="40FA3D02"/>
    <w:rsid w:val="413E21D5"/>
    <w:rsid w:val="418530B3"/>
    <w:rsid w:val="41AA7137"/>
    <w:rsid w:val="41BF2F04"/>
    <w:rsid w:val="41CB7B05"/>
    <w:rsid w:val="41EC58FB"/>
    <w:rsid w:val="41F931F1"/>
    <w:rsid w:val="42157286"/>
    <w:rsid w:val="422A484C"/>
    <w:rsid w:val="422A51CF"/>
    <w:rsid w:val="4231331F"/>
    <w:rsid w:val="42381A71"/>
    <w:rsid w:val="423E6EC2"/>
    <w:rsid w:val="426B0C9E"/>
    <w:rsid w:val="42841694"/>
    <w:rsid w:val="429266C7"/>
    <w:rsid w:val="42AF1322"/>
    <w:rsid w:val="42B30ACF"/>
    <w:rsid w:val="42D25CAE"/>
    <w:rsid w:val="42E73C10"/>
    <w:rsid w:val="42F708A9"/>
    <w:rsid w:val="42FC0B94"/>
    <w:rsid w:val="43364422"/>
    <w:rsid w:val="433B6093"/>
    <w:rsid w:val="43536857"/>
    <w:rsid w:val="43AA33DE"/>
    <w:rsid w:val="43BB7215"/>
    <w:rsid w:val="43BC4F26"/>
    <w:rsid w:val="43EE582E"/>
    <w:rsid w:val="43FB3DA4"/>
    <w:rsid w:val="440E1214"/>
    <w:rsid w:val="441C4006"/>
    <w:rsid w:val="44330E9F"/>
    <w:rsid w:val="443E7A53"/>
    <w:rsid w:val="44462D9E"/>
    <w:rsid w:val="44752C18"/>
    <w:rsid w:val="449E489D"/>
    <w:rsid w:val="44B24294"/>
    <w:rsid w:val="44CF520F"/>
    <w:rsid w:val="44D50483"/>
    <w:rsid w:val="451019FB"/>
    <w:rsid w:val="451A43EA"/>
    <w:rsid w:val="451B2715"/>
    <w:rsid w:val="45361837"/>
    <w:rsid w:val="4543370D"/>
    <w:rsid w:val="454F62D8"/>
    <w:rsid w:val="455B13AC"/>
    <w:rsid w:val="45AE5D57"/>
    <w:rsid w:val="45CF3CD0"/>
    <w:rsid w:val="45F6393A"/>
    <w:rsid w:val="46037BDC"/>
    <w:rsid w:val="460567D8"/>
    <w:rsid w:val="4626023B"/>
    <w:rsid w:val="462F25DF"/>
    <w:rsid w:val="46566BF3"/>
    <w:rsid w:val="46620161"/>
    <w:rsid w:val="46C17C69"/>
    <w:rsid w:val="46E63986"/>
    <w:rsid w:val="46FC7DAE"/>
    <w:rsid w:val="470463F8"/>
    <w:rsid w:val="472F00D3"/>
    <w:rsid w:val="475A31AD"/>
    <w:rsid w:val="47777F88"/>
    <w:rsid w:val="47971B97"/>
    <w:rsid w:val="479A4E4A"/>
    <w:rsid w:val="479F63EE"/>
    <w:rsid w:val="47C304FD"/>
    <w:rsid w:val="47C357A6"/>
    <w:rsid w:val="47D77F02"/>
    <w:rsid w:val="4815186D"/>
    <w:rsid w:val="481C0488"/>
    <w:rsid w:val="481C4CBC"/>
    <w:rsid w:val="485A4BA7"/>
    <w:rsid w:val="486432D4"/>
    <w:rsid w:val="487C3875"/>
    <w:rsid w:val="48977283"/>
    <w:rsid w:val="48A90F1E"/>
    <w:rsid w:val="48B9644F"/>
    <w:rsid w:val="48DE3EAB"/>
    <w:rsid w:val="48FA3778"/>
    <w:rsid w:val="490A690E"/>
    <w:rsid w:val="49474FB2"/>
    <w:rsid w:val="495B6D68"/>
    <w:rsid w:val="4975258C"/>
    <w:rsid w:val="49896512"/>
    <w:rsid w:val="4996414B"/>
    <w:rsid w:val="49987D21"/>
    <w:rsid w:val="49BA3D71"/>
    <w:rsid w:val="49CC5B3C"/>
    <w:rsid w:val="49DB51FA"/>
    <w:rsid w:val="49FD54E4"/>
    <w:rsid w:val="4A143D9D"/>
    <w:rsid w:val="4A3011C6"/>
    <w:rsid w:val="4A5C70F1"/>
    <w:rsid w:val="4A6D545B"/>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C6AE6"/>
    <w:rsid w:val="4BEE4C69"/>
    <w:rsid w:val="4BF830BC"/>
    <w:rsid w:val="4C293566"/>
    <w:rsid w:val="4C2C1C2C"/>
    <w:rsid w:val="4C3F2388"/>
    <w:rsid w:val="4C4E4313"/>
    <w:rsid w:val="4C553BEB"/>
    <w:rsid w:val="4C663381"/>
    <w:rsid w:val="4C723787"/>
    <w:rsid w:val="4C783FE1"/>
    <w:rsid w:val="4CF05EAC"/>
    <w:rsid w:val="4D102CB4"/>
    <w:rsid w:val="4D496F28"/>
    <w:rsid w:val="4D7636CB"/>
    <w:rsid w:val="4D9E609E"/>
    <w:rsid w:val="4E0243C8"/>
    <w:rsid w:val="4E173831"/>
    <w:rsid w:val="4E345636"/>
    <w:rsid w:val="4E652C5C"/>
    <w:rsid w:val="4E9105E7"/>
    <w:rsid w:val="4EB053BD"/>
    <w:rsid w:val="4ED84E86"/>
    <w:rsid w:val="4FBC6FAF"/>
    <w:rsid w:val="4FDC68F3"/>
    <w:rsid w:val="4FE74185"/>
    <w:rsid w:val="4FF76FCE"/>
    <w:rsid w:val="4FFF46BE"/>
    <w:rsid w:val="50005DA1"/>
    <w:rsid w:val="5041435B"/>
    <w:rsid w:val="50564CCA"/>
    <w:rsid w:val="505A1CB0"/>
    <w:rsid w:val="506A5A36"/>
    <w:rsid w:val="5090049B"/>
    <w:rsid w:val="509778C7"/>
    <w:rsid w:val="50BD598F"/>
    <w:rsid w:val="50EF38E6"/>
    <w:rsid w:val="510134A4"/>
    <w:rsid w:val="5170523B"/>
    <w:rsid w:val="51773E2A"/>
    <w:rsid w:val="519A116B"/>
    <w:rsid w:val="51A40397"/>
    <w:rsid w:val="51A74F81"/>
    <w:rsid w:val="51C53170"/>
    <w:rsid w:val="51E57489"/>
    <w:rsid w:val="51FE641B"/>
    <w:rsid w:val="5222212F"/>
    <w:rsid w:val="5236412D"/>
    <w:rsid w:val="524370D4"/>
    <w:rsid w:val="526137D1"/>
    <w:rsid w:val="5280421D"/>
    <w:rsid w:val="52BF27F0"/>
    <w:rsid w:val="52DE7B77"/>
    <w:rsid w:val="530B5FC4"/>
    <w:rsid w:val="530F6914"/>
    <w:rsid w:val="531A5811"/>
    <w:rsid w:val="535E62F0"/>
    <w:rsid w:val="5361709F"/>
    <w:rsid w:val="53705401"/>
    <w:rsid w:val="537509F0"/>
    <w:rsid w:val="53752E8D"/>
    <w:rsid w:val="53832E83"/>
    <w:rsid w:val="53A24A91"/>
    <w:rsid w:val="53AA30EC"/>
    <w:rsid w:val="53C60E3E"/>
    <w:rsid w:val="53D005D1"/>
    <w:rsid w:val="540D782C"/>
    <w:rsid w:val="541B7EBE"/>
    <w:rsid w:val="542F1421"/>
    <w:rsid w:val="54342D0E"/>
    <w:rsid w:val="543973F0"/>
    <w:rsid w:val="543B3AF3"/>
    <w:rsid w:val="544B51D2"/>
    <w:rsid w:val="544C3285"/>
    <w:rsid w:val="546C32BA"/>
    <w:rsid w:val="547733F4"/>
    <w:rsid w:val="54B156BA"/>
    <w:rsid w:val="54F516DC"/>
    <w:rsid w:val="550D4DCC"/>
    <w:rsid w:val="550D509F"/>
    <w:rsid w:val="55187C2D"/>
    <w:rsid w:val="551F51F5"/>
    <w:rsid w:val="5553143F"/>
    <w:rsid w:val="557C5C50"/>
    <w:rsid w:val="55B42DC5"/>
    <w:rsid w:val="55B760AB"/>
    <w:rsid w:val="55C82763"/>
    <w:rsid w:val="55CE50F9"/>
    <w:rsid w:val="56063D06"/>
    <w:rsid w:val="560921FF"/>
    <w:rsid w:val="561E43E8"/>
    <w:rsid w:val="56243301"/>
    <w:rsid w:val="562F5C39"/>
    <w:rsid w:val="566D79F4"/>
    <w:rsid w:val="567964BE"/>
    <w:rsid w:val="567B20DA"/>
    <w:rsid w:val="56943FE8"/>
    <w:rsid w:val="56A306FD"/>
    <w:rsid w:val="56DA5A5F"/>
    <w:rsid w:val="57563E7B"/>
    <w:rsid w:val="57600E00"/>
    <w:rsid w:val="577E3F1D"/>
    <w:rsid w:val="57C70008"/>
    <w:rsid w:val="58082D66"/>
    <w:rsid w:val="58224292"/>
    <w:rsid w:val="58270690"/>
    <w:rsid w:val="586B2608"/>
    <w:rsid w:val="586D59B4"/>
    <w:rsid w:val="5879595C"/>
    <w:rsid w:val="588331BE"/>
    <w:rsid w:val="58D16F7B"/>
    <w:rsid w:val="592D287D"/>
    <w:rsid w:val="592D7AE2"/>
    <w:rsid w:val="593554F0"/>
    <w:rsid w:val="59BA5947"/>
    <w:rsid w:val="59F967B7"/>
    <w:rsid w:val="5A194DBF"/>
    <w:rsid w:val="5A1A7700"/>
    <w:rsid w:val="5A3078C5"/>
    <w:rsid w:val="5A3A24E6"/>
    <w:rsid w:val="5A7A4DB9"/>
    <w:rsid w:val="5AA277F3"/>
    <w:rsid w:val="5AC16AE9"/>
    <w:rsid w:val="5ADF3A74"/>
    <w:rsid w:val="5AE53367"/>
    <w:rsid w:val="5B0B0083"/>
    <w:rsid w:val="5B0B32DD"/>
    <w:rsid w:val="5B1254E6"/>
    <w:rsid w:val="5B2E5B59"/>
    <w:rsid w:val="5B4A6955"/>
    <w:rsid w:val="5BA65A0C"/>
    <w:rsid w:val="5BB2174D"/>
    <w:rsid w:val="5BC3228B"/>
    <w:rsid w:val="5BCB00D0"/>
    <w:rsid w:val="5BF571B7"/>
    <w:rsid w:val="5BFC28DA"/>
    <w:rsid w:val="5C3B1FEA"/>
    <w:rsid w:val="5C550669"/>
    <w:rsid w:val="5C6A01BF"/>
    <w:rsid w:val="5C70174F"/>
    <w:rsid w:val="5C792CC0"/>
    <w:rsid w:val="5CEB6783"/>
    <w:rsid w:val="5D041ECD"/>
    <w:rsid w:val="5D5E1AC8"/>
    <w:rsid w:val="5D8276D8"/>
    <w:rsid w:val="5DDA6F57"/>
    <w:rsid w:val="5DED5E63"/>
    <w:rsid w:val="5E051414"/>
    <w:rsid w:val="5E206741"/>
    <w:rsid w:val="5E2D4C21"/>
    <w:rsid w:val="5E551862"/>
    <w:rsid w:val="5E820037"/>
    <w:rsid w:val="5E9A188D"/>
    <w:rsid w:val="5EE41E2E"/>
    <w:rsid w:val="5F0C7F49"/>
    <w:rsid w:val="5F0F00DA"/>
    <w:rsid w:val="5F3B32F7"/>
    <w:rsid w:val="5F4B4581"/>
    <w:rsid w:val="5F98224D"/>
    <w:rsid w:val="5F9F42F8"/>
    <w:rsid w:val="5FBC07EC"/>
    <w:rsid w:val="5FFF02E1"/>
    <w:rsid w:val="60017F85"/>
    <w:rsid w:val="60032276"/>
    <w:rsid w:val="600C3AE0"/>
    <w:rsid w:val="602C236A"/>
    <w:rsid w:val="6045086B"/>
    <w:rsid w:val="60523595"/>
    <w:rsid w:val="607356CF"/>
    <w:rsid w:val="60745B63"/>
    <w:rsid w:val="609A141A"/>
    <w:rsid w:val="60AC01F6"/>
    <w:rsid w:val="60AD6E35"/>
    <w:rsid w:val="60BC1BBF"/>
    <w:rsid w:val="60E50451"/>
    <w:rsid w:val="60F55882"/>
    <w:rsid w:val="60F64A32"/>
    <w:rsid w:val="61051332"/>
    <w:rsid w:val="616A21E7"/>
    <w:rsid w:val="61856B0D"/>
    <w:rsid w:val="61B601DF"/>
    <w:rsid w:val="61F833BE"/>
    <w:rsid w:val="623928B9"/>
    <w:rsid w:val="62812953"/>
    <w:rsid w:val="62B7743E"/>
    <w:rsid w:val="62B8352F"/>
    <w:rsid w:val="62BB48DA"/>
    <w:rsid w:val="62CC4BC6"/>
    <w:rsid w:val="62DD3C86"/>
    <w:rsid w:val="62E674AB"/>
    <w:rsid w:val="62EF63FA"/>
    <w:rsid w:val="62FA23A0"/>
    <w:rsid w:val="63061571"/>
    <w:rsid w:val="632B39DC"/>
    <w:rsid w:val="639D47D1"/>
    <w:rsid w:val="63B508EC"/>
    <w:rsid w:val="63C438C6"/>
    <w:rsid w:val="63C84437"/>
    <w:rsid w:val="64116858"/>
    <w:rsid w:val="642B0065"/>
    <w:rsid w:val="64310139"/>
    <w:rsid w:val="64550D9E"/>
    <w:rsid w:val="646311BF"/>
    <w:rsid w:val="646F5452"/>
    <w:rsid w:val="648727EC"/>
    <w:rsid w:val="648D5222"/>
    <w:rsid w:val="649D0CB0"/>
    <w:rsid w:val="64B2258D"/>
    <w:rsid w:val="64DE359C"/>
    <w:rsid w:val="64E30C9E"/>
    <w:rsid w:val="64E86D2F"/>
    <w:rsid w:val="657C25FC"/>
    <w:rsid w:val="65997784"/>
    <w:rsid w:val="65A976E6"/>
    <w:rsid w:val="65C64C37"/>
    <w:rsid w:val="65D01190"/>
    <w:rsid w:val="66197BB5"/>
    <w:rsid w:val="66685007"/>
    <w:rsid w:val="66937BBB"/>
    <w:rsid w:val="66AB371C"/>
    <w:rsid w:val="66AE1192"/>
    <w:rsid w:val="66CA69C3"/>
    <w:rsid w:val="6749368B"/>
    <w:rsid w:val="67594DFB"/>
    <w:rsid w:val="6794708A"/>
    <w:rsid w:val="67CE0CE2"/>
    <w:rsid w:val="67DA4215"/>
    <w:rsid w:val="67E42DFA"/>
    <w:rsid w:val="67ED44CB"/>
    <w:rsid w:val="6811170E"/>
    <w:rsid w:val="681D58BA"/>
    <w:rsid w:val="6833352E"/>
    <w:rsid w:val="686A6ECC"/>
    <w:rsid w:val="68946F88"/>
    <w:rsid w:val="68EB3ADC"/>
    <w:rsid w:val="6901490D"/>
    <w:rsid w:val="69240005"/>
    <w:rsid w:val="69462386"/>
    <w:rsid w:val="694C2162"/>
    <w:rsid w:val="697206C8"/>
    <w:rsid w:val="698624ED"/>
    <w:rsid w:val="69A406C2"/>
    <w:rsid w:val="69B60CF8"/>
    <w:rsid w:val="69C96ADD"/>
    <w:rsid w:val="69DC5A3B"/>
    <w:rsid w:val="69E50464"/>
    <w:rsid w:val="69F94050"/>
    <w:rsid w:val="6A12713E"/>
    <w:rsid w:val="6A2F06BE"/>
    <w:rsid w:val="6A4811D1"/>
    <w:rsid w:val="6A575201"/>
    <w:rsid w:val="6A7016FE"/>
    <w:rsid w:val="6AFC6812"/>
    <w:rsid w:val="6B017ECC"/>
    <w:rsid w:val="6B0317E7"/>
    <w:rsid w:val="6B51227B"/>
    <w:rsid w:val="6B5E2EC6"/>
    <w:rsid w:val="6B7575DB"/>
    <w:rsid w:val="6BAB4ED2"/>
    <w:rsid w:val="6BFB3F37"/>
    <w:rsid w:val="6C42065A"/>
    <w:rsid w:val="6C6F44FD"/>
    <w:rsid w:val="6C8C6D07"/>
    <w:rsid w:val="6C9E7796"/>
    <w:rsid w:val="6CB53A27"/>
    <w:rsid w:val="6CB759F8"/>
    <w:rsid w:val="6CD4731D"/>
    <w:rsid w:val="6D10062D"/>
    <w:rsid w:val="6D121910"/>
    <w:rsid w:val="6D1B4473"/>
    <w:rsid w:val="6D3205F0"/>
    <w:rsid w:val="6D4C048E"/>
    <w:rsid w:val="6D5C5991"/>
    <w:rsid w:val="6D681BA3"/>
    <w:rsid w:val="6D862B60"/>
    <w:rsid w:val="6DB702B4"/>
    <w:rsid w:val="6DB9368E"/>
    <w:rsid w:val="6E2A7F0A"/>
    <w:rsid w:val="6E4462CC"/>
    <w:rsid w:val="6E500ECF"/>
    <w:rsid w:val="6E504618"/>
    <w:rsid w:val="6E6C428D"/>
    <w:rsid w:val="6EB20078"/>
    <w:rsid w:val="6EB70A1D"/>
    <w:rsid w:val="6F301CB2"/>
    <w:rsid w:val="6F3F4352"/>
    <w:rsid w:val="6F450F4D"/>
    <w:rsid w:val="6F5579D7"/>
    <w:rsid w:val="6F6D111D"/>
    <w:rsid w:val="6F740513"/>
    <w:rsid w:val="6F801AF8"/>
    <w:rsid w:val="6F8D5AAE"/>
    <w:rsid w:val="6F9C4786"/>
    <w:rsid w:val="6FB57303"/>
    <w:rsid w:val="6FB7010B"/>
    <w:rsid w:val="6FFF59CB"/>
    <w:rsid w:val="70160759"/>
    <w:rsid w:val="70200B37"/>
    <w:rsid w:val="7037013D"/>
    <w:rsid w:val="703B274B"/>
    <w:rsid w:val="704E4A67"/>
    <w:rsid w:val="70995673"/>
    <w:rsid w:val="70AA0AC2"/>
    <w:rsid w:val="70AA24EA"/>
    <w:rsid w:val="70B97CE8"/>
    <w:rsid w:val="70D46C56"/>
    <w:rsid w:val="70EA7511"/>
    <w:rsid w:val="71143E21"/>
    <w:rsid w:val="71424983"/>
    <w:rsid w:val="7150640B"/>
    <w:rsid w:val="71616F10"/>
    <w:rsid w:val="71C77CDA"/>
    <w:rsid w:val="71C93578"/>
    <w:rsid w:val="71CF5A3A"/>
    <w:rsid w:val="71DB1C81"/>
    <w:rsid w:val="71DB3B44"/>
    <w:rsid w:val="71E636DC"/>
    <w:rsid w:val="72042857"/>
    <w:rsid w:val="72516D64"/>
    <w:rsid w:val="72744030"/>
    <w:rsid w:val="72867A39"/>
    <w:rsid w:val="72C14D7E"/>
    <w:rsid w:val="72E532C0"/>
    <w:rsid w:val="72EE3608"/>
    <w:rsid w:val="72F37E30"/>
    <w:rsid w:val="7318185D"/>
    <w:rsid w:val="7322549D"/>
    <w:rsid w:val="7327462F"/>
    <w:rsid w:val="732F59FD"/>
    <w:rsid w:val="734B5574"/>
    <w:rsid w:val="7355417D"/>
    <w:rsid w:val="736C3FBB"/>
    <w:rsid w:val="73821201"/>
    <w:rsid w:val="73832905"/>
    <w:rsid w:val="738C0987"/>
    <w:rsid w:val="739F768E"/>
    <w:rsid w:val="73A75983"/>
    <w:rsid w:val="73A85DC8"/>
    <w:rsid w:val="73C54686"/>
    <w:rsid w:val="73D14742"/>
    <w:rsid w:val="73E217DB"/>
    <w:rsid w:val="73ED43C1"/>
    <w:rsid w:val="73FB25F2"/>
    <w:rsid w:val="740F6E24"/>
    <w:rsid w:val="741866C3"/>
    <w:rsid w:val="741D30D0"/>
    <w:rsid w:val="74285611"/>
    <w:rsid w:val="7430057A"/>
    <w:rsid w:val="7451673A"/>
    <w:rsid w:val="74573DE9"/>
    <w:rsid w:val="74626087"/>
    <w:rsid w:val="747F0795"/>
    <w:rsid w:val="7483582D"/>
    <w:rsid w:val="74901AB7"/>
    <w:rsid w:val="749D37F7"/>
    <w:rsid w:val="74BC6C8B"/>
    <w:rsid w:val="74D53B99"/>
    <w:rsid w:val="754C1AAF"/>
    <w:rsid w:val="76270935"/>
    <w:rsid w:val="762B3711"/>
    <w:rsid w:val="76566326"/>
    <w:rsid w:val="76696B17"/>
    <w:rsid w:val="76696D01"/>
    <w:rsid w:val="767A6966"/>
    <w:rsid w:val="76991F3B"/>
    <w:rsid w:val="76BD4E1F"/>
    <w:rsid w:val="76D8737F"/>
    <w:rsid w:val="76E279D7"/>
    <w:rsid w:val="76FC2715"/>
    <w:rsid w:val="7718204C"/>
    <w:rsid w:val="772E0626"/>
    <w:rsid w:val="773460AA"/>
    <w:rsid w:val="7752184A"/>
    <w:rsid w:val="7754709D"/>
    <w:rsid w:val="776821D3"/>
    <w:rsid w:val="776E285A"/>
    <w:rsid w:val="77B02D8D"/>
    <w:rsid w:val="77B23404"/>
    <w:rsid w:val="77C0093D"/>
    <w:rsid w:val="77C90B9C"/>
    <w:rsid w:val="77DB4D3A"/>
    <w:rsid w:val="77EF22D8"/>
    <w:rsid w:val="7811438D"/>
    <w:rsid w:val="78204380"/>
    <w:rsid w:val="7823088B"/>
    <w:rsid w:val="78384CBC"/>
    <w:rsid w:val="784140B2"/>
    <w:rsid w:val="784258BF"/>
    <w:rsid w:val="7862008E"/>
    <w:rsid w:val="786C0DC0"/>
    <w:rsid w:val="78723138"/>
    <w:rsid w:val="78C070AB"/>
    <w:rsid w:val="78FD1105"/>
    <w:rsid w:val="79340E93"/>
    <w:rsid w:val="793758F2"/>
    <w:rsid w:val="79AB1E6C"/>
    <w:rsid w:val="79BB100C"/>
    <w:rsid w:val="79C0590F"/>
    <w:rsid w:val="79EE0B28"/>
    <w:rsid w:val="7A080BBF"/>
    <w:rsid w:val="7A0E1DB4"/>
    <w:rsid w:val="7A11214D"/>
    <w:rsid w:val="7A1C3197"/>
    <w:rsid w:val="7A4F2396"/>
    <w:rsid w:val="7A516C18"/>
    <w:rsid w:val="7A787ECB"/>
    <w:rsid w:val="7A875FC6"/>
    <w:rsid w:val="7A8B51CB"/>
    <w:rsid w:val="7A984514"/>
    <w:rsid w:val="7AB507FA"/>
    <w:rsid w:val="7AC634CB"/>
    <w:rsid w:val="7ACB482C"/>
    <w:rsid w:val="7AE7260F"/>
    <w:rsid w:val="7AEA6401"/>
    <w:rsid w:val="7AEB331B"/>
    <w:rsid w:val="7AF137EF"/>
    <w:rsid w:val="7B100283"/>
    <w:rsid w:val="7B193819"/>
    <w:rsid w:val="7B2531D6"/>
    <w:rsid w:val="7B3D3F94"/>
    <w:rsid w:val="7B5B11D8"/>
    <w:rsid w:val="7B5D71AA"/>
    <w:rsid w:val="7B947C9E"/>
    <w:rsid w:val="7BAE3C2D"/>
    <w:rsid w:val="7BF90DBF"/>
    <w:rsid w:val="7C41564D"/>
    <w:rsid w:val="7C5F0EF8"/>
    <w:rsid w:val="7C8A0448"/>
    <w:rsid w:val="7C8E16C9"/>
    <w:rsid w:val="7C91123B"/>
    <w:rsid w:val="7CA10AF6"/>
    <w:rsid w:val="7CB561C0"/>
    <w:rsid w:val="7CCC277F"/>
    <w:rsid w:val="7CCD3BF4"/>
    <w:rsid w:val="7CE3033A"/>
    <w:rsid w:val="7D0A2590"/>
    <w:rsid w:val="7D550752"/>
    <w:rsid w:val="7D6A7A29"/>
    <w:rsid w:val="7D702076"/>
    <w:rsid w:val="7D712B47"/>
    <w:rsid w:val="7DA0035E"/>
    <w:rsid w:val="7DBE0A6E"/>
    <w:rsid w:val="7DCC5A45"/>
    <w:rsid w:val="7DDD2F0E"/>
    <w:rsid w:val="7DED6343"/>
    <w:rsid w:val="7E3F65EE"/>
    <w:rsid w:val="7E401756"/>
    <w:rsid w:val="7E630B4F"/>
    <w:rsid w:val="7E642324"/>
    <w:rsid w:val="7E831180"/>
    <w:rsid w:val="7E8B6D0C"/>
    <w:rsid w:val="7E905E0D"/>
    <w:rsid w:val="7EDA5831"/>
    <w:rsid w:val="7EFA29D7"/>
    <w:rsid w:val="7F007923"/>
    <w:rsid w:val="7F1F02F6"/>
    <w:rsid w:val="7F285EA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17870EBA-560E-4E7C-A664-22A449C60D13}">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11</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2022-01-10T06:48:10Z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