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101-bis-e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R4-2200737</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January 17-25,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 xml:space="preserve">Discussion on General RRM Requirements for NTN UE </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6.13.5.1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jc w:val="both"/>
        <w:rPr>
          <w:rFonts w:hint="eastAsia" w:eastAsia="宋体"/>
          <w:sz w:val="22"/>
          <w:lang w:val="en-US" w:eastAsia="zh-CN"/>
        </w:rPr>
      </w:pPr>
      <w:r>
        <w:rPr>
          <w:rFonts w:hint="eastAsia" w:eastAsia="宋体"/>
          <w:sz w:val="22"/>
          <w:lang w:val="en-US" w:eastAsia="zh-CN"/>
        </w:rPr>
        <w:t>In the last 101-e meeting, way forward about RRM mobility and measurement requirements for NTN UE has been approved[1]. The following general requirements had achieved agreements and conclusions.</w:t>
      </w:r>
    </w:p>
    <w:p>
      <w:pPr>
        <w:ind w:left="400" w:leftChars="200"/>
        <w:rPr>
          <w:b/>
          <w:i/>
          <w:iCs/>
          <w:color w:val="auto"/>
          <w:highlight w:val="none"/>
          <w:u w:val="single"/>
          <w:lang w:eastAsia="ko-KR"/>
        </w:rPr>
      </w:pPr>
      <w:r>
        <w:rPr>
          <w:b/>
          <w:i/>
          <w:iCs/>
          <w:color w:val="auto"/>
          <w:u w:val="single"/>
          <w:lang w:eastAsia="ko-KR"/>
        </w:rPr>
        <w:t>Issue 1</w:t>
      </w:r>
      <w:r>
        <w:rPr>
          <w:rFonts w:hint="eastAsia"/>
          <w:b/>
          <w:i/>
          <w:iCs/>
          <w:color w:val="auto"/>
          <w:u w:val="single"/>
          <w:lang w:eastAsia="zh-CN"/>
        </w:rPr>
        <w:t>-</w:t>
      </w:r>
      <w:r>
        <w:rPr>
          <w:b/>
          <w:i/>
          <w:iCs/>
          <w:color w:val="auto"/>
          <w:u w:val="single"/>
          <w:lang w:eastAsia="ko-KR"/>
        </w:rPr>
        <w:t xml:space="preserve">1-1: RAN4 to define different RRM requirements for different deployments, e.g. satellite types, altitude, </w:t>
      </w:r>
      <w:r>
        <w:rPr>
          <w:b/>
          <w:i/>
          <w:iCs/>
          <w:color w:val="auto"/>
          <w:highlight w:val="none"/>
          <w:u w:val="single"/>
          <w:lang w:eastAsia="ko-KR"/>
        </w:rPr>
        <w:t>earth-fixed vs. –moving, etc.</w:t>
      </w:r>
    </w:p>
    <w:p>
      <w:pPr>
        <w:ind w:left="400" w:leftChars="200"/>
        <w:rPr>
          <w:i/>
          <w:iCs/>
          <w:color w:val="auto"/>
          <w:highlight w:val="none"/>
          <w:lang w:val="en-US" w:eastAsia="zh-CN"/>
        </w:rPr>
      </w:pPr>
      <w:r>
        <w:rPr>
          <w:i/>
          <w:iCs/>
          <w:color w:val="auto"/>
          <w:highlight w:val="none"/>
          <w:lang w:val="en-US" w:eastAsia="zh-CN"/>
        </w:rPr>
        <w:t>Agreements:</w:t>
      </w:r>
    </w:p>
    <w:p>
      <w:pPr>
        <w:ind w:left="400" w:leftChars="200"/>
        <w:rPr>
          <w:b w:val="0"/>
          <w:bCs/>
          <w:i/>
          <w:iCs/>
          <w:color w:val="auto"/>
          <w:highlight w:val="none"/>
          <w:lang w:eastAsia="ko-KR"/>
        </w:rPr>
      </w:pPr>
      <w:r>
        <w:rPr>
          <w:b w:val="0"/>
          <w:bCs/>
          <w:i/>
          <w:iCs/>
          <w:color w:val="auto"/>
          <w:highlight w:val="none"/>
          <w:lang w:eastAsia="ko-KR"/>
        </w:rPr>
        <w:t>RAN4 to define different RRM requirements for different deployments, e.g. quasi-earth fixed cell and earth moving cell for NGSO, and satellite types, e.g. GSO and NGSO with different altitudes.</w:t>
      </w:r>
    </w:p>
    <w:p>
      <w:pPr>
        <w:ind w:left="400" w:leftChars="200"/>
        <w:rPr>
          <w:b/>
          <w:i/>
          <w:iCs/>
          <w:color w:val="auto"/>
          <w:highlight w:val="none"/>
          <w:u w:val="single"/>
          <w:lang w:eastAsia="ko-KR"/>
        </w:rPr>
      </w:pPr>
      <w:r>
        <w:rPr>
          <w:b/>
          <w:i/>
          <w:iCs/>
          <w:color w:val="auto"/>
          <w:highlight w:val="none"/>
          <w:u w:val="single"/>
          <w:lang w:eastAsia="ko-KR"/>
        </w:rPr>
        <w:t>Issue 1</w:t>
      </w:r>
      <w:r>
        <w:rPr>
          <w:rFonts w:hint="eastAsia"/>
          <w:b/>
          <w:i/>
          <w:iCs/>
          <w:color w:val="auto"/>
          <w:highlight w:val="none"/>
          <w:u w:val="single"/>
          <w:lang w:eastAsia="zh-CN"/>
        </w:rPr>
        <w:t>-</w:t>
      </w:r>
      <w:r>
        <w:rPr>
          <w:b/>
          <w:i/>
          <w:iCs/>
          <w:color w:val="auto"/>
          <w:highlight w:val="none"/>
          <w:u w:val="single"/>
          <w:lang w:eastAsia="ko-KR"/>
        </w:rPr>
        <w:t>2-1: RRM requirements for RRC Connected mode</w:t>
      </w:r>
    </w:p>
    <w:p>
      <w:pPr>
        <w:ind w:left="400" w:leftChars="200"/>
        <w:rPr>
          <w:i/>
          <w:iCs/>
          <w:color w:val="auto"/>
          <w:highlight w:val="none"/>
          <w:lang w:val="en-US" w:eastAsia="zh-CN"/>
        </w:rPr>
      </w:pPr>
      <w:r>
        <w:rPr>
          <w:i/>
          <w:iCs/>
          <w:color w:val="auto"/>
          <w:highlight w:val="none"/>
          <w:lang w:val="en-US" w:eastAsia="zh-CN"/>
        </w:rPr>
        <w:t>Conclusion:</w:t>
      </w:r>
    </w:p>
    <w:p>
      <w:pPr>
        <w:ind w:left="400" w:leftChars="200"/>
        <w:rPr>
          <w:b w:val="0"/>
          <w:bCs/>
          <w:i/>
          <w:iCs/>
          <w:color w:val="auto"/>
          <w:highlight w:val="none"/>
          <w:lang w:eastAsia="ko-KR"/>
        </w:rPr>
      </w:pPr>
      <w:r>
        <w:rPr>
          <w:b w:val="0"/>
          <w:bCs/>
          <w:i/>
          <w:iCs/>
          <w:color w:val="auto"/>
          <w:highlight w:val="none"/>
          <w:lang w:eastAsia="ko-KR"/>
        </w:rPr>
        <w:t>Connected mode measurement/mobility requirements for TN-NTN are not precluded. The relevant discussions are not precluded, and based on contributions in the next future RAN4 meetings as usual.</w:t>
      </w:r>
    </w:p>
    <w:p>
      <w:pPr>
        <w:ind w:left="400" w:leftChars="200"/>
        <w:rPr>
          <w:b/>
          <w:i/>
          <w:iCs/>
          <w:color w:val="auto"/>
          <w:highlight w:val="none"/>
          <w:u w:val="single"/>
          <w:lang w:eastAsia="ko-KR"/>
        </w:rPr>
      </w:pPr>
      <w:r>
        <w:rPr>
          <w:b/>
          <w:i/>
          <w:iCs/>
          <w:color w:val="auto"/>
          <w:highlight w:val="none"/>
          <w:u w:val="single"/>
          <w:lang w:eastAsia="ko-KR"/>
        </w:rPr>
        <w:t>Issue 1-4-1: Applicability of Legacy DRX Cycles for GEO</w:t>
      </w:r>
    </w:p>
    <w:p>
      <w:pPr>
        <w:ind w:left="400" w:leftChars="200"/>
        <w:rPr>
          <w:i/>
          <w:iCs/>
          <w:color w:val="auto"/>
          <w:highlight w:val="none"/>
          <w:lang w:val="en-US" w:eastAsia="zh-CN"/>
        </w:rPr>
      </w:pPr>
      <w:r>
        <w:rPr>
          <w:i/>
          <w:iCs/>
          <w:color w:val="auto"/>
          <w:highlight w:val="none"/>
          <w:lang w:val="en-US" w:eastAsia="zh-CN"/>
        </w:rPr>
        <w:t>Agreements:</w:t>
      </w:r>
    </w:p>
    <w:p>
      <w:pPr>
        <w:ind w:left="400" w:leftChars="200"/>
        <w:rPr>
          <w:rFonts w:hint="eastAsia" w:eastAsia="宋体"/>
          <w:b w:val="0"/>
          <w:bCs/>
          <w:i/>
          <w:iCs/>
          <w:color w:val="auto"/>
          <w:highlight w:val="none"/>
          <w:lang w:val="en-US" w:eastAsia="zh-CN"/>
        </w:rPr>
      </w:pPr>
      <w:r>
        <w:rPr>
          <w:b w:val="0"/>
          <w:bCs/>
          <w:i/>
          <w:iCs/>
          <w:color w:val="auto"/>
          <w:highlight w:val="none"/>
          <w:lang w:eastAsia="ko-KR"/>
        </w:rPr>
        <w:t>All Rel-16 DRX cycle lengths are applicable for GEO</w:t>
      </w:r>
      <w:r>
        <w:rPr>
          <w:rFonts w:hint="eastAsia" w:eastAsia="宋体"/>
          <w:b w:val="0"/>
          <w:bCs/>
          <w:i/>
          <w:iCs/>
          <w:color w:val="auto"/>
          <w:highlight w:val="none"/>
          <w:lang w:val="en-US" w:eastAsia="zh-CN"/>
        </w:rPr>
        <w:t>.</w:t>
      </w:r>
    </w:p>
    <w:p>
      <w:pPr>
        <w:ind w:leftChars="200"/>
        <w:rPr>
          <w:b/>
          <w:i/>
          <w:iCs/>
          <w:color w:val="auto"/>
          <w:highlight w:val="none"/>
          <w:u w:val="single"/>
          <w:lang w:eastAsia="ko-KR"/>
        </w:rPr>
      </w:pPr>
      <w:r>
        <w:rPr>
          <w:b/>
          <w:i/>
          <w:iCs/>
          <w:color w:val="auto"/>
          <w:highlight w:val="none"/>
          <w:u w:val="single"/>
          <w:lang w:eastAsia="ko-KR"/>
        </w:rPr>
        <w:t>Issue 1-7:  RRM Spec Documentation</w:t>
      </w:r>
    </w:p>
    <w:p>
      <w:pPr>
        <w:ind w:leftChars="200"/>
        <w:rPr>
          <w:i/>
          <w:color w:val="auto"/>
          <w:highlight w:val="none"/>
          <w:lang w:val="en-US" w:eastAsia="zh-CN"/>
        </w:rPr>
      </w:pPr>
      <w:r>
        <w:rPr>
          <w:i/>
          <w:color w:val="auto"/>
          <w:highlight w:val="none"/>
          <w:lang w:val="en-US" w:eastAsia="zh-CN"/>
        </w:rPr>
        <w:t>Conclusion</w:t>
      </w:r>
      <w:r>
        <w:rPr>
          <w:rFonts w:hint="eastAsia"/>
          <w:i/>
          <w:color w:val="auto"/>
          <w:highlight w:val="none"/>
          <w:lang w:val="en-US" w:eastAsia="zh-CN"/>
        </w:rPr>
        <w:t>:</w:t>
      </w:r>
    </w:p>
    <w:p>
      <w:pPr>
        <w:ind w:leftChars="200"/>
        <w:rPr>
          <w:b w:val="0"/>
          <w:bCs/>
          <w:lang w:eastAsia="ko-KR"/>
        </w:rPr>
      </w:pPr>
      <w:r>
        <w:rPr>
          <w:b w:val="0"/>
          <w:bCs/>
          <w:lang w:eastAsia="ko-KR"/>
        </w:rPr>
        <w:t>No further discussion on RRM spec documentation format. RAN4 understanding is the decision will be made in RAN#94 e-meeting.</w:t>
      </w:r>
    </w:p>
    <w:p>
      <w:pPr>
        <w:ind w:leftChars="200"/>
        <w:rPr>
          <w:rFonts w:hint="eastAsia" w:eastAsia="宋体"/>
          <w:b w:val="0"/>
          <w:bCs/>
          <w:i/>
          <w:iCs/>
          <w:color w:val="auto"/>
          <w:highlight w:val="none"/>
          <w:lang w:val="en-US" w:eastAsia="zh-CN"/>
        </w:rPr>
      </w:pPr>
    </w:p>
    <w:p>
      <w:pPr>
        <w:jc w:val="both"/>
        <w:rPr>
          <w:rFonts w:hint="eastAsia" w:eastAsia="宋体"/>
          <w:sz w:val="22"/>
          <w:lang w:val="en-US" w:eastAsia="zh-CN"/>
        </w:rPr>
      </w:pPr>
      <w:r>
        <w:rPr>
          <w:rFonts w:hint="eastAsia" w:eastAsia="宋体"/>
          <w:sz w:val="22"/>
          <w:lang w:val="en-US" w:eastAsia="zh-CN"/>
        </w:rPr>
        <w:t>The following issues needs LS back from RAN2:</w:t>
      </w:r>
    </w:p>
    <w:p>
      <w:pPr>
        <w:ind w:leftChars="200"/>
        <w:rPr>
          <w:b/>
          <w:i/>
          <w:iCs/>
          <w:color w:val="auto"/>
          <w:u w:val="single"/>
          <w:lang w:eastAsia="ko-KR"/>
        </w:rPr>
      </w:pPr>
      <w:r>
        <w:rPr>
          <w:b/>
          <w:i/>
          <w:iCs/>
          <w:color w:val="auto"/>
          <w:u w:val="single"/>
          <w:lang w:eastAsia="ko-KR"/>
        </w:rPr>
        <w:t>Issue 1-6-X: Neighbour/Target Cell/Satellite information for NTN measurement/mobility</w:t>
      </w:r>
    </w:p>
    <w:p>
      <w:pPr>
        <w:pStyle w:val="28"/>
        <w:numPr>
          <w:ilvl w:val="0"/>
          <w:numId w:val="6"/>
        </w:numPr>
        <w:ind w:leftChars="200" w:firstLineChars="0"/>
        <w:rPr>
          <w:b/>
          <w:i/>
          <w:iCs/>
          <w:color w:val="auto"/>
          <w:u w:val="single"/>
          <w:lang w:eastAsia="ko-KR"/>
        </w:rPr>
      </w:pPr>
      <w:r>
        <w:rPr>
          <w:b/>
          <w:i/>
          <w:iCs/>
          <w:color w:val="auto"/>
          <w:u w:val="single"/>
          <w:lang w:eastAsia="ko-KR"/>
        </w:rPr>
        <w:t>Issue 1-6-1: If valid neighbour/target cell’s timing information in terms of validity or accuracy is not provided to UE</w:t>
      </w:r>
    </w:p>
    <w:p>
      <w:pPr>
        <w:pStyle w:val="28"/>
        <w:numPr>
          <w:ilvl w:val="0"/>
          <w:numId w:val="6"/>
        </w:numPr>
        <w:ind w:leftChars="200" w:firstLineChars="0"/>
        <w:rPr>
          <w:b/>
          <w:i/>
          <w:iCs/>
          <w:color w:val="auto"/>
          <w:u w:val="single"/>
          <w:lang w:eastAsia="ko-KR"/>
        </w:rPr>
      </w:pPr>
      <w:r>
        <w:rPr>
          <w:b/>
          <w:i/>
          <w:iCs/>
          <w:color w:val="auto"/>
          <w:u w:val="single"/>
          <w:lang w:eastAsia="ko-KR"/>
        </w:rPr>
        <w:t>Issue 1-6-2: Which parameters are necessary for Measurement and/or Mobility</w:t>
      </w:r>
    </w:p>
    <w:p>
      <w:pPr>
        <w:pStyle w:val="28"/>
        <w:numPr>
          <w:ilvl w:val="0"/>
          <w:numId w:val="6"/>
        </w:numPr>
        <w:ind w:leftChars="200" w:firstLineChars="0"/>
        <w:rPr>
          <w:b/>
          <w:i/>
          <w:iCs/>
          <w:color w:val="auto"/>
          <w:u w:val="single"/>
          <w:lang w:eastAsia="ko-KR"/>
        </w:rPr>
      </w:pPr>
      <w:r>
        <w:rPr>
          <w:b/>
          <w:i/>
          <w:iCs/>
          <w:color w:val="auto"/>
          <w:u w:val="single"/>
          <w:lang w:eastAsia="ko-KR"/>
        </w:rPr>
        <w:t>Issue 1-6-3: Assumption on the satellite position prediction error</w:t>
      </w:r>
    </w:p>
    <w:p>
      <w:pPr>
        <w:jc w:val="both"/>
        <w:rPr>
          <w:rFonts w:hint="eastAsia" w:eastAsia="宋体"/>
          <w:sz w:val="22"/>
          <w:lang w:val="en-US" w:eastAsia="zh-CN"/>
        </w:rPr>
      </w:pPr>
    </w:p>
    <w:p>
      <w:pPr>
        <w:jc w:val="both"/>
        <w:rPr>
          <w:rFonts w:hint="default" w:eastAsia="宋体"/>
          <w:sz w:val="22"/>
          <w:lang w:val="en-US" w:eastAsia="zh-CN"/>
        </w:rPr>
      </w:pPr>
      <w:r>
        <w:rPr>
          <w:rFonts w:hint="eastAsia" w:eastAsia="宋体"/>
          <w:sz w:val="22"/>
          <w:lang w:val="en-US" w:eastAsia="zh-CN"/>
        </w:rPr>
        <w:t xml:space="preserve">Some issues about general aspects requirements are still FFS. In this contribution ,we further provide our views on the these issues. </w:t>
      </w:r>
    </w:p>
    <w:p>
      <w:pPr>
        <w:pStyle w:val="30"/>
        <w:numPr>
          <w:ilvl w:val="0"/>
          <w:numId w:val="7"/>
        </w:numPr>
        <w:jc w:val="both"/>
        <w:rPr>
          <w:rFonts w:hint="eastAsia"/>
          <w:lang w:val="en-US" w:eastAsia="zh-CN"/>
        </w:rPr>
      </w:pPr>
      <w:r>
        <w:rPr>
          <w:rFonts w:hint="eastAsia"/>
          <w:lang w:val="en-US" w:eastAsia="zh-CN"/>
        </w:rPr>
        <w:t>Discussion</w:t>
      </w:r>
    </w:p>
    <w:p>
      <w:pPr>
        <w:overflowPunct w:val="0"/>
        <w:autoSpaceDE w:val="0"/>
        <w:autoSpaceDN w:val="0"/>
        <w:adjustRightInd w:val="0"/>
        <w:spacing w:after="120"/>
        <w:textAlignment w:val="baseline"/>
        <w:rPr>
          <w:rFonts w:hint="eastAsia" w:eastAsia="宋体" w:cs="Times New Roman"/>
          <w:b/>
          <w:bCs/>
          <w:lang w:val="en-US" w:eastAsia="zh-CN"/>
        </w:rPr>
      </w:pPr>
      <w:r>
        <w:rPr>
          <w:rFonts w:hint="eastAsia" w:eastAsia="宋体" w:cs="Times New Roman"/>
          <w:b/>
          <w:bCs/>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color w:val="auto"/>
                <w:u w:val="single"/>
                <w:lang w:eastAsia="ko-KR"/>
              </w:rPr>
            </w:pPr>
            <w:r>
              <w:rPr>
                <w:b/>
                <w:color w:val="auto"/>
                <w:u w:val="single"/>
                <w:lang w:eastAsia="ko-KR"/>
              </w:rPr>
              <w:t>Issue 1-4-2: Applicability of Legacy DRX Cycles for NGSO, e.g. LEO</w:t>
            </w:r>
          </w:p>
          <w:p>
            <w:pPr>
              <w:rPr>
                <w:i/>
                <w:color w:val="0070C0"/>
                <w:lang w:val="en-US" w:eastAsia="zh-CN"/>
              </w:rPr>
            </w:pPr>
            <w:r>
              <w:rPr>
                <w:i/>
                <w:color w:val="0070C0"/>
                <w:highlight w:val="green"/>
                <w:lang w:val="en-US" w:eastAsia="zh-CN"/>
              </w:rPr>
              <w:t>Agreements:</w:t>
            </w:r>
          </w:p>
          <w:p>
            <w:pPr>
              <w:pStyle w:val="28"/>
              <w:numPr>
                <w:ilvl w:val="0"/>
                <w:numId w:val="8"/>
              </w:numPr>
              <w:overflowPunct/>
              <w:autoSpaceDE/>
              <w:autoSpaceDN/>
              <w:adjustRightInd/>
              <w:spacing w:after="120"/>
              <w:ind w:left="720" w:firstLineChars="0"/>
              <w:textAlignment w:val="auto"/>
              <w:rPr>
                <w:rFonts w:eastAsia="宋体"/>
                <w:b w:val="0"/>
                <w:bCs w:val="0"/>
                <w:szCs w:val="24"/>
                <w:lang w:eastAsia="zh-CN"/>
              </w:rPr>
            </w:pPr>
            <w:r>
              <w:rPr>
                <w:rFonts w:eastAsia="宋体"/>
                <w:b w:val="0"/>
                <w:bCs w:val="0"/>
                <w:szCs w:val="24"/>
                <w:lang w:eastAsia="zh-CN"/>
              </w:rPr>
              <w:t>For quasi-earth fixed LEO, all Rel-16 DRX cycle lengths are applicable</w:t>
            </w:r>
          </w:p>
          <w:p>
            <w:pPr>
              <w:pStyle w:val="28"/>
              <w:numPr>
                <w:ilvl w:val="0"/>
                <w:numId w:val="8"/>
              </w:numPr>
              <w:overflowPunct/>
              <w:autoSpaceDE/>
              <w:autoSpaceDN/>
              <w:adjustRightInd/>
              <w:spacing w:after="120"/>
              <w:ind w:left="720" w:firstLineChars="0"/>
              <w:textAlignment w:val="auto"/>
              <w:rPr>
                <w:rFonts w:eastAsia="宋体"/>
                <w:b w:val="0"/>
                <w:bCs w:val="0"/>
                <w:szCs w:val="24"/>
                <w:lang w:eastAsia="zh-CN"/>
              </w:rPr>
            </w:pPr>
            <w:r>
              <w:rPr>
                <w:rFonts w:eastAsia="宋体"/>
                <w:b w:val="0"/>
                <w:bCs w:val="0"/>
                <w:szCs w:val="24"/>
                <w:lang w:eastAsia="zh-CN"/>
              </w:rPr>
              <w:t>For earth moving fixed LEO,</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Option 1:</w:t>
            </w:r>
          </w:p>
          <w:p>
            <w:pPr>
              <w:pStyle w:val="28"/>
              <w:numPr>
                <w:ilvl w:val="2"/>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All Rel-16 DRX cycle lengths should be applicable</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Option 2:</w:t>
            </w:r>
          </w:p>
          <w:p>
            <w:pPr>
              <w:pStyle w:val="28"/>
              <w:numPr>
                <w:ilvl w:val="2"/>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2.56s DRX cycle is not used for earth-moving LEO deployment</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Option 3:</w:t>
            </w:r>
          </w:p>
          <w:p>
            <w:pPr>
              <w:pStyle w:val="28"/>
              <w:numPr>
                <w:ilvl w:val="2"/>
                <w:numId w:val="8"/>
              </w:numPr>
              <w:overflowPunct/>
              <w:autoSpaceDE/>
              <w:autoSpaceDN/>
              <w:adjustRightInd/>
              <w:spacing w:after="120"/>
              <w:ind w:firstLineChars="0"/>
              <w:textAlignment w:val="auto"/>
              <w:rPr>
                <w:lang w:val="en-GB"/>
              </w:rPr>
            </w:pPr>
            <w:r>
              <w:rPr>
                <w:rFonts w:eastAsia="宋体"/>
                <w:b w:val="0"/>
                <w:bCs w:val="0"/>
                <w:szCs w:val="24"/>
                <w:lang w:eastAsia="zh-CN"/>
              </w:rPr>
              <w:t>FFS</w:t>
            </w:r>
          </w:p>
        </w:tc>
      </w:tr>
    </w:tbl>
    <w:p>
      <w:pPr>
        <w:overflowPunct w:val="0"/>
        <w:autoSpaceDE w:val="0"/>
        <w:autoSpaceDN w:val="0"/>
        <w:adjustRightInd w:val="0"/>
        <w:spacing w:after="120"/>
        <w:textAlignment w:val="baseline"/>
        <w:rPr>
          <w:rFonts w:hint="eastAsia" w:eastAsia="宋体" w:cs="Times New Roman"/>
          <w:b/>
          <w:bCs/>
          <w:lang w:val="en-US" w:eastAsia="zh-CN"/>
        </w:rPr>
      </w:pPr>
    </w:p>
    <w:p>
      <w:pPr>
        <w:overflowPunct w:val="0"/>
        <w:autoSpaceDE w:val="0"/>
        <w:autoSpaceDN w:val="0"/>
        <w:adjustRightInd w:val="0"/>
        <w:spacing w:after="120"/>
        <w:textAlignment w:val="baseline"/>
        <w:rPr>
          <w:rFonts w:hint="eastAsia" w:eastAsia="宋体" w:cs="Times New Roman"/>
          <w:b w:val="0"/>
          <w:bCs w:val="0"/>
          <w:lang w:val="en-US" w:eastAsia="zh-CN"/>
        </w:rPr>
      </w:pPr>
      <w:r>
        <w:rPr>
          <w:rFonts w:hint="eastAsia" w:eastAsia="宋体" w:cs="Times New Roman"/>
          <w:b w:val="0"/>
          <w:bCs w:val="0"/>
          <w:lang w:val="en-US" w:eastAsia="zh-CN"/>
        </w:rPr>
        <w:t>RAN4 had the following agreements for DRX Cycles in the past meetings:</w:t>
      </w:r>
    </w:p>
    <w:p>
      <w:pPr>
        <w:pStyle w:val="28"/>
        <w:widowControl/>
        <w:numPr>
          <w:ilvl w:val="0"/>
          <w:numId w:val="0"/>
        </w:numPr>
        <w:overflowPunct w:val="0"/>
        <w:spacing w:after="120" w:line="240" w:lineRule="auto"/>
        <w:ind w:left="360" w:leftChars="0"/>
        <w:textAlignment w:val="baseline"/>
        <w:rPr>
          <w:rFonts w:hint="eastAsia"/>
          <w:b/>
          <w:bCs/>
          <w:i/>
          <w:iCs/>
          <w:szCs w:val="24"/>
          <w:lang w:eastAsia="zh-CN"/>
        </w:rPr>
      </w:pPr>
      <w:r>
        <w:rPr>
          <w:rFonts w:hint="eastAsia"/>
          <w:b/>
          <w:bCs/>
          <w:i/>
          <w:iCs/>
          <w:szCs w:val="24"/>
          <w:lang w:eastAsia="zh-CN"/>
        </w:rPr>
        <w:t>Issue 1-1: Maximum applicable DRX cycle</w:t>
      </w:r>
      <w:r>
        <w:rPr>
          <w:rFonts w:hint="eastAsia" w:eastAsia="宋体" w:cs="Times New Roman"/>
          <w:b w:val="0"/>
          <w:bCs w:val="0"/>
          <w:lang w:val="en-US" w:eastAsia="zh-CN"/>
        </w:rPr>
        <w:t>[2]</w:t>
      </w:r>
    </w:p>
    <w:p>
      <w:pPr>
        <w:pStyle w:val="28"/>
        <w:widowControl/>
        <w:numPr>
          <w:ilvl w:val="0"/>
          <w:numId w:val="0"/>
        </w:numPr>
        <w:overflowPunct w:val="0"/>
        <w:spacing w:after="120" w:line="240" w:lineRule="auto"/>
        <w:ind w:left="360" w:leftChars="0"/>
        <w:textAlignment w:val="baseline"/>
        <w:rPr>
          <w:rFonts w:hint="eastAsia"/>
          <w:i/>
          <w:iCs/>
          <w:szCs w:val="24"/>
          <w:lang w:eastAsia="zh-CN"/>
        </w:rPr>
      </w:pPr>
      <w:r>
        <w:rPr>
          <w:rFonts w:hint="eastAsia"/>
          <w:i/>
          <w:iCs/>
          <w:szCs w:val="24"/>
          <w:lang w:eastAsia="zh-CN"/>
        </w:rPr>
        <w:t>Applicability of DRX cycles for NTN is RAN2 issue. Defer discussion until RAN2 has reached a consensus, then define requirements for all DRX cycles defined by RAN2 for NTN operation if necessary.</w:t>
      </w:r>
    </w:p>
    <w:p>
      <w:pPr>
        <w:pStyle w:val="28"/>
        <w:widowControl/>
        <w:numPr>
          <w:ilvl w:val="0"/>
          <w:numId w:val="0"/>
        </w:numPr>
        <w:overflowPunct w:val="0"/>
        <w:spacing w:after="120" w:line="240" w:lineRule="auto"/>
        <w:ind w:left="360" w:leftChars="0"/>
        <w:textAlignment w:val="baseline"/>
        <w:rPr>
          <w:i/>
          <w:iCs/>
          <w:szCs w:val="24"/>
          <w:lang w:eastAsia="zh-CN"/>
        </w:rPr>
      </w:pPr>
    </w:p>
    <w:p>
      <w:pPr>
        <w:pStyle w:val="28"/>
        <w:widowControl/>
        <w:numPr>
          <w:ilvl w:val="0"/>
          <w:numId w:val="0"/>
        </w:numPr>
        <w:overflowPunct w:val="0"/>
        <w:spacing w:after="120" w:line="240" w:lineRule="auto"/>
        <w:ind w:left="360" w:leftChars="0"/>
        <w:textAlignment w:val="baseline"/>
        <w:rPr>
          <w:rFonts w:hint="eastAsia"/>
          <w:b/>
          <w:bCs/>
          <w:i/>
          <w:iCs/>
          <w:szCs w:val="24"/>
          <w:lang w:eastAsia="ko-KR"/>
        </w:rPr>
      </w:pPr>
      <w:r>
        <w:rPr>
          <w:rFonts w:hint="eastAsia"/>
          <w:b/>
          <w:bCs/>
          <w:i/>
          <w:iCs/>
          <w:szCs w:val="24"/>
          <w:lang w:eastAsia="ko-KR"/>
        </w:rPr>
        <w:t>Issue 1-2-3</w:t>
      </w:r>
      <w:r>
        <w:rPr>
          <w:rFonts w:hint="eastAsia" w:eastAsia="宋体"/>
          <w:b/>
          <w:bCs/>
          <w:i/>
          <w:iCs/>
          <w:szCs w:val="24"/>
          <w:lang w:val="en-US" w:eastAsia="zh-CN"/>
        </w:rPr>
        <w:t>:</w:t>
      </w:r>
      <w:r>
        <w:rPr>
          <w:rFonts w:hint="eastAsia"/>
          <w:b/>
          <w:bCs/>
          <w:i/>
          <w:iCs/>
          <w:szCs w:val="24"/>
          <w:lang w:eastAsia="ko-KR"/>
        </w:rPr>
        <w:t>DRX Cycle</w:t>
      </w:r>
      <w:r>
        <w:rPr>
          <w:rFonts w:hint="eastAsia" w:eastAsia="宋体" w:cs="Times New Roman"/>
          <w:b w:val="0"/>
          <w:bCs w:val="0"/>
          <w:lang w:val="en-US" w:eastAsia="zh-CN"/>
        </w:rPr>
        <w:t>[3]</w:t>
      </w:r>
    </w:p>
    <w:p>
      <w:pPr>
        <w:pStyle w:val="28"/>
        <w:widowControl/>
        <w:numPr>
          <w:ilvl w:val="0"/>
          <w:numId w:val="0"/>
        </w:numPr>
        <w:overflowPunct w:val="0"/>
        <w:spacing w:after="120" w:line="240" w:lineRule="auto"/>
        <w:ind w:left="360" w:leftChars="0"/>
        <w:textAlignment w:val="baseline"/>
        <w:rPr>
          <w:i/>
          <w:iCs/>
          <w:szCs w:val="24"/>
          <w:lang w:eastAsia="zh-CN"/>
        </w:rPr>
      </w:pPr>
      <w:r>
        <w:rPr>
          <w:i/>
          <w:iCs/>
          <w:szCs w:val="24"/>
          <w:lang w:eastAsia="zh-CN"/>
        </w:rPr>
        <w:t>RRM requirements shall be applicable to all Rel-16 DRX cycle lengths unless a technical issue is identified. If it is demonstrated, e.g. based on system level analysis, that certain DRX cycle lengths are not applicable to NTN, RAN4 can revisit the agreement and further discuss the following options:</w:t>
      </w:r>
    </w:p>
    <w:p>
      <w:pPr>
        <w:pStyle w:val="28"/>
        <w:widowControl/>
        <w:numPr>
          <w:ilvl w:val="1"/>
          <w:numId w:val="9"/>
        </w:numPr>
        <w:overflowPunct w:val="0"/>
        <w:spacing w:after="120" w:line="240" w:lineRule="auto"/>
        <w:ind w:firstLineChars="0"/>
        <w:textAlignment w:val="baseline"/>
        <w:rPr>
          <w:i/>
          <w:iCs/>
          <w:szCs w:val="24"/>
          <w:lang w:eastAsia="zh-CN"/>
        </w:rPr>
      </w:pPr>
      <w:r>
        <w:rPr>
          <w:i/>
          <w:iCs/>
          <w:szCs w:val="24"/>
          <w:lang w:eastAsia="zh-CN"/>
        </w:rPr>
        <w:t>Exclude the identified DRX cycle lengths from RRM spec</w:t>
      </w:r>
    </w:p>
    <w:p>
      <w:pPr>
        <w:pStyle w:val="28"/>
        <w:widowControl/>
        <w:numPr>
          <w:ilvl w:val="1"/>
          <w:numId w:val="9"/>
        </w:numPr>
        <w:overflowPunct w:val="0"/>
        <w:spacing w:after="120" w:line="240" w:lineRule="auto"/>
        <w:ind w:firstLineChars="0"/>
        <w:textAlignment w:val="baseline"/>
        <w:rPr>
          <w:i/>
          <w:iCs/>
          <w:szCs w:val="24"/>
          <w:lang w:eastAsia="zh-CN"/>
        </w:rPr>
      </w:pPr>
      <w:r>
        <w:rPr>
          <w:i/>
          <w:iCs/>
          <w:szCs w:val="24"/>
          <w:lang w:eastAsia="zh-CN"/>
        </w:rPr>
        <w:t>Define applicability rule for the identified DRX cycle lengths</w:t>
      </w:r>
    </w:p>
    <w:p>
      <w:pPr>
        <w:pStyle w:val="28"/>
        <w:widowControl/>
        <w:numPr>
          <w:ilvl w:val="1"/>
          <w:numId w:val="9"/>
        </w:numPr>
        <w:overflowPunct w:val="0"/>
        <w:spacing w:after="120" w:line="240" w:lineRule="auto"/>
        <w:ind w:firstLineChars="0"/>
        <w:textAlignment w:val="baseline"/>
        <w:rPr>
          <w:i/>
          <w:iCs/>
          <w:szCs w:val="24"/>
          <w:lang w:eastAsia="zh-CN"/>
        </w:rPr>
      </w:pPr>
      <w:r>
        <w:rPr>
          <w:i/>
          <w:iCs/>
          <w:szCs w:val="24"/>
          <w:lang w:eastAsia="zh-CN"/>
        </w:rPr>
        <w:t>Leave it to network configuration</w:t>
      </w:r>
    </w:p>
    <w:p>
      <w:pPr>
        <w:pStyle w:val="28"/>
        <w:widowControl/>
        <w:numPr>
          <w:ilvl w:val="1"/>
          <w:numId w:val="9"/>
        </w:numPr>
        <w:overflowPunct w:val="0"/>
        <w:spacing w:after="120" w:line="240" w:lineRule="auto"/>
        <w:ind w:firstLineChars="0"/>
        <w:textAlignment w:val="baseline"/>
        <w:rPr>
          <w:i/>
          <w:iCs/>
          <w:szCs w:val="24"/>
          <w:lang w:eastAsia="zh-CN"/>
        </w:rPr>
      </w:pPr>
      <w:r>
        <w:rPr>
          <w:i/>
          <w:iCs/>
          <w:szCs w:val="24"/>
          <w:lang w:eastAsia="zh-CN"/>
        </w:rPr>
        <w:t>Other options are not precluded</w:t>
      </w:r>
    </w:p>
    <w:p>
      <w:pPr>
        <w:pStyle w:val="28"/>
        <w:widowControl/>
        <w:numPr>
          <w:ilvl w:val="1"/>
          <w:numId w:val="9"/>
        </w:numPr>
        <w:overflowPunct w:val="0"/>
        <w:spacing w:after="120" w:line="240" w:lineRule="auto"/>
        <w:ind w:firstLineChars="0"/>
        <w:textAlignment w:val="baseline"/>
        <w:rPr>
          <w:rFonts w:hint="default" w:eastAsia="宋体" w:cs="Times New Roman"/>
          <w:b w:val="0"/>
          <w:bCs w:val="0"/>
          <w:lang w:val="en-US" w:eastAsia="zh-CN"/>
        </w:rPr>
      </w:pPr>
      <w:r>
        <w:rPr>
          <w:i/>
          <w:iCs/>
          <w:szCs w:val="24"/>
          <w:lang w:eastAsia="zh-CN"/>
        </w:rPr>
        <w:t>The decision can be different for different satellite types, altitudes, FRs, etc.</w:t>
      </w:r>
    </w:p>
    <w:p>
      <w:pPr>
        <w:pStyle w:val="28"/>
        <w:widowControl/>
        <w:numPr>
          <w:ilvl w:val="0"/>
          <w:numId w:val="0"/>
        </w:numPr>
        <w:overflowPunct w:val="0"/>
        <w:spacing w:after="120" w:line="240" w:lineRule="auto"/>
        <w:ind w:left="1080" w:leftChars="0"/>
        <w:textAlignment w:val="baseline"/>
        <w:rPr>
          <w:rFonts w:hint="default" w:eastAsia="宋体" w:cs="Times New Roman"/>
          <w:b w:val="0"/>
          <w:bCs w:val="0"/>
          <w:lang w:val="en-US" w:eastAsia="zh-CN"/>
        </w:rPr>
      </w:pPr>
    </w:p>
    <w:p>
      <w:pPr>
        <w:overflowPunct w:val="0"/>
        <w:autoSpaceDE w:val="0"/>
        <w:autoSpaceDN w:val="0"/>
        <w:adjustRightInd w:val="0"/>
        <w:spacing w:after="120"/>
        <w:textAlignment w:val="baseline"/>
        <w:rPr>
          <w:rFonts w:hint="default" w:eastAsia="宋体" w:cs="Times New Roman"/>
          <w:b w:val="0"/>
          <w:bCs w:val="0"/>
          <w:lang w:val="en-US" w:eastAsia="zh-CN"/>
        </w:rPr>
      </w:pPr>
      <w:r>
        <w:rPr>
          <w:rFonts w:hint="eastAsia" w:eastAsia="宋体" w:cs="Times New Roman"/>
          <w:b w:val="0"/>
          <w:bCs w:val="0"/>
          <w:lang w:val="en-US" w:eastAsia="zh-CN"/>
        </w:rPr>
        <w:t xml:space="preserve">In general , RAN4 should consider the DRX related discussion from RAN2. So far RAN2 has not preclude any DRX cycle length for NTN. It is suggested that all Rel-16 DRX cycle lengths be applicable for both GEO and NGEO, till specific issue is identified. </w:t>
      </w:r>
      <w:bookmarkStart w:id="6" w:name="_GoBack"/>
      <w:bookmarkEnd w:id="6"/>
    </w:p>
    <w:p>
      <w:pPr>
        <w:overflowPunct w:val="0"/>
        <w:autoSpaceDE w:val="0"/>
        <w:autoSpaceDN w:val="0"/>
        <w:adjustRightInd w:val="0"/>
        <w:spacing w:after="120"/>
        <w:textAlignment w:val="baseline"/>
        <w:rPr>
          <w:rFonts w:hint="eastAsia" w:eastAsia="宋体" w:cs="Times New Roman"/>
          <w:b/>
          <w:bCs/>
          <w:lang w:val="en-US" w:eastAsia="zh-CN"/>
        </w:rPr>
      </w:pPr>
      <w:r>
        <w:rPr>
          <w:rFonts w:hint="eastAsia" w:eastAsia="宋体" w:cs="Times New Roman"/>
          <w:b/>
          <w:bCs/>
          <w:lang w:val="en-US" w:eastAsia="zh-CN"/>
        </w:rPr>
        <w:t>Proposal 1: For earth moving fixed LEO, all Rel-16 DRX cycle lengths are applicable.</w:t>
      </w:r>
    </w:p>
    <w:p>
      <w:pPr>
        <w:overflowPunct w:val="0"/>
        <w:autoSpaceDE w:val="0"/>
        <w:autoSpaceDN w:val="0"/>
        <w:adjustRightInd w:val="0"/>
        <w:spacing w:after="120"/>
        <w:textAlignment w:val="baseline"/>
        <w:rPr>
          <w:rFonts w:hint="default" w:eastAsia="宋体" w:cs="Times New Roman"/>
          <w:b/>
          <w:bCs/>
          <w:lang w:val="en-US" w:eastAsia="zh-CN"/>
        </w:rPr>
      </w:pPr>
    </w:p>
    <w:p>
      <w:pPr>
        <w:pStyle w:val="28"/>
        <w:numPr>
          <w:ilvl w:val="0"/>
          <w:numId w:val="0"/>
        </w:numPr>
        <w:overflowPunct/>
        <w:autoSpaceDE/>
        <w:autoSpaceDN/>
        <w:adjustRightInd/>
        <w:spacing w:after="120"/>
        <w:textAlignment w:val="auto"/>
        <w:rPr>
          <w:rFonts w:hint="default" w:eastAsia="宋体"/>
          <w:b w:val="0"/>
          <w:bCs w:val="0"/>
          <w:szCs w:val="24"/>
          <w:lang w:val="en-US"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color w:val="auto"/>
                <w:u w:val="single"/>
                <w:lang w:eastAsia="ko-KR"/>
              </w:rPr>
            </w:pPr>
            <w:r>
              <w:rPr>
                <w:b/>
                <w:color w:val="auto"/>
                <w:u w:val="single"/>
                <w:lang w:eastAsia="ko-KR"/>
              </w:rPr>
              <w:t>Issue 1-5-1: Measurement based on Cell Service Time</w:t>
            </w:r>
          </w:p>
          <w:p>
            <w:pPr>
              <w:pStyle w:val="28"/>
              <w:numPr>
                <w:ilvl w:val="0"/>
                <w:numId w:val="8"/>
              </w:numPr>
              <w:overflowPunct/>
              <w:autoSpaceDE/>
              <w:autoSpaceDN/>
              <w:adjustRightInd/>
              <w:spacing w:after="120"/>
              <w:ind w:left="720" w:firstLineChars="0"/>
              <w:textAlignment w:val="auto"/>
              <w:rPr>
                <w:rFonts w:eastAsia="宋体"/>
                <w:b w:val="0"/>
                <w:bCs w:val="0"/>
                <w:szCs w:val="24"/>
                <w:lang w:eastAsia="zh-CN"/>
              </w:rPr>
            </w:pPr>
            <w:r>
              <w:rPr>
                <w:rFonts w:eastAsia="宋体"/>
                <w:b w:val="0"/>
                <w:bCs w:val="0"/>
                <w:szCs w:val="24"/>
                <w:lang w:eastAsia="zh-CN"/>
              </w:rPr>
              <w:t>Option 1: (Ericsson,</w:t>
            </w:r>
            <w:r>
              <w:rPr>
                <w:rFonts w:eastAsiaTheme="minorEastAsia"/>
                <w:b w:val="0"/>
                <w:bCs w:val="0"/>
                <w:lang w:val="en-US" w:eastAsia="zh-CN"/>
              </w:rPr>
              <w:t xml:space="preserve"> Nokia</w:t>
            </w:r>
            <w:r>
              <w:rPr>
                <w:rFonts w:eastAsia="宋体"/>
                <w:b w:val="0"/>
                <w:bCs w:val="0"/>
                <w:szCs w:val="24"/>
                <w:lang w:eastAsia="zh-CN"/>
              </w:rPr>
              <w:t>)</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b w:val="0"/>
                <w:bCs w:val="0"/>
                <w:lang w:val="en-US" w:eastAsia="zh-CN"/>
              </w:rPr>
              <w:t>“broadcasted cell stop-time”-“UE measurement start-time” in ‘timing information’ shall be equal to T</w:t>
            </w:r>
            <w:r>
              <w:rPr>
                <w:b w:val="0"/>
                <w:bCs w:val="0"/>
                <w:vertAlign w:val="subscript"/>
                <w:lang w:val="en-US" w:eastAsia="zh-CN"/>
              </w:rPr>
              <w:t>detect,NR_Intra</w:t>
            </w:r>
            <w:r>
              <w:rPr>
                <w:b w:val="0"/>
                <w:bCs w:val="0"/>
                <w:lang w:val="en-US" w:eastAsia="zh-CN"/>
              </w:rPr>
              <w:t>/ T</w:t>
            </w:r>
            <w:r>
              <w:rPr>
                <w:b w:val="0"/>
                <w:bCs w:val="0"/>
                <w:vertAlign w:val="subscript"/>
                <w:lang w:val="en-US" w:eastAsia="zh-CN"/>
              </w:rPr>
              <w:t xml:space="preserve">detect,NR_Inter </w:t>
            </w:r>
            <w:r>
              <w:rPr>
                <w:b w:val="0"/>
                <w:bCs w:val="0"/>
                <w:lang w:val="en-US" w:eastAsia="zh-CN"/>
              </w:rPr>
              <w:t>at least or longer</w:t>
            </w:r>
          </w:p>
          <w:p>
            <w:pPr>
              <w:pStyle w:val="28"/>
              <w:numPr>
                <w:ilvl w:val="1"/>
                <w:numId w:val="8"/>
              </w:numPr>
              <w:overflowPunct/>
              <w:autoSpaceDE/>
              <w:autoSpaceDN/>
              <w:adjustRightInd/>
              <w:spacing w:after="120"/>
              <w:ind w:firstLineChars="0"/>
              <w:textAlignment w:val="auto"/>
              <w:rPr>
                <w:b w:val="0"/>
                <w:bCs w:val="0"/>
                <w:lang w:val="en-US" w:eastAsia="zh-CN"/>
              </w:rPr>
            </w:pPr>
            <w:r>
              <w:rPr>
                <w:b w:val="0"/>
                <w:bCs w:val="0"/>
                <w:lang w:val="en-US" w:eastAsia="zh-CN"/>
              </w:rPr>
              <w:t>Clarification and further explanations:</w:t>
            </w:r>
          </w:p>
          <w:p>
            <w:pPr>
              <w:pStyle w:val="28"/>
              <w:numPr>
                <w:ilvl w:val="2"/>
                <w:numId w:val="8"/>
              </w:numPr>
              <w:overflowPunct/>
              <w:autoSpaceDE/>
              <w:autoSpaceDN/>
              <w:adjustRightInd/>
              <w:spacing w:after="120"/>
              <w:ind w:firstLineChars="0"/>
              <w:textAlignment w:val="auto"/>
              <w:rPr>
                <w:b w:val="0"/>
                <w:bCs w:val="0"/>
                <w:lang w:val="en-US" w:eastAsia="zh-CN"/>
              </w:rPr>
            </w:pPr>
            <w:r>
              <w:rPr>
                <w:b w:val="0"/>
                <w:bCs w:val="0"/>
                <w:lang w:val="en-US" w:eastAsia="zh-CN"/>
              </w:rPr>
              <w:t xml:space="preserve">Update of requirement for reselection is shown as below exemplarily: ‘The UE shall be able to evaluate whether a newly detectable intra-frequency cell meets the reselection criteria defined in TS38.304 [1] within Tdetect,NR_Intra when that Treselection= 0 before cell is going to stop serving the area, if applicable .’  </w:t>
            </w:r>
          </w:p>
          <w:p>
            <w:pPr>
              <w:pStyle w:val="28"/>
              <w:numPr>
                <w:ilvl w:val="2"/>
                <w:numId w:val="8"/>
              </w:numPr>
              <w:overflowPunct/>
              <w:autoSpaceDE/>
              <w:autoSpaceDN/>
              <w:adjustRightInd/>
              <w:spacing w:after="120"/>
              <w:ind w:firstLineChars="0"/>
              <w:textAlignment w:val="auto"/>
              <w:rPr>
                <w:b w:val="0"/>
                <w:bCs w:val="0"/>
                <w:lang w:val="en-US" w:eastAsia="zh-CN"/>
              </w:rPr>
            </w:pPr>
            <w:r>
              <w:rPr>
                <w:b w:val="0"/>
                <w:bCs w:val="0"/>
                <w:lang w:val="en-US" w:eastAsia="zh-CN"/>
              </w:rPr>
              <w:t>And, “broadcasted cell stop-time”-“UE measurement start-time”</w:t>
            </w:r>
          </w:p>
          <w:p>
            <w:pPr>
              <w:pStyle w:val="28"/>
              <w:numPr>
                <w:ilvl w:val="0"/>
                <w:numId w:val="8"/>
              </w:numPr>
              <w:overflowPunct/>
              <w:autoSpaceDE/>
              <w:autoSpaceDN/>
              <w:adjustRightInd/>
              <w:spacing w:after="120"/>
              <w:ind w:left="720" w:firstLineChars="0"/>
              <w:textAlignment w:val="auto"/>
              <w:rPr>
                <w:rFonts w:eastAsia="宋体"/>
                <w:b w:val="0"/>
                <w:bCs w:val="0"/>
                <w:szCs w:val="24"/>
                <w:lang w:eastAsia="zh-CN"/>
              </w:rPr>
            </w:pPr>
            <w:r>
              <w:rPr>
                <w:rFonts w:eastAsia="宋体"/>
                <w:b w:val="0"/>
                <w:bCs w:val="0"/>
                <w:szCs w:val="24"/>
                <w:lang w:eastAsia="zh-CN"/>
              </w:rPr>
              <w:t>Option 2: (Xiaomi)</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If UE performs measurement on neighbour cells only based on the timing information on when a cell is going to stop serving the area, the requirements of measurement and evaluation of serving cell is not applied.</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If UE performs measurement on neighbour cells only based on the timing information on when a cell is going to stop serving the area, the requirements of evaluation of neighbour cell(s) is not applied.</w:t>
            </w:r>
          </w:p>
          <w:p>
            <w:pPr>
              <w:pStyle w:val="28"/>
              <w:numPr>
                <w:ilvl w:val="0"/>
                <w:numId w:val="8"/>
              </w:numPr>
              <w:overflowPunct/>
              <w:autoSpaceDE/>
              <w:autoSpaceDN/>
              <w:adjustRightInd/>
              <w:spacing w:after="120"/>
              <w:ind w:left="720" w:firstLineChars="0"/>
              <w:textAlignment w:val="auto"/>
              <w:rPr>
                <w:rFonts w:eastAsia="宋体"/>
                <w:b w:val="0"/>
                <w:bCs w:val="0"/>
                <w:szCs w:val="24"/>
                <w:lang w:eastAsia="zh-CN"/>
              </w:rPr>
            </w:pPr>
            <w:r>
              <w:rPr>
                <w:rFonts w:eastAsia="宋体"/>
                <w:b w:val="0"/>
                <w:bCs w:val="0"/>
                <w:szCs w:val="24"/>
                <w:lang w:eastAsia="zh-CN"/>
              </w:rPr>
              <w:t xml:space="preserve">Option 3: (LGE, </w:t>
            </w:r>
            <w:r>
              <w:rPr>
                <w:rFonts w:eastAsiaTheme="minorEastAsia"/>
                <w:b w:val="0"/>
                <w:bCs w:val="0"/>
                <w:lang w:val="en-US" w:eastAsia="zh-CN"/>
              </w:rPr>
              <w:t>CATT, Nokia</w:t>
            </w:r>
            <w:r>
              <w:rPr>
                <w:rFonts w:eastAsia="宋体"/>
                <w:b w:val="0"/>
                <w:bCs w:val="0"/>
                <w:szCs w:val="24"/>
                <w:lang w:eastAsia="zh-CN"/>
              </w:rPr>
              <w:t>)</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If cell stop time is broadcast from serving cell, a UE should start measurement on neighbor cells before defined IDLE measurement time (Tdetect, Tmeasure, and Tevaluate) from cell stop time.</w:t>
            </w:r>
          </w:p>
          <w:p>
            <w:pPr>
              <w:pStyle w:val="28"/>
              <w:numPr>
                <w:ilvl w:val="0"/>
                <w:numId w:val="8"/>
              </w:numPr>
              <w:overflowPunct/>
              <w:autoSpaceDE/>
              <w:autoSpaceDN/>
              <w:adjustRightInd/>
              <w:spacing w:after="120"/>
              <w:ind w:left="720" w:firstLineChars="0"/>
              <w:textAlignment w:val="auto"/>
              <w:rPr>
                <w:rFonts w:eastAsia="宋体"/>
                <w:b w:val="0"/>
                <w:bCs w:val="0"/>
                <w:szCs w:val="24"/>
                <w:lang w:eastAsia="zh-CN"/>
              </w:rPr>
            </w:pPr>
            <w:r>
              <w:rPr>
                <w:rFonts w:eastAsia="宋体"/>
                <w:b w:val="0"/>
                <w:bCs w:val="0"/>
                <w:szCs w:val="24"/>
                <w:lang w:eastAsia="zh-CN"/>
              </w:rPr>
              <w:t>Option 4: (CATT, Huawei)</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RAN4 should discuss how specifying requirements for UE start measurement based on broadcast of quasi earth fixed cell stop time, and to perform relative HO.</w:t>
            </w:r>
          </w:p>
          <w:p>
            <w:pPr>
              <w:pStyle w:val="28"/>
              <w:numPr>
                <w:ilvl w:val="1"/>
                <w:numId w:val="8"/>
              </w:numPr>
              <w:overflowPunct/>
              <w:autoSpaceDE/>
              <w:autoSpaceDN/>
              <w:adjustRightInd/>
              <w:spacing w:after="120"/>
              <w:ind w:firstLineChars="0"/>
              <w:textAlignment w:val="auto"/>
              <w:rPr>
                <w:rFonts w:eastAsia="宋体"/>
                <w:b w:val="0"/>
                <w:bCs w:val="0"/>
                <w:szCs w:val="24"/>
                <w:lang w:eastAsia="zh-CN"/>
              </w:rPr>
            </w:pPr>
            <w:r>
              <w:rPr>
                <w:rFonts w:eastAsia="宋体"/>
                <w:b w:val="0"/>
                <w:bCs w:val="0"/>
                <w:szCs w:val="24"/>
                <w:lang w:eastAsia="zh-CN"/>
              </w:rPr>
              <w:t>RAN4 to discuss how to define the idle mode measurement requirements considering RAN2 agreement that exact time to start measurements can be up to UE implementation in certain cases.</w:t>
            </w:r>
          </w:p>
          <w:p>
            <w:pPr>
              <w:pStyle w:val="28"/>
              <w:numPr>
                <w:ilvl w:val="0"/>
                <w:numId w:val="8"/>
              </w:numPr>
              <w:overflowPunct/>
              <w:autoSpaceDE/>
              <w:autoSpaceDN/>
              <w:adjustRightInd/>
              <w:spacing w:after="120"/>
              <w:ind w:left="720" w:firstLineChars="0"/>
              <w:textAlignment w:val="auto"/>
              <w:rPr>
                <w:rFonts w:eastAsia="宋体"/>
                <w:b w:val="0"/>
                <w:bCs w:val="0"/>
                <w:szCs w:val="24"/>
                <w:lang w:eastAsia="zh-CN"/>
              </w:rPr>
            </w:pPr>
            <w:r>
              <w:rPr>
                <w:rFonts w:eastAsia="宋体"/>
                <w:b w:val="0"/>
                <w:bCs w:val="0"/>
                <w:szCs w:val="24"/>
                <w:lang w:eastAsia="zh-CN"/>
              </w:rPr>
              <w:t xml:space="preserve">Option 5: (Qualcomm, Apple, Huawei, </w:t>
            </w:r>
            <w:r>
              <w:rPr>
                <w:rFonts w:hint="eastAsia" w:eastAsiaTheme="minorEastAsia"/>
                <w:b w:val="0"/>
                <w:bCs w:val="0"/>
                <w:lang w:val="en-US" w:eastAsia="zh-CN"/>
              </w:rPr>
              <w:t>X</w:t>
            </w:r>
            <w:r>
              <w:rPr>
                <w:rFonts w:eastAsiaTheme="minorEastAsia"/>
                <w:b w:val="0"/>
                <w:bCs w:val="0"/>
                <w:lang w:val="en-US" w:eastAsia="zh-CN"/>
              </w:rPr>
              <w:t xml:space="preserve">iaomi, THALES, CATT, </w:t>
            </w:r>
            <w:r>
              <w:rPr>
                <w:rFonts w:hint="eastAsia" w:eastAsiaTheme="minorEastAsia"/>
                <w:b w:val="0"/>
                <w:bCs w:val="0"/>
                <w:lang w:val="en-US" w:eastAsia="zh-CN"/>
              </w:rPr>
              <w:t>CMCC</w:t>
            </w:r>
            <w:r>
              <w:rPr>
                <w:rFonts w:eastAsiaTheme="minorEastAsia"/>
                <w:b w:val="0"/>
                <w:bCs w:val="0"/>
                <w:lang w:val="en-US" w:eastAsia="zh-CN"/>
              </w:rPr>
              <w:t>, MTK</w:t>
            </w:r>
            <w:r>
              <w:rPr>
                <w:rFonts w:eastAsia="宋体"/>
                <w:b w:val="0"/>
                <w:bCs w:val="0"/>
                <w:szCs w:val="24"/>
                <w:lang w:eastAsia="zh-CN"/>
              </w:rPr>
              <w:t>)</w:t>
            </w:r>
          </w:p>
          <w:p>
            <w:pPr>
              <w:pStyle w:val="28"/>
              <w:numPr>
                <w:ilvl w:val="1"/>
                <w:numId w:val="8"/>
              </w:numPr>
              <w:overflowPunct/>
              <w:autoSpaceDE/>
              <w:autoSpaceDN/>
              <w:adjustRightInd/>
              <w:spacing w:after="120"/>
              <w:ind w:firstLineChars="0"/>
              <w:textAlignment w:val="auto"/>
              <w:rPr>
                <w:lang w:val="en-GB"/>
              </w:rPr>
            </w:pPr>
            <w:r>
              <w:rPr>
                <w:rFonts w:eastAsia="宋体"/>
                <w:b w:val="0"/>
                <w:bCs w:val="0"/>
                <w:szCs w:val="24"/>
                <w:lang w:eastAsia="zh-CN"/>
              </w:rPr>
              <w:t>FFS on whether and how to define requirements</w:t>
            </w:r>
          </w:p>
        </w:tc>
      </w:tr>
    </w:tbl>
    <w:p>
      <w:pPr>
        <w:overflowPunct w:val="0"/>
        <w:autoSpaceDE w:val="0"/>
        <w:autoSpaceDN w:val="0"/>
        <w:adjustRightInd w:val="0"/>
        <w:spacing w:after="120"/>
        <w:textAlignment w:val="baseline"/>
        <w:rPr>
          <w:rFonts w:hint="default" w:eastAsia="宋体" w:cs="Times New Roman"/>
          <w:b w:val="0"/>
          <w:bCs w:val="0"/>
          <w:lang w:val="en-US" w:eastAsia="zh-CN"/>
        </w:rPr>
      </w:pPr>
    </w:p>
    <w:p>
      <w:pPr>
        <w:overflowPunct w:val="0"/>
        <w:autoSpaceDE w:val="0"/>
        <w:autoSpaceDN w:val="0"/>
        <w:adjustRightInd w:val="0"/>
        <w:spacing w:after="120"/>
        <w:textAlignment w:val="baseline"/>
        <w:rPr>
          <w:rFonts w:hint="eastAsia"/>
          <w:color w:val="auto"/>
          <w:lang w:val="en-US" w:eastAsia="zh-CN"/>
        </w:rPr>
      </w:pPr>
      <w:r>
        <w:rPr>
          <w:rFonts w:hint="eastAsia" w:eastAsia="宋体"/>
          <w:color w:val="auto"/>
          <w:lang w:val="en-US" w:eastAsia="zh-CN"/>
        </w:rPr>
        <w:t>RAN2</w:t>
      </w:r>
      <w:r>
        <w:rPr>
          <w:rFonts w:hint="default" w:eastAsia="宋体"/>
          <w:color w:val="auto"/>
          <w:lang w:val="en-US" w:eastAsia="zh-CN"/>
        </w:rPr>
        <w:t>’</w:t>
      </w:r>
      <w:r>
        <w:rPr>
          <w:rFonts w:hint="eastAsia" w:eastAsia="宋体"/>
          <w:color w:val="auto"/>
          <w:lang w:val="en-US" w:eastAsia="zh-CN"/>
        </w:rPr>
        <w:t xml:space="preserve">s agreement in </w:t>
      </w:r>
      <w:r>
        <w:rPr>
          <w:color w:val="auto"/>
          <w:lang w:val="en-US" w:eastAsia="zh-CN"/>
        </w:rPr>
        <w:t xml:space="preserve">RAN2#115-e </w:t>
      </w:r>
      <w:r>
        <w:rPr>
          <w:rFonts w:hint="eastAsia"/>
          <w:color w:val="auto"/>
          <w:lang w:val="en-US" w:eastAsia="zh-CN"/>
        </w:rPr>
        <w:t>was as follows:</w:t>
      </w:r>
    </w:p>
    <w:p>
      <w:pPr>
        <w:overflowPunct w:val="0"/>
        <w:autoSpaceDE w:val="0"/>
        <w:autoSpaceDN w:val="0"/>
        <w:adjustRightInd w:val="0"/>
        <w:spacing w:after="120"/>
        <w:textAlignment w:val="baseline"/>
        <w:rPr>
          <w:rFonts w:hint="eastAsia" w:eastAsia="宋体"/>
          <w:i/>
          <w:iCs/>
          <w:highlight w:val="none"/>
          <w:lang w:val="en-US" w:eastAsia="zh-CN"/>
        </w:rPr>
      </w:pPr>
      <w:r>
        <w:rPr>
          <w:i/>
          <w:iCs/>
          <w:highlight w:val="none"/>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r>
        <w:rPr>
          <w:rFonts w:hint="eastAsia" w:eastAsia="宋体"/>
          <w:i/>
          <w:iCs/>
          <w:highlight w:val="none"/>
          <w:lang w:val="en-US" w:eastAsia="zh-CN"/>
        </w:rPr>
        <w:t>.</w:t>
      </w:r>
    </w:p>
    <w:p>
      <w:pPr>
        <w:overflowPunct w:val="0"/>
        <w:autoSpaceDE w:val="0"/>
        <w:autoSpaceDN w:val="0"/>
        <w:adjustRightInd w:val="0"/>
        <w:spacing w:after="120"/>
        <w:textAlignment w:val="baseline"/>
        <w:rPr>
          <w:rFonts w:hint="default" w:eastAsia="宋体"/>
          <w:color w:val="auto"/>
          <w:lang w:val="en-US" w:eastAsia="zh-CN"/>
        </w:rPr>
      </w:pPr>
      <w:r>
        <w:rPr>
          <w:rFonts w:hint="eastAsia" w:eastAsia="宋体"/>
          <w:i w:val="0"/>
          <w:iCs w:val="0"/>
          <w:highlight w:val="none"/>
          <w:lang w:val="en-US" w:eastAsia="zh-CN"/>
        </w:rPr>
        <w:t>RAN2 does not define any exact value about when the measurement should be started by UE. However, i</w:t>
      </w:r>
      <w:r>
        <w:rPr>
          <w:rFonts w:hint="eastAsia" w:eastAsia="宋体"/>
          <w:color w:val="auto"/>
          <w:lang w:val="en-US" w:eastAsia="zh-CN"/>
        </w:rPr>
        <w:t>n the current TS 38.133, t</w:t>
      </w:r>
      <w:r>
        <w:rPr>
          <w:color w:val="auto"/>
        </w:rPr>
        <w:t>he UE shall be able to evaluate whether a newly detectable intra-frequency cell meets the reselection criteria defined in TS3</w:t>
      </w:r>
      <w:r>
        <w:rPr>
          <w:color w:val="auto"/>
          <w:lang w:eastAsia="zh-CN"/>
        </w:rPr>
        <w:t>8</w:t>
      </w:r>
      <w:r>
        <w:rPr>
          <w:color w:val="auto"/>
        </w:rPr>
        <w:t>.304 [1] within T</w:t>
      </w:r>
      <w:r>
        <w:rPr>
          <w:color w:val="auto"/>
          <w:vertAlign w:val="subscript"/>
        </w:rPr>
        <w:t>detect,</w:t>
      </w:r>
      <w:r>
        <w:rPr>
          <w:color w:val="auto"/>
          <w:vertAlign w:val="subscript"/>
          <w:lang w:eastAsia="zh-CN"/>
        </w:rPr>
        <w:t>NR</w:t>
      </w:r>
      <w:r>
        <w:rPr>
          <w:color w:val="auto"/>
          <w:vertAlign w:val="subscript"/>
        </w:rPr>
        <w:t>_Intra</w:t>
      </w:r>
      <w:r>
        <w:rPr>
          <w:i/>
          <w:color w:val="auto"/>
          <w:vertAlign w:val="subscript"/>
        </w:rPr>
        <w:t xml:space="preserve"> </w:t>
      </w:r>
      <w:r>
        <w:rPr>
          <w:color w:val="auto"/>
        </w:rPr>
        <w:t>when that Treselection= 0</w:t>
      </w:r>
      <w:r>
        <w:rPr>
          <w:i/>
          <w:color w:val="auto"/>
          <w:vertAlign w:val="subscript"/>
        </w:rPr>
        <w:t xml:space="preserve"> </w:t>
      </w:r>
      <w:r>
        <w:rPr>
          <w:color w:val="auto"/>
        </w:rPr>
        <w:t xml:space="preserve">. </w:t>
      </w:r>
      <w:r>
        <w:rPr>
          <w:rFonts w:hint="eastAsia" w:eastAsia="宋体"/>
          <w:color w:val="auto"/>
          <w:lang w:val="en-US" w:eastAsia="zh-CN"/>
        </w:rPr>
        <w:t xml:space="preserve">This means the duration between </w:t>
      </w:r>
      <w:r>
        <w:rPr>
          <w:rFonts w:hint="default" w:eastAsia="宋体"/>
          <w:color w:val="auto"/>
          <w:lang w:val="en-US" w:eastAsia="zh-CN"/>
        </w:rPr>
        <w:t>“</w:t>
      </w:r>
      <w:r>
        <w:rPr>
          <w:rFonts w:hint="eastAsia" w:eastAsia="宋体"/>
          <w:color w:val="auto"/>
          <w:lang w:val="en-US" w:eastAsia="zh-CN"/>
        </w:rPr>
        <w:t>the measurement start time</w:t>
      </w:r>
      <w:r>
        <w:rPr>
          <w:rFonts w:hint="default" w:eastAsia="宋体"/>
          <w:color w:val="auto"/>
          <w:lang w:val="en-US" w:eastAsia="zh-CN"/>
        </w:rPr>
        <w:t>”</w:t>
      </w:r>
      <w:r>
        <w:rPr>
          <w:rFonts w:hint="eastAsia" w:eastAsia="宋体"/>
          <w:color w:val="auto"/>
          <w:lang w:val="en-US" w:eastAsia="zh-CN"/>
        </w:rPr>
        <w:t xml:space="preserve"> and the </w:t>
      </w:r>
      <w:r>
        <w:rPr>
          <w:rFonts w:hint="default" w:eastAsia="宋体"/>
          <w:color w:val="auto"/>
          <w:lang w:val="en-US" w:eastAsia="zh-CN"/>
        </w:rPr>
        <w:t>“</w:t>
      </w:r>
      <w:r>
        <w:rPr>
          <w:rFonts w:hint="eastAsia" w:eastAsia="宋体"/>
          <w:color w:val="auto"/>
          <w:lang w:val="en-US" w:eastAsia="zh-CN"/>
        </w:rPr>
        <w:t>cell stop service time</w:t>
      </w:r>
      <w:r>
        <w:rPr>
          <w:rFonts w:hint="default" w:eastAsia="宋体"/>
          <w:color w:val="auto"/>
          <w:lang w:val="en-US" w:eastAsia="zh-CN"/>
        </w:rPr>
        <w:t>”</w:t>
      </w:r>
      <w:r>
        <w:rPr>
          <w:rFonts w:hint="eastAsia" w:eastAsia="宋体"/>
          <w:color w:val="auto"/>
          <w:lang w:val="en-US" w:eastAsia="zh-CN"/>
        </w:rPr>
        <w:t xml:space="preserve"> should fulfill the time for evaluate and measure one or more neighbour cells.</w:t>
      </w:r>
    </w:p>
    <w:p>
      <w:pPr>
        <w:overflowPunct w:val="0"/>
        <w:autoSpaceDE w:val="0"/>
        <w:autoSpaceDN w:val="0"/>
        <w:adjustRightInd w:val="0"/>
        <w:spacing w:after="120"/>
        <w:textAlignment w:val="baseline"/>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Thus RAN4 should consider to define UE measurement time if cell stop time is broadcast by serving cell.</w:t>
      </w:r>
    </w:p>
    <w:p>
      <w:pPr>
        <w:pStyle w:val="28"/>
        <w:numPr>
          <w:ilvl w:val="0"/>
          <w:numId w:val="0"/>
        </w:numPr>
        <w:overflowPunct/>
        <w:autoSpaceDE/>
        <w:autoSpaceDN/>
        <w:adjustRightInd/>
        <w:spacing w:after="120"/>
        <w:textAlignment w:val="auto"/>
        <w:rPr>
          <w:rFonts w:hint="default" w:eastAsia="宋体"/>
          <w:b/>
          <w:bCs/>
          <w:szCs w:val="24"/>
          <w:lang w:val="en-US" w:eastAsia="zh-CN"/>
        </w:rPr>
      </w:pPr>
      <w:r>
        <w:rPr>
          <w:rFonts w:hint="eastAsia" w:eastAsia="宋体" w:cs="Times New Roman"/>
          <w:b/>
          <w:bCs/>
          <w:lang w:val="en-US" w:eastAsia="zh-CN"/>
        </w:rPr>
        <w:t>Proposal 2: Support option 1 in WF[1] :</w:t>
      </w:r>
      <w:r>
        <w:rPr>
          <w:b/>
          <w:bCs/>
          <w:lang w:val="en-US" w:eastAsia="zh-CN"/>
        </w:rPr>
        <w:t>“broadcasted cell stop-time”-“UE measurement start-time” in ‘timing information’ shall be equal to T</w:t>
      </w:r>
      <w:r>
        <w:rPr>
          <w:b/>
          <w:bCs/>
          <w:vertAlign w:val="subscript"/>
          <w:lang w:val="en-US" w:eastAsia="zh-CN"/>
        </w:rPr>
        <w:t>detect,NR_Intra</w:t>
      </w:r>
      <w:r>
        <w:rPr>
          <w:b/>
          <w:bCs/>
          <w:lang w:val="en-US" w:eastAsia="zh-CN"/>
        </w:rPr>
        <w:t>/ T</w:t>
      </w:r>
      <w:r>
        <w:rPr>
          <w:b/>
          <w:bCs/>
          <w:vertAlign w:val="subscript"/>
          <w:lang w:val="en-US" w:eastAsia="zh-CN"/>
        </w:rPr>
        <w:t xml:space="preserve">detect,NR_Inter </w:t>
      </w:r>
      <w:r>
        <w:rPr>
          <w:b/>
          <w:bCs/>
          <w:lang w:val="en-US" w:eastAsia="zh-CN"/>
        </w:rPr>
        <w:t>at least or longer</w:t>
      </w:r>
      <w:r>
        <w:rPr>
          <w:rFonts w:hint="eastAsia"/>
          <w:b/>
          <w:bCs/>
          <w:lang w:val="en-US" w:eastAsia="zh-CN"/>
        </w:rPr>
        <w:t>.</w:t>
      </w:r>
    </w:p>
    <w:p>
      <w:pPr>
        <w:overflowPunct w:val="0"/>
        <w:autoSpaceDE w:val="0"/>
        <w:autoSpaceDN w:val="0"/>
        <w:adjustRightInd w:val="0"/>
        <w:spacing w:after="120"/>
        <w:textAlignment w:val="baseline"/>
        <w:rPr>
          <w:rFonts w:hint="default" w:eastAsiaTheme="minorEastAsia"/>
          <w:color w:val="000000" w:themeColor="text1"/>
          <w:lang w:val="en-US" w:eastAsia="zh-CN"/>
          <w14:textFill>
            <w14:solidFill>
              <w14:schemeClr w14:val="tx1"/>
            </w14:solidFill>
          </w14:textFill>
        </w:rPr>
      </w:pPr>
    </w:p>
    <w:p>
      <w:pPr>
        <w:pStyle w:val="30"/>
        <w:numPr>
          <w:ilvl w:val="0"/>
          <w:numId w:val="7"/>
        </w:numPr>
        <w:ind w:left="1134" w:leftChars="0" w:hanging="1134" w:firstLineChars="0"/>
        <w:jc w:val="both"/>
      </w:pPr>
      <w:r>
        <w:t>Conclusion</w:t>
      </w:r>
    </w:p>
    <w:p>
      <w:pPr>
        <w:overflowPunct w:val="0"/>
        <w:autoSpaceDE w:val="0"/>
        <w:autoSpaceDN w:val="0"/>
        <w:adjustRightInd w:val="0"/>
        <w:spacing w:after="120"/>
        <w:textAlignment w:val="baseline"/>
        <w:rPr>
          <w:rFonts w:hint="default" w:eastAsia="宋体" w:cs="Times New Roman"/>
          <w:b/>
          <w:bCs/>
          <w:lang w:val="en-US" w:eastAsia="zh-CN"/>
        </w:rPr>
      </w:pPr>
      <w:r>
        <w:rPr>
          <w:rFonts w:hint="eastAsia" w:eastAsia="宋体" w:cs="Times New Roman"/>
          <w:b/>
          <w:bCs/>
          <w:lang w:val="en-US" w:eastAsia="zh-CN"/>
        </w:rPr>
        <w:t>Proposal 1: For earth moving fixed LEO, all Rel-16 DRX cycle lengths are applicable.</w:t>
      </w:r>
    </w:p>
    <w:p>
      <w:pPr>
        <w:pStyle w:val="28"/>
        <w:numPr>
          <w:ilvl w:val="0"/>
          <w:numId w:val="0"/>
        </w:numPr>
        <w:overflowPunct/>
        <w:autoSpaceDE/>
        <w:autoSpaceDN/>
        <w:adjustRightInd/>
        <w:spacing w:after="120"/>
        <w:textAlignment w:val="auto"/>
        <w:rPr>
          <w:rFonts w:eastAsia="宋体"/>
          <w:b/>
          <w:bCs/>
          <w:szCs w:val="24"/>
          <w:lang w:eastAsia="zh-CN"/>
        </w:rPr>
      </w:pPr>
      <w:r>
        <w:rPr>
          <w:rFonts w:hint="eastAsia" w:eastAsia="宋体" w:cs="Times New Roman"/>
          <w:b/>
          <w:bCs/>
          <w:lang w:val="en-US" w:eastAsia="zh-CN"/>
        </w:rPr>
        <w:t>Proposal 2: Support option 1 in WF[1] :</w:t>
      </w:r>
      <w:r>
        <w:rPr>
          <w:b/>
          <w:bCs/>
          <w:lang w:val="en-US" w:eastAsia="zh-CN"/>
        </w:rPr>
        <w:t>“broadcasted cell stop-time”-“UE measurement start-time” in ‘timing information’ shall be equal to T</w:t>
      </w:r>
      <w:r>
        <w:rPr>
          <w:b/>
          <w:bCs/>
          <w:vertAlign w:val="subscript"/>
          <w:lang w:val="en-US" w:eastAsia="zh-CN"/>
        </w:rPr>
        <w:t>detect,NR_Intra</w:t>
      </w:r>
      <w:r>
        <w:rPr>
          <w:b/>
          <w:bCs/>
          <w:lang w:val="en-US" w:eastAsia="zh-CN"/>
        </w:rPr>
        <w:t>/ T</w:t>
      </w:r>
      <w:r>
        <w:rPr>
          <w:b/>
          <w:bCs/>
          <w:vertAlign w:val="subscript"/>
          <w:lang w:val="en-US" w:eastAsia="zh-CN"/>
        </w:rPr>
        <w:t xml:space="preserve">detect,NR_Inter </w:t>
      </w:r>
      <w:r>
        <w:rPr>
          <w:b/>
          <w:bCs/>
          <w:lang w:val="en-US" w:eastAsia="zh-CN"/>
        </w:rPr>
        <w:t>at least or longer</w:t>
      </w:r>
    </w:p>
    <w:p>
      <w:pPr>
        <w:rPr>
          <w:rFonts w:hint="eastAsia"/>
          <w:b/>
          <w:bCs/>
          <w:sz w:val="20"/>
          <w:szCs w:val="15"/>
          <w:lang w:val="en-US" w:eastAsia="zh-CN"/>
        </w:rPr>
      </w:pPr>
    </w:p>
    <w:p>
      <w:pPr>
        <w:pStyle w:val="30"/>
        <w:jc w:val="both"/>
      </w:pPr>
      <w:r>
        <w:t>References</w:t>
      </w:r>
    </w:p>
    <w:p>
      <w:pPr>
        <w:numPr>
          <w:ilvl w:val="0"/>
          <w:numId w:val="10"/>
        </w:numPr>
        <w:overflowPunct w:val="0"/>
        <w:autoSpaceDE w:val="0"/>
        <w:autoSpaceDN w:val="0"/>
        <w:adjustRightInd w:val="0"/>
        <w:spacing w:after="120" w:line="240" w:lineRule="auto"/>
        <w:jc w:val="both"/>
        <w:textAlignment w:val="baseline"/>
        <w:rPr>
          <w:rFonts w:hint="eastAsia" w:eastAsia="宋体"/>
          <w:lang w:val="en-GB" w:eastAsia="zh-CN"/>
        </w:rPr>
      </w:pPr>
      <w:r>
        <w:rPr>
          <w:rFonts w:hint="eastAsia" w:eastAsia="宋体"/>
          <w:lang w:val="en-GB" w:eastAsia="zh-CN"/>
        </w:rPr>
        <w:t>R4-2120307</w:t>
      </w:r>
      <w:r>
        <w:rPr>
          <w:rFonts w:hint="eastAsia" w:eastAsia="宋体"/>
          <w:lang w:val="en-US" w:eastAsia="zh-CN"/>
        </w:rPr>
        <w:t>,</w:t>
      </w:r>
      <w:r>
        <w:rPr>
          <w:rFonts w:hint="eastAsia" w:eastAsia="宋体"/>
          <w:lang w:val="en-GB" w:eastAsia="zh-CN"/>
        </w:rPr>
        <w:t>WF on NR NTN RRM requirements</w:t>
      </w:r>
      <w:r>
        <w:rPr>
          <w:rFonts w:hint="eastAsia" w:eastAsia="宋体"/>
          <w:lang w:val="en-US" w:eastAsia="zh-CN"/>
        </w:rPr>
        <w:t>,</w:t>
      </w:r>
      <w:r>
        <w:rPr>
          <w:rFonts w:hint="eastAsia" w:eastAsia="宋体"/>
          <w:lang w:val="en-GB" w:eastAsia="ko-KR"/>
        </w:rPr>
        <w:t>Qualcomm Incorporated</w:t>
      </w:r>
    </w:p>
    <w:p>
      <w:pPr>
        <w:numPr>
          <w:ilvl w:val="0"/>
          <w:numId w:val="10"/>
        </w:numPr>
        <w:overflowPunct w:val="0"/>
        <w:autoSpaceDE w:val="0"/>
        <w:autoSpaceDN w:val="0"/>
        <w:adjustRightInd w:val="0"/>
        <w:spacing w:after="120" w:line="240" w:lineRule="auto"/>
        <w:jc w:val="both"/>
        <w:textAlignment w:val="baseline"/>
        <w:rPr>
          <w:sz w:val="20"/>
        </w:rPr>
      </w:pPr>
      <w:bookmarkStart w:id="4" w:name="_Ref508638450"/>
      <w:bookmarkStart w:id="5" w:name="_Ref3386619"/>
      <w:r>
        <w:rPr>
          <w:rFonts w:hint="eastAsia" w:eastAsia="宋体"/>
          <w:lang w:val="en-GB" w:eastAsia="zh-CN"/>
        </w:rPr>
        <w:t>R4-2108033</w:t>
      </w:r>
      <w:r>
        <w:rPr>
          <w:rFonts w:hint="eastAsia" w:eastAsia="宋体"/>
          <w:lang w:val="en-US" w:eastAsia="zh-CN"/>
        </w:rPr>
        <w:t>,</w:t>
      </w:r>
      <w:r>
        <w:rPr>
          <w:rFonts w:hint="eastAsia" w:eastAsia="宋体"/>
          <w:lang w:val="en-GB" w:eastAsia="zh-CN"/>
        </w:rPr>
        <w:tab/>
      </w:r>
      <w:r>
        <w:rPr>
          <w:rFonts w:hint="eastAsia" w:eastAsia="宋体"/>
          <w:lang w:val="en-GB" w:eastAsia="zh-CN"/>
        </w:rPr>
        <w:t>WF on NR NTN RRM requirements</w:t>
      </w:r>
      <w:r>
        <w:rPr>
          <w:rFonts w:hint="eastAsia" w:eastAsia="宋体"/>
          <w:lang w:val="en-US" w:eastAsia="zh-CN"/>
        </w:rPr>
        <w:t>,</w:t>
      </w:r>
      <w:r>
        <w:rPr>
          <w:rFonts w:hint="eastAsia" w:eastAsia="宋体"/>
          <w:lang w:val="en-GB" w:eastAsia="zh-CN"/>
        </w:rPr>
        <w:t>Fraunhofer</w:t>
      </w:r>
      <w:bookmarkEnd w:id="4"/>
      <w:bookmarkEnd w:id="5"/>
    </w:p>
    <w:p>
      <w:pPr>
        <w:numPr>
          <w:ilvl w:val="0"/>
          <w:numId w:val="10"/>
        </w:numPr>
        <w:overflowPunct w:val="0"/>
        <w:autoSpaceDE w:val="0"/>
        <w:autoSpaceDN w:val="0"/>
        <w:adjustRightInd w:val="0"/>
        <w:spacing w:after="120" w:line="240" w:lineRule="auto"/>
        <w:jc w:val="both"/>
        <w:textAlignment w:val="baseline"/>
        <w:rPr>
          <w:sz w:val="20"/>
        </w:rPr>
      </w:pPr>
      <w:r>
        <w:rPr>
          <w:rFonts w:hint="eastAsia" w:eastAsia="宋体"/>
          <w:lang w:val="en-US" w:eastAsia="zh-CN"/>
        </w:rPr>
        <w:t>R</w:t>
      </w:r>
      <w:r>
        <w:rPr>
          <w:sz w:val="20"/>
        </w:rPr>
        <w:t>4-2115345</w:t>
      </w:r>
      <w:r>
        <w:rPr>
          <w:rFonts w:hint="eastAsia"/>
          <w:sz w:val="20"/>
        </w:rPr>
        <w:t xml:space="preserve">, </w:t>
      </w:r>
      <w:r>
        <w:rPr>
          <w:sz w:val="20"/>
        </w:rPr>
        <w:t>WF on RRM requirements for NTN measurement and mobility</w:t>
      </w:r>
      <w:r>
        <w:rPr>
          <w:rFonts w:hint="eastAsia"/>
          <w:sz w:val="20"/>
        </w:rPr>
        <w:t xml:space="preserve">, </w:t>
      </w:r>
      <w:r>
        <w:rPr>
          <w:sz w:val="20"/>
        </w:rPr>
        <w:t>Qualcomm</w:t>
      </w:r>
      <w:r>
        <w:rPr>
          <w:rFonts w:hint="eastAsia" w:eastAsia="宋体"/>
          <w:sz w:val="20"/>
          <w:lang w:val="en-US" w:eastAsia="zh-CN"/>
        </w:rPr>
        <w:t xml:space="preserve"> </w:t>
      </w:r>
      <w:r>
        <w:rPr>
          <w:rFonts w:hint="eastAsia" w:eastAsia="宋体"/>
          <w:lang w:val="en-GB" w:eastAsia="ko-KR"/>
        </w:rPr>
        <w:t>Incorporated</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0F8C1AF6"/>
    <w:multiLevelType w:val="multilevel"/>
    <w:tmpl w:val="0F8C1AF6"/>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33E91E51"/>
    <w:multiLevelType w:val="multilevel"/>
    <w:tmpl w:val="33E91E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4"/>
  </w:num>
  <w:num w:numId="2">
    <w:abstractNumId w:val="6"/>
  </w:num>
  <w:num w:numId="3">
    <w:abstractNumId w:val="5"/>
  </w:num>
  <w:num w:numId="4">
    <w:abstractNumId w:val="9"/>
  </w:num>
  <w:num w:numId="5">
    <w:abstractNumId w:val="7"/>
  </w:num>
  <w:num w:numId="6">
    <w:abstractNumId w:val="2"/>
  </w:num>
  <w:num w:numId="7">
    <w:abstractNumId w:val="0"/>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6A5D79"/>
    <w:rsid w:val="027E1394"/>
    <w:rsid w:val="0284242C"/>
    <w:rsid w:val="028676F2"/>
    <w:rsid w:val="0295566B"/>
    <w:rsid w:val="02A340AE"/>
    <w:rsid w:val="02AF305D"/>
    <w:rsid w:val="02B274E2"/>
    <w:rsid w:val="02BD7990"/>
    <w:rsid w:val="02C25D33"/>
    <w:rsid w:val="030809EC"/>
    <w:rsid w:val="03394FFB"/>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42FA6"/>
    <w:rsid w:val="06105DAC"/>
    <w:rsid w:val="06402C6E"/>
    <w:rsid w:val="066957D5"/>
    <w:rsid w:val="068A29F7"/>
    <w:rsid w:val="069766CC"/>
    <w:rsid w:val="071135AA"/>
    <w:rsid w:val="07250AD8"/>
    <w:rsid w:val="07502CA2"/>
    <w:rsid w:val="078B76F8"/>
    <w:rsid w:val="079D410C"/>
    <w:rsid w:val="07C5787A"/>
    <w:rsid w:val="07C928A9"/>
    <w:rsid w:val="07D3429D"/>
    <w:rsid w:val="07D735D1"/>
    <w:rsid w:val="07E9174F"/>
    <w:rsid w:val="07F43B3B"/>
    <w:rsid w:val="080A5373"/>
    <w:rsid w:val="082833F7"/>
    <w:rsid w:val="085564A9"/>
    <w:rsid w:val="08631FF0"/>
    <w:rsid w:val="08641205"/>
    <w:rsid w:val="0868025F"/>
    <w:rsid w:val="0873226E"/>
    <w:rsid w:val="088E5343"/>
    <w:rsid w:val="08935729"/>
    <w:rsid w:val="08936C0D"/>
    <w:rsid w:val="08A83C27"/>
    <w:rsid w:val="08AF3F5E"/>
    <w:rsid w:val="08C654D4"/>
    <w:rsid w:val="08CC5D10"/>
    <w:rsid w:val="08DC0169"/>
    <w:rsid w:val="092C45E6"/>
    <w:rsid w:val="093220E8"/>
    <w:rsid w:val="099F556C"/>
    <w:rsid w:val="09AC0546"/>
    <w:rsid w:val="09C640C3"/>
    <w:rsid w:val="09D362E0"/>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56263C"/>
    <w:rsid w:val="0C5E2B8A"/>
    <w:rsid w:val="0CB37D5E"/>
    <w:rsid w:val="0CD574F0"/>
    <w:rsid w:val="0CF62A01"/>
    <w:rsid w:val="0D102274"/>
    <w:rsid w:val="0D121AE5"/>
    <w:rsid w:val="0D69107B"/>
    <w:rsid w:val="0D796541"/>
    <w:rsid w:val="0D9F7C29"/>
    <w:rsid w:val="0DA958CA"/>
    <w:rsid w:val="0DF104D3"/>
    <w:rsid w:val="0E1576FD"/>
    <w:rsid w:val="0E1C586B"/>
    <w:rsid w:val="0E5E051C"/>
    <w:rsid w:val="0E84113B"/>
    <w:rsid w:val="0E8A024B"/>
    <w:rsid w:val="0EAC77C9"/>
    <w:rsid w:val="0ED138E6"/>
    <w:rsid w:val="0EDA22A0"/>
    <w:rsid w:val="0F130B06"/>
    <w:rsid w:val="0F3856C4"/>
    <w:rsid w:val="0F495218"/>
    <w:rsid w:val="0F4C5F28"/>
    <w:rsid w:val="0F4D7364"/>
    <w:rsid w:val="0F5003A5"/>
    <w:rsid w:val="0F554A57"/>
    <w:rsid w:val="0F67780F"/>
    <w:rsid w:val="0F8F3C2A"/>
    <w:rsid w:val="0F9F5663"/>
    <w:rsid w:val="0FB648CB"/>
    <w:rsid w:val="0FD0731A"/>
    <w:rsid w:val="0FE401C8"/>
    <w:rsid w:val="0FF1533A"/>
    <w:rsid w:val="0FFE0AFA"/>
    <w:rsid w:val="1000683B"/>
    <w:rsid w:val="100525AD"/>
    <w:rsid w:val="101213A0"/>
    <w:rsid w:val="10344905"/>
    <w:rsid w:val="10656E2F"/>
    <w:rsid w:val="10732202"/>
    <w:rsid w:val="10860ED5"/>
    <w:rsid w:val="108F17DE"/>
    <w:rsid w:val="10AA3C13"/>
    <w:rsid w:val="10CA41CF"/>
    <w:rsid w:val="10CD0B75"/>
    <w:rsid w:val="10D43D83"/>
    <w:rsid w:val="110C4D24"/>
    <w:rsid w:val="11283655"/>
    <w:rsid w:val="113B0066"/>
    <w:rsid w:val="114A4434"/>
    <w:rsid w:val="115D458E"/>
    <w:rsid w:val="11650D79"/>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8C270D"/>
    <w:rsid w:val="139B3B65"/>
    <w:rsid w:val="13A62830"/>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4041F"/>
    <w:rsid w:val="15EA6A0B"/>
    <w:rsid w:val="15EF1E61"/>
    <w:rsid w:val="16222725"/>
    <w:rsid w:val="162900B5"/>
    <w:rsid w:val="1634239A"/>
    <w:rsid w:val="16394032"/>
    <w:rsid w:val="164F667E"/>
    <w:rsid w:val="165D0583"/>
    <w:rsid w:val="16654289"/>
    <w:rsid w:val="16AE4BFB"/>
    <w:rsid w:val="16BA6C12"/>
    <w:rsid w:val="16CB37AF"/>
    <w:rsid w:val="16DB79C9"/>
    <w:rsid w:val="16E93B5B"/>
    <w:rsid w:val="16EA20E7"/>
    <w:rsid w:val="16F55CC6"/>
    <w:rsid w:val="17141F2D"/>
    <w:rsid w:val="176F5C05"/>
    <w:rsid w:val="17705930"/>
    <w:rsid w:val="17A076C4"/>
    <w:rsid w:val="17A62BCE"/>
    <w:rsid w:val="17AC57E6"/>
    <w:rsid w:val="17DB3FE8"/>
    <w:rsid w:val="17E12498"/>
    <w:rsid w:val="17E826AB"/>
    <w:rsid w:val="17F275CB"/>
    <w:rsid w:val="18194F39"/>
    <w:rsid w:val="18312DD6"/>
    <w:rsid w:val="18407C50"/>
    <w:rsid w:val="184B7EE3"/>
    <w:rsid w:val="1872258F"/>
    <w:rsid w:val="18AC3E03"/>
    <w:rsid w:val="18D3414F"/>
    <w:rsid w:val="18D91924"/>
    <w:rsid w:val="19831412"/>
    <w:rsid w:val="19A96435"/>
    <w:rsid w:val="19E43A3D"/>
    <w:rsid w:val="19EF476F"/>
    <w:rsid w:val="1A0B3A21"/>
    <w:rsid w:val="1A290039"/>
    <w:rsid w:val="1A352FE3"/>
    <w:rsid w:val="1A7F0493"/>
    <w:rsid w:val="1ABF3A0B"/>
    <w:rsid w:val="1AC158B0"/>
    <w:rsid w:val="1B3329B5"/>
    <w:rsid w:val="1B595D85"/>
    <w:rsid w:val="1B7F155B"/>
    <w:rsid w:val="1BAE2A00"/>
    <w:rsid w:val="1BB6627C"/>
    <w:rsid w:val="1BE57152"/>
    <w:rsid w:val="1BF056DA"/>
    <w:rsid w:val="1C1B0DC7"/>
    <w:rsid w:val="1C5E2CC4"/>
    <w:rsid w:val="1C5E2F54"/>
    <w:rsid w:val="1CA0799D"/>
    <w:rsid w:val="1CAE294B"/>
    <w:rsid w:val="1CDA242C"/>
    <w:rsid w:val="1CF75BF5"/>
    <w:rsid w:val="1CFB2AC1"/>
    <w:rsid w:val="1D1F1294"/>
    <w:rsid w:val="1D3600B7"/>
    <w:rsid w:val="1D3C7064"/>
    <w:rsid w:val="1D6224B5"/>
    <w:rsid w:val="1D85535E"/>
    <w:rsid w:val="1D955667"/>
    <w:rsid w:val="1DB227A6"/>
    <w:rsid w:val="1DB41841"/>
    <w:rsid w:val="1DCF39D2"/>
    <w:rsid w:val="1DE45821"/>
    <w:rsid w:val="1DF005DE"/>
    <w:rsid w:val="1DF64986"/>
    <w:rsid w:val="1E5E1170"/>
    <w:rsid w:val="1E687F6B"/>
    <w:rsid w:val="1E8806BC"/>
    <w:rsid w:val="1EA137E3"/>
    <w:rsid w:val="1EC97F44"/>
    <w:rsid w:val="1ECC250D"/>
    <w:rsid w:val="1F0936F5"/>
    <w:rsid w:val="1F0D6CF5"/>
    <w:rsid w:val="1F17474D"/>
    <w:rsid w:val="1F2B10F9"/>
    <w:rsid w:val="1F606B52"/>
    <w:rsid w:val="1F711839"/>
    <w:rsid w:val="1F8429C2"/>
    <w:rsid w:val="1F8A172B"/>
    <w:rsid w:val="1F9A548F"/>
    <w:rsid w:val="1FA564C4"/>
    <w:rsid w:val="1FB811AE"/>
    <w:rsid w:val="1FDC0E64"/>
    <w:rsid w:val="1FE94550"/>
    <w:rsid w:val="200124B3"/>
    <w:rsid w:val="200D067C"/>
    <w:rsid w:val="20811B82"/>
    <w:rsid w:val="2081439A"/>
    <w:rsid w:val="208D29F6"/>
    <w:rsid w:val="20941E02"/>
    <w:rsid w:val="20A662B2"/>
    <w:rsid w:val="20BE61DB"/>
    <w:rsid w:val="21091739"/>
    <w:rsid w:val="211451D0"/>
    <w:rsid w:val="211B0B99"/>
    <w:rsid w:val="21402B64"/>
    <w:rsid w:val="2151075A"/>
    <w:rsid w:val="2187422D"/>
    <w:rsid w:val="219E74A3"/>
    <w:rsid w:val="22271C95"/>
    <w:rsid w:val="22450C21"/>
    <w:rsid w:val="22571B82"/>
    <w:rsid w:val="22587625"/>
    <w:rsid w:val="22843CEF"/>
    <w:rsid w:val="22915C95"/>
    <w:rsid w:val="22920D1D"/>
    <w:rsid w:val="22C0245E"/>
    <w:rsid w:val="22C9451A"/>
    <w:rsid w:val="22D22A99"/>
    <w:rsid w:val="22DF0545"/>
    <w:rsid w:val="23514077"/>
    <w:rsid w:val="23855295"/>
    <w:rsid w:val="23B20773"/>
    <w:rsid w:val="23CF6D67"/>
    <w:rsid w:val="23E92C0B"/>
    <w:rsid w:val="241F6375"/>
    <w:rsid w:val="248F188B"/>
    <w:rsid w:val="24BD0518"/>
    <w:rsid w:val="24E91488"/>
    <w:rsid w:val="25077EC5"/>
    <w:rsid w:val="256A021C"/>
    <w:rsid w:val="25962669"/>
    <w:rsid w:val="25C20278"/>
    <w:rsid w:val="25C545AD"/>
    <w:rsid w:val="262D62D9"/>
    <w:rsid w:val="26381808"/>
    <w:rsid w:val="264A41B2"/>
    <w:rsid w:val="26681CAB"/>
    <w:rsid w:val="267E5FCE"/>
    <w:rsid w:val="26895E91"/>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45FF"/>
    <w:rsid w:val="281B6C69"/>
    <w:rsid w:val="284E33F7"/>
    <w:rsid w:val="28596ECF"/>
    <w:rsid w:val="28694AA6"/>
    <w:rsid w:val="287A3770"/>
    <w:rsid w:val="2896156C"/>
    <w:rsid w:val="28A01911"/>
    <w:rsid w:val="28B52EA9"/>
    <w:rsid w:val="28C759BF"/>
    <w:rsid w:val="28D22F4D"/>
    <w:rsid w:val="29007BBA"/>
    <w:rsid w:val="290A138C"/>
    <w:rsid w:val="291A4010"/>
    <w:rsid w:val="291B0D01"/>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FE37F5"/>
    <w:rsid w:val="2C127486"/>
    <w:rsid w:val="2C1B2490"/>
    <w:rsid w:val="2C1D4AB1"/>
    <w:rsid w:val="2C2841AD"/>
    <w:rsid w:val="2C3757DB"/>
    <w:rsid w:val="2C3A3275"/>
    <w:rsid w:val="2C495744"/>
    <w:rsid w:val="2C4F5D11"/>
    <w:rsid w:val="2C696B32"/>
    <w:rsid w:val="2CA40E82"/>
    <w:rsid w:val="2CC440BD"/>
    <w:rsid w:val="2CEA1C58"/>
    <w:rsid w:val="2CEE6B8D"/>
    <w:rsid w:val="2D233DAE"/>
    <w:rsid w:val="2D8E403A"/>
    <w:rsid w:val="2DC51DB6"/>
    <w:rsid w:val="2DE6749D"/>
    <w:rsid w:val="2DF9626C"/>
    <w:rsid w:val="2DFD7A78"/>
    <w:rsid w:val="2DFF21A9"/>
    <w:rsid w:val="2E145F76"/>
    <w:rsid w:val="2E290BCC"/>
    <w:rsid w:val="2E3E3E00"/>
    <w:rsid w:val="2E8501BE"/>
    <w:rsid w:val="2EA73673"/>
    <w:rsid w:val="2EA86D09"/>
    <w:rsid w:val="2ECE747D"/>
    <w:rsid w:val="2EDE6622"/>
    <w:rsid w:val="2EDF0237"/>
    <w:rsid w:val="2EFD78DE"/>
    <w:rsid w:val="2F32226B"/>
    <w:rsid w:val="2F376D10"/>
    <w:rsid w:val="2F507B33"/>
    <w:rsid w:val="2FA003B5"/>
    <w:rsid w:val="2FA231C5"/>
    <w:rsid w:val="2FB5402C"/>
    <w:rsid w:val="30131B0F"/>
    <w:rsid w:val="301A7503"/>
    <w:rsid w:val="30266CFB"/>
    <w:rsid w:val="30775A8C"/>
    <w:rsid w:val="308B65F2"/>
    <w:rsid w:val="30A9337F"/>
    <w:rsid w:val="30F5782F"/>
    <w:rsid w:val="30F66636"/>
    <w:rsid w:val="3117229F"/>
    <w:rsid w:val="31395268"/>
    <w:rsid w:val="315A4759"/>
    <w:rsid w:val="316D08AD"/>
    <w:rsid w:val="31703761"/>
    <w:rsid w:val="318526EA"/>
    <w:rsid w:val="3197247E"/>
    <w:rsid w:val="31A14F37"/>
    <w:rsid w:val="31A50177"/>
    <w:rsid w:val="31BC7893"/>
    <w:rsid w:val="31DD775A"/>
    <w:rsid w:val="31ED10C9"/>
    <w:rsid w:val="320F0A18"/>
    <w:rsid w:val="32351CB2"/>
    <w:rsid w:val="324554E5"/>
    <w:rsid w:val="325D2B5A"/>
    <w:rsid w:val="325E4969"/>
    <w:rsid w:val="327661FC"/>
    <w:rsid w:val="32787E64"/>
    <w:rsid w:val="32B33B5A"/>
    <w:rsid w:val="32E16FE7"/>
    <w:rsid w:val="32EE27B2"/>
    <w:rsid w:val="33283C74"/>
    <w:rsid w:val="33372789"/>
    <w:rsid w:val="33373161"/>
    <w:rsid w:val="333876C2"/>
    <w:rsid w:val="3346302E"/>
    <w:rsid w:val="33484A1E"/>
    <w:rsid w:val="335F47E9"/>
    <w:rsid w:val="33672754"/>
    <w:rsid w:val="33757E6E"/>
    <w:rsid w:val="33813C29"/>
    <w:rsid w:val="33AE46D6"/>
    <w:rsid w:val="33E811A0"/>
    <w:rsid w:val="33FB17D8"/>
    <w:rsid w:val="340D027E"/>
    <w:rsid w:val="34693A6E"/>
    <w:rsid w:val="346E4104"/>
    <w:rsid w:val="3476470C"/>
    <w:rsid w:val="34B85E11"/>
    <w:rsid w:val="34D83C16"/>
    <w:rsid w:val="34F4225F"/>
    <w:rsid w:val="34F42A3D"/>
    <w:rsid w:val="35022C0E"/>
    <w:rsid w:val="3509315E"/>
    <w:rsid w:val="351A4CC6"/>
    <w:rsid w:val="356B24AB"/>
    <w:rsid w:val="35AE299B"/>
    <w:rsid w:val="35C620C0"/>
    <w:rsid w:val="35CA47C2"/>
    <w:rsid w:val="371440A5"/>
    <w:rsid w:val="37705F34"/>
    <w:rsid w:val="377700B0"/>
    <w:rsid w:val="37857872"/>
    <w:rsid w:val="379C48BE"/>
    <w:rsid w:val="37AF7036"/>
    <w:rsid w:val="37ED2901"/>
    <w:rsid w:val="37F7347F"/>
    <w:rsid w:val="380927B5"/>
    <w:rsid w:val="381F0B0E"/>
    <w:rsid w:val="382139EC"/>
    <w:rsid w:val="3876150B"/>
    <w:rsid w:val="38D03C78"/>
    <w:rsid w:val="38EF03A6"/>
    <w:rsid w:val="38F0125F"/>
    <w:rsid w:val="3900577A"/>
    <w:rsid w:val="39107772"/>
    <w:rsid w:val="39187A90"/>
    <w:rsid w:val="39202018"/>
    <w:rsid w:val="392739EA"/>
    <w:rsid w:val="392D38AD"/>
    <w:rsid w:val="3946679B"/>
    <w:rsid w:val="394D1646"/>
    <w:rsid w:val="39870C57"/>
    <w:rsid w:val="399A43EA"/>
    <w:rsid w:val="39AA5000"/>
    <w:rsid w:val="39AE5946"/>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981241"/>
    <w:rsid w:val="3BBB2E68"/>
    <w:rsid w:val="3BD120B9"/>
    <w:rsid w:val="3BDA3F2B"/>
    <w:rsid w:val="3C0B0D05"/>
    <w:rsid w:val="3C1464E0"/>
    <w:rsid w:val="3C1B10BF"/>
    <w:rsid w:val="3C8823DF"/>
    <w:rsid w:val="3C9D0254"/>
    <w:rsid w:val="3C9F5B7F"/>
    <w:rsid w:val="3CA22406"/>
    <w:rsid w:val="3CC5729E"/>
    <w:rsid w:val="3CCE203C"/>
    <w:rsid w:val="3CD96C18"/>
    <w:rsid w:val="3CDC3348"/>
    <w:rsid w:val="3D02537F"/>
    <w:rsid w:val="3D042BD7"/>
    <w:rsid w:val="3D087EC6"/>
    <w:rsid w:val="3D0C1655"/>
    <w:rsid w:val="3D4E48C8"/>
    <w:rsid w:val="3D50421B"/>
    <w:rsid w:val="3D77737D"/>
    <w:rsid w:val="3D807C08"/>
    <w:rsid w:val="3DBF5349"/>
    <w:rsid w:val="3DC04E13"/>
    <w:rsid w:val="3DCC0A6F"/>
    <w:rsid w:val="3DD244E7"/>
    <w:rsid w:val="3DDC294B"/>
    <w:rsid w:val="3E0E5340"/>
    <w:rsid w:val="3E132617"/>
    <w:rsid w:val="3E1747FA"/>
    <w:rsid w:val="3E2E7EE8"/>
    <w:rsid w:val="3E4F76FB"/>
    <w:rsid w:val="3E5B41D6"/>
    <w:rsid w:val="3E6604E6"/>
    <w:rsid w:val="3E964B98"/>
    <w:rsid w:val="3E9B2B8B"/>
    <w:rsid w:val="3EAD26A1"/>
    <w:rsid w:val="3EB01A0B"/>
    <w:rsid w:val="3ECE16FA"/>
    <w:rsid w:val="3F064C6A"/>
    <w:rsid w:val="3F201B40"/>
    <w:rsid w:val="3F322D0C"/>
    <w:rsid w:val="3F3542FD"/>
    <w:rsid w:val="3F4118C8"/>
    <w:rsid w:val="3F4334BB"/>
    <w:rsid w:val="3F5C676A"/>
    <w:rsid w:val="3F651AFB"/>
    <w:rsid w:val="3FF55768"/>
    <w:rsid w:val="40044BCD"/>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2A484C"/>
    <w:rsid w:val="422A51CF"/>
    <w:rsid w:val="4231331F"/>
    <w:rsid w:val="42381A71"/>
    <w:rsid w:val="423E6EC2"/>
    <w:rsid w:val="426B0C9E"/>
    <w:rsid w:val="42841694"/>
    <w:rsid w:val="429266C7"/>
    <w:rsid w:val="42AF1322"/>
    <w:rsid w:val="42B30ACF"/>
    <w:rsid w:val="42D25CAE"/>
    <w:rsid w:val="42E73C10"/>
    <w:rsid w:val="42F708A9"/>
    <w:rsid w:val="42FC0B94"/>
    <w:rsid w:val="43364422"/>
    <w:rsid w:val="433B6093"/>
    <w:rsid w:val="43536857"/>
    <w:rsid w:val="43AA33DE"/>
    <w:rsid w:val="43BB7215"/>
    <w:rsid w:val="43BC4F26"/>
    <w:rsid w:val="43EE582E"/>
    <w:rsid w:val="43FB3DA4"/>
    <w:rsid w:val="440E1214"/>
    <w:rsid w:val="441C4006"/>
    <w:rsid w:val="44330E9F"/>
    <w:rsid w:val="443E7A53"/>
    <w:rsid w:val="44462D9E"/>
    <w:rsid w:val="44752C18"/>
    <w:rsid w:val="449E489D"/>
    <w:rsid w:val="44B24294"/>
    <w:rsid w:val="44CF520F"/>
    <w:rsid w:val="44D50483"/>
    <w:rsid w:val="451019FB"/>
    <w:rsid w:val="451A43EA"/>
    <w:rsid w:val="451B2715"/>
    <w:rsid w:val="45361837"/>
    <w:rsid w:val="4543370D"/>
    <w:rsid w:val="454F62D8"/>
    <w:rsid w:val="455B13AC"/>
    <w:rsid w:val="45CF3CD0"/>
    <w:rsid w:val="45DE1A05"/>
    <w:rsid w:val="45F6393A"/>
    <w:rsid w:val="46037BDC"/>
    <w:rsid w:val="460567D8"/>
    <w:rsid w:val="4626023B"/>
    <w:rsid w:val="462F25DF"/>
    <w:rsid w:val="46566BF3"/>
    <w:rsid w:val="46620161"/>
    <w:rsid w:val="46C17C69"/>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6432D4"/>
    <w:rsid w:val="487C3875"/>
    <w:rsid w:val="48977283"/>
    <w:rsid w:val="48A90F1E"/>
    <w:rsid w:val="48B9644F"/>
    <w:rsid w:val="48DE3EAB"/>
    <w:rsid w:val="48FA3778"/>
    <w:rsid w:val="490A690E"/>
    <w:rsid w:val="49474FB2"/>
    <w:rsid w:val="495B6D68"/>
    <w:rsid w:val="496316AF"/>
    <w:rsid w:val="4975258C"/>
    <w:rsid w:val="49896512"/>
    <w:rsid w:val="4996414B"/>
    <w:rsid w:val="49987D21"/>
    <w:rsid w:val="49A46AFC"/>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C6AE6"/>
    <w:rsid w:val="4BEE4C69"/>
    <w:rsid w:val="4BF830BC"/>
    <w:rsid w:val="4C293566"/>
    <w:rsid w:val="4C2C1C2C"/>
    <w:rsid w:val="4C3F2388"/>
    <w:rsid w:val="4C4E4313"/>
    <w:rsid w:val="4C553BEB"/>
    <w:rsid w:val="4C663381"/>
    <w:rsid w:val="4C723787"/>
    <w:rsid w:val="4C783FE1"/>
    <w:rsid w:val="4C827120"/>
    <w:rsid w:val="4CF05EAC"/>
    <w:rsid w:val="4D102CB4"/>
    <w:rsid w:val="4D496F28"/>
    <w:rsid w:val="4D7636CB"/>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90049B"/>
    <w:rsid w:val="509778C7"/>
    <w:rsid w:val="50BD598F"/>
    <w:rsid w:val="50EF38E6"/>
    <w:rsid w:val="5170523B"/>
    <w:rsid w:val="51773E2A"/>
    <w:rsid w:val="519A116B"/>
    <w:rsid w:val="51A40397"/>
    <w:rsid w:val="51A74F81"/>
    <w:rsid w:val="51C53170"/>
    <w:rsid w:val="51E57489"/>
    <w:rsid w:val="51FE641B"/>
    <w:rsid w:val="5222212F"/>
    <w:rsid w:val="5236412D"/>
    <w:rsid w:val="524370D4"/>
    <w:rsid w:val="526137D1"/>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D005D1"/>
    <w:rsid w:val="540D782C"/>
    <w:rsid w:val="541B7EBE"/>
    <w:rsid w:val="542F1421"/>
    <w:rsid w:val="54342D0E"/>
    <w:rsid w:val="543973F0"/>
    <w:rsid w:val="543B3AF3"/>
    <w:rsid w:val="544B51D2"/>
    <w:rsid w:val="544C3285"/>
    <w:rsid w:val="546C32BA"/>
    <w:rsid w:val="547733F4"/>
    <w:rsid w:val="54B156BA"/>
    <w:rsid w:val="54F516DC"/>
    <w:rsid w:val="550D4DCC"/>
    <w:rsid w:val="550D509F"/>
    <w:rsid w:val="55187C2D"/>
    <w:rsid w:val="551F51F5"/>
    <w:rsid w:val="55391B60"/>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DA5A5F"/>
    <w:rsid w:val="56F772B5"/>
    <w:rsid w:val="57563E7B"/>
    <w:rsid w:val="57600E00"/>
    <w:rsid w:val="577E3F1D"/>
    <w:rsid w:val="57C70008"/>
    <w:rsid w:val="58082D66"/>
    <w:rsid w:val="580C5CD9"/>
    <w:rsid w:val="58224292"/>
    <w:rsid w:val="58270690"/>
    <w:rsid w:val="586B2608"/>
    <w:rsid w:val="586D59B4"/>
    <w:rsid w:val="5879595C"/>
    <w:rsid w:val="588331BE"/>
    <w:rsid w:val="58D16F7B"/>
    <w:rsid w:val="59223ACE"/>
    <w:rsid w:val="592D287D"/>
    <w:rsid w:val="592D7AE2"/>
    <w:rsid w:val="593554F0"/>
    <w:rsid w:val="59BA5947"/>
    <w:rsid w:val="59BF6194"/>
    <w:rsid w:val="59F967B7"/>
    <w:rsid w:val="5A194DBF"/>
    <w:rsid w:val="5A1A7700"/>
    <w:rsid w:val="5A3078C5"/>
    <w:rsid w:val="5A3A24E6"/>
    <w:rsid w:val="5A7A4DB9"/>
    <w:rsid w:val="5AA277F3"/>
    <w:rsid w:val="5AC16AE9"/>
    <w:rsid w:val="5ADF3A74"/>
    <w:rsid w:val="5AE53367"/>
    <w:rsid w:val="5AF01452"/>
    <w:rsid w:val="5B0B0083"/>
    <w:rsid w:val="5B0B32DD"/>
    <w:rsid w:val="5B1254E6"/>
    <w:rsid w:val="5B2E5B59"/>
    <w:rsid w:val="5B4A6955"/>
    <w:rsid w:val="5BA65A0C"/>
    <w:rsid w:val="5BB2174D"/>
    <w:rsid w:val="5BC02A4C"/>
    <w:rsid w:val="5BC3228B"/>
    <w:rsid w:val="5BCB00D0"/>
    <w:rsid w:val="5BF571B7"/>
    <w:rsid w:val="5BFC28DA"/>
    <w:rsid w:val="5C3B1FEA"/>
    <w:rsid w:val="5C550669"/>
    <w:rsid w:val="5C6A01BF"/>
    <w:rsid w:val="5C70174F"/>
    <w:rsid w:val="5C792CC0"/>
    <w:rsid w:val="5CEB6783"/>
    <w:rsid w:val="5D041ECD"/>
    <w:rsid w:val="5D5E1AC8"/>
    <w:rsid w:val="5D8276D8"/>
    <w:rsid w:val="5D9D2DC0"/>
    <w:rsid w:val="5DDA6F57"/>
    <w:rsid w:val="5DED5E63"/>
    <w:rsid w:val="5E051414"/>
    <w:rsid w:val="5E0531C9"/>
    <w:rsid w:val="5E206741"/>
    <w:rsid w:val="5E2D4C21"/>
    <w:rsid w:val="5E551862"/>
    <w:rsid w:val="5E820037"/>
    <w:rsid w:val="5E9A188D"/>
    <w:rsid w:val="5EE41E2E"/>
    <w:rsid w:val="5F0C7F49"/>
    <w:rsid w:val="5F0F00DA"/>
    <w:rsid w:val="5F3B32F7"/>
    <w:rsid w:val="5F4B4581"/>
    <w:rsid w:val="5F6B57B3"/>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A21E7"/>
    <w:rsid w:val="618569FC"/>
    <w:rsid w:val="61856B0D"/>
    <w:rsid w:val="61B601DF"/>
    <w:rsid w:val="61D379C6"/>
    <w:rsid w:val="61F833BE"/>
    <w:rsid w:val="623928B9"/>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5222"/>
    <w:rsid w:val="649D0CB0"/>
    <w:rsid w:val="64B2258D"/>
    <w:rsid w:val="64DE359C"/>
    <w:rsid w:val="64E30C9E"/>
    <w:rsid w:val="64E86D2F"/>
    <w:rsid w:val="651C0811"/>
    <w:rsid w:val="65334B3E"/>
    <w:rsid w:val="657C25FC"/>
    <w:rsid w:val="65997784"/>
    <w:rsid w:val="65A976E6"/>
    <w:rsid w:val="65C64C37"/>
    <w:rsid w:val="65D01190"/>
    <w:rsid w:val="66197BB5"/>
    <w:rsid w:val="66685007"/>
    <w:rsid w:val="66937BBB"/>
    <w:rsid w:val="66AB371C"/>
    <w:rsid w:val="66AE1192"/>
    <w:rsid w:val="66CA69C3"/>
    <w:rsid w:val="6749368B"/>
    <w:rsid w:val="67594DFB"/>
    <w:rsid w:val="6794708A"/>
    <w:rsid w:val="67CE0CE2"/>
    <w:rsid w:val="67DA4215"/>
    <w:rsid w:val="67DD6947"/>
    <w:rsid w:val="67E42DFA"/>
    <w:rsid w:val="67ED44CB"/>
    <w:rsid w:val="6811170E"/>
    <w:rsid w:val="681D58BA"/>
    <w:rsid w:val="6833352E"/>
    <w:rsid w:val="686A6ECC"/>
    <w:rsid w:val="68946F88"/>
    <w:rsid w:val="68EB3ADC"/>
    <w:rsid w:val="6901490D"/>
    <w:rsid w:val="69240005"/>
    <w:rsid w:val="69462386"/>
    <w:rsid w:val="694C2162"/>
    <w:rsid w:val="697206C8"/>
    <w:rsid w:val="698624ED"/>
    <w:rsid w:val="69A406C2"/>
    <w:rsid w:val="69B60CF8"/>
    <w:rsid w:val="69C96ADD"/>
    <w:rsid w:val="69DC5A3B"/>
    <w:rsid w:val="69E50464"/>
    <w:rsid w:val="69F94050"/>
    <w:rsid w:val="6A12713E"/>
    <w:rsid w:val="6A175284"/>
    <w:rsid w:val="6A2F06BE"/>
    <w:rsid w:val="6A4811D1"/>
    <w:rsid w:val="6A575201"/>
    <w:rsid w:val="6A641C5D"/>
    <w:rsid w:val="6A7016FE"/>
    <w:rsid w:val="6AFC6812"/>
    <w:rsid w:val="6B017ECC"/>
    <w:rsid w:val="6B51227B"/>
    <w:rsid w:val="6B5E2EC6"/>
    <w:rsid w:val="6B7575DB"/>
    <w:rsid w:val="6BAB4ED2"/>
    <w:rsid w:val="6BFB3F37"/>
    <w:rsid w:val="6C42065A"/>
    <w:rsid w:val="6C6F44FD"/>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1C81"/>
    <w:rsid w:val="71DB3B44"/>
    <w:rsid w:val="71E636DC"/>
    <w:rsid w:val="72042857"/>
    <w:rsid w:val="72516D64"/>
    <w:rsid w:val="72744030"/>
    <w:rsid w:val="72867A39"/>
    <w:rsid w:val="72C14D7E"/>
    <w:rsid w:val="72E532C0"/>
    <w:rsid w:val="72EE3608"/>
    <w:rsid w:val="72F37E30"/>
    <w:rsid w:val="73092801"/>
    <w:rsid w:val="7318185D"/>
    <w:rsid w:val="7322549D"/>
    <w:rsid w:val="7327462F"/>
    <w:rsid w:val="732F59FD"/>
    <w:rsid w:val="734B5574"/>
    <w:rsid w:val="7355417D"/>
    <w:rsid w:val="736C3FBB"/>
    <w:rsid w:val="73821201"/>
    <w:rsid w:val="73832905"/>
    <w:rsid w:val="738C0987"/>
    <w:rsid w:val="739F768E"/>
    <w:rsid w:val="73A75983"/>
    <w:rsid w:val="73A85DC8"/>
    <w:rsid w:val="73C54686"/>
    <w:rsid w:val="73C75DA5"/>
    <w:rsid w:val="73D14742"/>
    <w:rsid w:val="73E217DB"/>
    <w:rsid w:val="73ED43C1"/>
    <w:rsid w:val="73FB25F2"/>
    <w:rsid w:val="740F6E24"/>
    <w:rsid w:val="741866C3"/>
    <w:rsid w:val="741D30D0"/>
    <w:rsid w:val="74285611"/>
    <w:rsid w:val="7430057A"/>
    <w:rsid w:val="744403A1"/>
    <w:rsid w:val="7451673A"/>
    <w:rsid w:val="74573DE9"/>
    <w:rsid w:val="74626087"/>
    <w:rsid w:val="747F0795"/>
    <w:rsid w:val="7483582D"/>
    <w:rsid w:val="74901AB7"/>
    <w:rsid w:val="749D37F7"/>
    <w:rsid w:val="74BC6C8B"/>
    <w:rsid w:val="74D53B99"/>
    <w:rsid w:val="754C1AAF"/>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80FE0"/>
    <w:rsid w:val="77C90B9C"/>
    <w:rsid w:val="77DB4D3A"/>
    <w:rsid w:val="77EF22D8"/>
    <w:rsid w:val="7811438D"/>
    <w:rsid w:val="78204380"/>
    <w:rsid w:val="7823088B"/>
    <w:rsid w:val="78384CBC"/>
    <w:rsid w:val="784140B2"/>
    <w:rsid w:val="784258BF"/>
    <w:rsid w:val="7862008E"/>
    <w:rsid w:val="786C0DC0"/>
    <w:rsid w:val="78723138"/>
    <w:rsid w:val="78C070AB"/>
    <w:rsid w:val="78FD1105"/>
    <w:rsid w:val="79340E93"/>
    <w:rsid w:val="793758F2"/>
    <w:rsid w:val="79AB1E6C"/>
    <w:rsid w:val="79BB100C"/>
    <w:rsid w:val="79C0590F"/>
    <w:rsid w:val="79EE0B28"/>
    <w:rsid w:val="7A080BBF"/>
    <w:rsid w:val="7A0E1DB4"/>
    <w:rsid w:val="7A11214D"/>
    <w:rsid w:val="7A1C3197"/>
    <w:rsid w:val="7A4F2396"/>
    <w:rsid w:val="7A516C18"/>
    <w:rsid w:val="7A787ECB"/>
    <w:rsid w:val="7A875FC6"/>
    <w:rsid w:val="7A8B51CB"/>
    <w:rsid w:val="7A984514"/>
    <w:rsid w:val="7AB507FA"/>
    <w:rsid w:val="7AC634CB"/>
    <w:rsid w:val="7ACB482C"/>
    <w:rsid w:val="7ADE4DB7"/>
    <w:rsid w:val="7AE7260F"/>
    <w:rsid w:val="7AEA6401"/>
    <w:rsid w:val="7AEB331B"/>
    <w:rsid w:val="7AF137EF"/>
    <w:rsid w:val="7B0B3C0F"/>
    <w:rsid w:val="7B100283"/>
    <w:rsid w:val="7B193819"/>
    <w:rsid w:val="7B2531D6"/>
    <w:rsid w:val="7B3D3F94"/>
    <w:rsid w:val="7B5B11D8"/>
    <w:rsid w:val="7B5D71AA"/>
    <w:rsid w:val="7B8E193F"/>
    <w:rsid w:val="7B947C9E"/>
    <w:rsid w:val="7BAE3C2D"/>
    <w:rsid w:val="7BF90DBF"/>
    <w:rsid w:val="7C41564D"/>
    <w:rsid w:val="7C5F0EF8"/>
    <w:rsid w:val="7C8A0448"/>
    <w:rsid w:val="7C8E16C9"/>
    <w:rsid w:val="7C91123B"/>
    <w:rsid w:val="7CA10AF6"/>
    <w:rsid w:val="7CA255C9"/>
    <w:rsid w:val="7CB561C0"/>
    <w:rsid w:val="7CCC277F"/>
    <w:rsid w:val="7CCD3BF4"/>
    <w:rsid w:val="7CE3033A"/>
    <w:rsid w:val="7CE91013"/>
    <w:rsid w:val="7D0A2590"/>
    <w:rsid w:val="7D550752"/>
    <w:rsid w:val="7D6A7A29"/>
    <w:rsid w:val="7D702076"/>
    <w:rsid w:val="7D712B47"/>
    <w:rsid w:val="7DA0035E"/>
    <w:rsid w:val="7DBE0A6E"/>
    <w:rsid w:val="7DCC5A45"/>
    <w:rsid w:val="7DCE7044"/>
    <w:rsid w:val="7DED6343"/>
    <w:rsid w:val="7E016E84"/>
    <w:rsid w:val="7E3F65EE"/>
    <w:rsid w:val="7E401756"/>
    <w:rsid w:val="7E630B4F"/>
    <w:rsid w:val="7E642324"/>
    <w:rsid w:val="7E831180"/>
    <w:rsid w:val="7E8B6D0C"/>
    <w:rsid w:val="7E905E0D"/>
    <w:rsid w:val="7EDA5831"/>
    <w:rsid w:val="7EFA29D7"/>
    <w:rsid w:val="7F007923"/>
    <w:rsid w:val="7F1F02F6"/>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qFormat="1" w:unhideWhenUsed="0" w:uiPriority="0"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outlineLvl w:val="3"/>
    </w:pPr>
    <w:rPr>
      <w:i/>
      <w:iCs/>
      <w:color w:val="2F5597" w:themeColor="accent1" w:themeShade="BF"/>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7">
    <w:name w:val="annotation text"/>
    <w:basedOn w:val="1"/>
    <w:link w:val="60"/>
    <w:semiHidden/>
    <w:unhideWhenUsed/>
    <w:qFormat/>
    <w:uiPriority w:val="99"/>
    <w:pPr>
      <w:spacing w:line="240" w:lineRule="auto"/>
    </w:pPr>
    <w:rPr>
      <w:szCs w:val="20"/>
    </w:rPr>
  </w:style>
  <w:style w:type="paragraph" w:styleId="8">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2">
    <w:name w:val="footer"/>
    <w:basedOn w:val="13"/>
    <w:qFormat/>
    <w:uiPriority w:val="0"/>
    <w:pPr>
      <w:jc w:val="center"/>
    </w:pPr>
    <w:rPr>
      <w:i/>
    </w:rPr>
  </w:style>
  <w:style w:type="paragraph" w:styleId="13">
    <w:name w:val="header"/>
    <w:basedOn w:val="1"/>
    <w:link w:val="55"/>
    <w:semiHidden/>
    <w:unhideWhenUsed/>
    <w:qFormat/>
    <w:uiPriority w:val="0"/>
    <w:pPr>
      <w:widowControl w:val="0"/>
      <w:spacing w:after="0" w:line="240" w:lineRule="auto"/>
    </w:pPr>
    <w:rPr>
      <w:rFonts w:ascii="Tms Rmn" w:hAnsi="Tms Rmn"/>
      <w:b/>
      <w:sz w:val="18"/>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8">
    <w:name w:val="annotation subject"/>
    <w:basedOn w:val="7"/>
    <w:next w:val="7"/>
    <w:link w:val="61"/>
    <w:semiHidden/>
    <w:unhideWhenUsed/>
    <w:qFormat/>
    <w:uiPriority w:val="99"/>
    <w:rPr>
      <w:b/>
      <w:bCs/>
    </w:rPr>
  </w:style>
  <w:style w:type="table" w:styleId="20">
    <w:name w:val="Table Grid"/>
    <w:basedOn w:val="19"/>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22"/>
    <w:rPr>
      <w:b/>
    </w:rPr>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annotation reference"/>
    <w:basedOn w:val="21"/>
    <w:semiHidden/>
    <w:unhideWhenUsed/>
    <w:qFormat/>
    <w:uiPriority w:val="99"/>
    <w:rPr>
      <w:sz w:val="16"/>
      <w:szCs w:val="16"/>
    </w:rPr>
  </w:style>
  <w:style w:type="character" w:customStyle="1" w:styleId="26">
    <w:name w:val="标题 2 Char"/>
    <w:basedOn w:val="21"/>
    <w:link w:val="3"/>
    <w:qFormat/>
    <w:uiPriority w:val="0"/>
    <w:rPr>
      <w:rFonts w:ascii="Arial" w:hAnsi="Arial" w:eastAsia="Times New Roman" w:cs="Times New Roman"/>
      <w:sz w:val="32"/>
      <w:szCs w:val="20"/>
      <w:lang w:val="en-GB"/>
    </w:rPr>
  </w:style>
  <w:style w:type="character" w:customStyle="1" w:styleId="27">
    <w:name w:val="标题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1"/>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列出段落 Char"/>
    <w:basedOn w:val="21"/>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6"/>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标题1"/>
    <w:basedOn w:val="2"/>
    <w:next w:val="1"/>
    <w:unhideWhenUsed/>
    <w:qFormat/>
    <w:uiPriority w:val="39"/>
    <w:pPr>
      <w:outlineLvl w:val="9"/>
    </w:pPr>
  </w:style>
  <w:style w:type="character" w:customStyle="1" w:styleId="40">
    <w:name w:val="题注 Char"/>
    <w:basedOn w:val="21"/>
    <w:link w:val="6"/>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1"/>
    <w:semiHidden/>
    <w:unhideWhenUsed/>
    <w:qFormat/>
    <w:uiPriority w:val="99"/>
    <w:rPr>
      <w:color w:val="808080"/>
      <w:shd w:val="clear" w:color="auto" w:fill="E6E6E6"/>
    </w:rPr>
  </w:style>
  <w:style w:type="character" w:customStyle="1" w:styleId="45">
    <w:name w:val="标题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正文文本 Char"/>
    <w:basedOn w:val="21"/>
    <w:link w:val="8"/>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页眉 Char"/>
    <w:basedOn w:val="21"/>
    <w:link w:val="13"/>
    <w:semiHidden/>
    <w:qFormat/>
    <w:locked/>
    <w:uiPriority w:val="0"/>
    <w:rPr>
      <w:rFonts w:ascii="Tms Rmn" w:hAnsi="Tms Rmn"/>
      <w:b/>
      <w:sz w:val="18"/>
    </w:rPr>
  </w:style>
  <w:style w:type="character" w:customStyle="1" w:styleId="56">
    <w:name w:val="Header Char1"/>
    <w:basedOn w:val="21"/>
    <w:semiHidden/>
    <w:qFormat/>
    <w:uiPriority w:val="99"/>
    <w:rPr>
      <w:rFonts w:ascii="Times New Roman" w:hAnsi="Times New Roman"/>
      <w:sz w:val="20"/>
    </w:rPr>
  </w:style>
  <w:style w:type="character" w:customStyle="1" w:styleId="57">
    <w:name w:val="批注框文本 Char"/>
    <w:basedOn w:val="21"/>
    <w:link w:val="11"/>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pPr>
    <w:rPr>
      <w:rFonts w:ascii="Arial" w:hAnsi="Arial" w:cs="Arial" w:eastAsiaTheme="minorHAnsi"/>
      <w:sz w:val="22"/>
      <w:szCs w:val="22"/>
      <w:lang w:val="en-GB" w:eastAsia="en-US" w:bidi="ar-SA"/>
    </w:rPr>
  </w:style>
  <w:style w:type="character" w:customStyle="1" w:styleId="60">
    <w:name w:val="批注文字 Char"/>
    <w:basedOn w:val="21"/>
    <w:link w:val="7"/>
    <w:semiHidden/>
    <w:qFormat/>
    <w:uiPriority w:val="99"/>
    <w:rPr>
      <w:rFonts w:ascii="Times New Roman" w:hAnsi="Times New Roman"/>
      <w:sz w:val="20"/>
      <w:szCs w:val="20"/>
    </w:rPr>
  </w:style>
  <w:style w:type="character" w:customStyle="1" w:styleId="61">
    <w:name w:val="批注主题 Char"/>
    <w:basedOn w:val="60"/>
    <w:link w:val="18"/>
    <w:semiHidden/>
    <w:qFormat/>
    <w:uiPriority w:val="99"/>
    <w:rPr>
      <w:rFonts w:ascii="Times New Roman" w:hAnsi="Times New Roman"/>
      <w:b/>
      <w:bCs/>
      <w:sz w:val="20"/>
      <w:szCs w:val="20"/>
    </w:rPr>
  </w:style>
  <w:style w:type="paragraph" w:customStyle="1" w:styleId="62">
    <w:name w:val="3GPP Normal Text"/>
    <w:basedOn w:val="8"/>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10"/>
    <w:qFormat/>
    <w:uiPriority w:val="0"/>
  </w:style>
  <w:style w:type="paragraph" w:customStyle="1" w:styleId="69">
    <w:name w:val="TF"/>
    <w:basedOn w:val="65"/>
    <w:qFormat/>
    <w:uiPriority w:val="0"/>
    <w:pPr>
      <w:keepNext w:val="0"/>
      <w:spacing w:before="0" w:after="240"/>
    </w:pPr>
  </w:style>
  <w:style w:type="paragraph" w:customStyle="1" w:styleId="70">
    <w:name w:val="参考资料列表"/>
    <w:basedOn w:val="10"/>
    <w:qFormat/>
    <w:uiPriority w:val="0"/>
    <w:pPr>
      <w:ind w:left="680" w:hanging="567"/>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17870EBA-560E-4E7C-A664-22A449C60D13}">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3</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2022-01-10T08:02:54Z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