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64CC272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320D37">
        <w:rPr>
          <w:rFonts w:cs="Arial"/>
          <w:sz w:val="24"/>
          <w:szCs w:val="24"/>
          <w:lang w:val="de-DE"/>
        </w:rPr>
        <w:t>4221</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55A74E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B5F4D">
        <w:rPr>
          <w:rFonts w:ascii="Arial" w:hAnsi="Arial"/>
          <w:sz w:val="24"/>
          <w:lang w:val="en-US"/>
        </w:rPr>
        <w:t>8.30.2.2, 8.30.2.3</w:t>
      </w:r>
    </w:p>
    <w:p w14:paraId="1E1C2FD0" w14:textId="27B839E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r w:rsidR="003B7078">
        <w:rPr>
          <w:rFonts w:ascii="Arial" w:hAnsi="Arial"/>
          <w:sz w:val="24"/>
          <w:lang w:val="en-US"/>
        </w:rPr>
        <w:t>, Verizon</w:t>
      </w:r>
    </w:p>
    <w:p w14:paraId="3A62F436" w14:textId="00961A9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F17C8">
        <w:rPr>
          <w:rFonts w:ascii="Arial" w:hAnsi="Arial"/>
          <w:sz w:val="24"/>
          <w:lang w:val="en-US"/>
        </w:rPr>
        <w:t>Remaining o</w:t>
      </w:r>
      <w:r w:rsidR="0099399B">
        <w:rPr>
          <w:rFonts w:ascii="Arial" w:hAnsi="Arial"/>
          <w:sz w:val="24"/>
          <w:lang w:val="en-US"/>
        </w:rPr>
        <w:t>pen items</w:t>
      </w:r>
      <w:r w:rsidR="00BE5726">
        <w:rPr>
          <w:rFonts w:ascii="Arial" w:hAnsi="Arial"/>
          <w:sz w:val="24"/>
          <w:lang w:val="en-US"/>
        </w:rPr>
        <w:t xml:space="preserve"> for PC1.5</w:t>
      </w:r>
      <w:r w:rsidR="004F17C8">
        <w:rPr>
          <w:rFonts w:ascii="Arial" w:hAnsi="Arial"/>
          <w:sz w:val="24"/>
          <w:lang w:val="en-US"/>
        </w:rPr>
        <w:t xml:space="preserve"> other than MPR</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6A74D9D8" w:rsidR="00F826CA" w:rsidRDefault="008D07F4" w:rsidP="00676DCA">
      <w:pPr>
        <w:rPr>
          <w:lang w:val="en-US"/>
        </w:rPr>
      </w:pPr>
      <w:r>
        <w:rPr>
          <w:lang w:val="en-US"/>
        </w:rPr>
        <w:t xml:space="preserve">The work item to introduce PC 1.5 </w:t>
      </w:r>
      <w:r w:rsidR="00AF5BDE">
        <w:rPr>
          <w:lang w:val="en-US"/>
        </w:rPr>
        <w:t>in</w:t>
      </w:r>
      <w:r>
        <w:rPr>
          <w:lang w:val="en-US"/>
        </w:rPr>
        <w:t xml:space="preserve"> Bands n77 and n7</w:t>
      </w:r>
      <w:r w:rsidR="00AF5BDE">
        <w:rPr>
          <w:lang w:val="en-US"/>
        </w:rPr>
        <w:t xml:space="preserve">8 and the similar work item for PC 1.5 in Band n79 </w:t>
      </w:r>
      <w:r w:rsidR="00B66378">
        <w:rPr>
          <w:lang w:val="en-US"/>
        </w:rPr>
        <w:t xml:space="preserve">are still incomplete.  The completion date for Band n77 and n78 was </w:t>
      </w:r>
      <w:r w:rsidR="00B676D0">
        <w:rPr>
          <w:lang w:val="en-US"/>
        </w:rPr>
        <w:t xml:space="preserve">originally set to June 2021, but </w:t>
      </w:r>
      <w:r w:rsidR="00B66378">
        <w:rPr>
          <w:lang w:val="en-US"/>
        </w:rPr>
        <w:t xml:space="preserve">extended to </w:t>
      </w:r>
      <w:r w:rsidR="00B676D0">
        <w:rPr>
          <w:lang w:val="en-US"/>
        </w:rPr>
        <w:t xml:space="preserve">September 2021 while the completion date for Band n79 is September 2021 as originally planned.  </w:t>
      </w:r>
      <w:r w:rsidR="00112022">
        <w:rPr>
          <w:lang w:val="en-US"/>
        </w:rPr>
        <w:t xml:space="preserve">Due to the </w:t>
      </w:r>
      <w:r w:rsidR="00DE191C">
        <w:rPr>
          <w:lang w:val="en-US"/>
        </w:rPr>
        <w:t>timeliness of completing these work items, this contribution addresses the remaining open issues other than MPR</w:t>
      </w:r>
      <w:r w:rsidR="000862D7">
        <w:rPr>
          <w:lang w:val="en-US"/>
        </w:rPr>
        <w:t>; namely, device type signaling and RF exposure signaling.</w:t>
      </w:r>
      <w:r w:rsidR="0005412F">
        <w:rPr>
          <w:lang w:val="en-US"/>
        </w:rPr>
        <w:t xml:space="preserve">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4745FD6C" w14:textId="627A6F8B" w:rsidR="004B1B40" w:rsidRDefault="00DE1B42" w:rsidP="007552E2">
      <w:pPr>
        <w:rPr>
          <w:lang w:val="en-US"/>
        </w:rPr>
      </w:pPr>
      <w:r>
        <w:rPr>
          <w:lang w:val="en-US"/>
        </w:rPr>
        <w:t xml:space="preserve">The status report </w:t>
      </w:r>
      <w:r w:rsidR="00614A86">
        <w:rPr>
          <w:lang w:val="en-US"/>
        </w:rPr>
        <w:t xml:space="preserve">[1] </w:t>
      </w:r>
      <w:r>
        <w:rPr>
          <w:lang w:val="en-US"/>
        </w:rPr>
        <w:t>submitted to RAN #92 lists the following open issues remaining to complete the work item</w:t>
      </w:r>
    </w:p>
    <w:p w14:paraId="145320A8" w14:textId="77777777" w:rsidR="001C5D50" w:rsidRPr="007E1F38" w:rsidRDefault="001C5D50" w:rsidP="001C5D50">
      <w:pPr>
        <w:pStyle w:val="ListParagraph"/>
        <w:widowControl w:val="0"/>
        <w:numPr>
          <w:ilvl w:val="0"/>
          <w:numId w:val="33"/>
        </w:numPr>
        <w:overflowPunct/>
        <w:autoSpaceDE/>
        <w:autoSpaceDN/>
        <w:adjustRightInd/>
        <w:spacing w:after="0"/>
        <w:contextualSpacing w:val="0"/>
        <w:jc w:val="both"/>
        <w:textAlignment w:val="auto"/>
        <w:rPr>
          <w:rFonts w:eastAsia="Malgun Gothic"/>
          <w:bCs/>
          <w:lang w:eastAsia="ko-KR"/>
        </w:rPr>
      </w:pPr>
      <w:r w:rsidRPr="007E1F38">
        <w:rPr>
          <w:rFonts w:eastAsia="Malgun Gothic"/>
          <w:bCs/>
          <w:lang w:eastAsia="ko-KR"/>
        </w:rPr>
        <w:t>Agree on MPR for PC1.5 smartphones</w:t>
      </w:r>
    </w:p>
    <w:p w14:paraId="54189B55" w14:textId="77777777" w:rsidR="001C5D50" w:rsidRPr="007E1F38" w:rsidRDefault="001C5D50" w:rsidP="001C5D50">
      <w:pPr>
        <w:pStyle w:val="ListParagraph"/>
        <w:widowControl w:val="0"/>
        <w:numPr>
          <w:ilvl w:val="0"/>
          <w:numId w:val="33"/>
        </w:numPr>
        <w:overflowPunct/>
        <w:autoSpaceDE/>
        <w:autoSpaceDN/>
        <w:adjustRightInd/>
        <w:spacing w:after="0"/>
        <w:contextualSpacing w:val="0"/>
        <w:jc w:val="both"/>
        <w:textAlignment w:val="auto"/>
        <w:rPr>
          <w:rFonts w:eastAsia="Malgun Gothic"/>
          <w:bCs/>
          <w:lang w:eastAsia="ko-KR"/>
        </w:rPr>
      </w:pPr>
      <w:r w:rsidRPr="007E1F38">
        <w:rPr>
          <w:rFonts w:eastAsia="Malgun Gothic"/>
          <w:bCs/>
          <w:lang w:eastAsia="ko-KR"/>
        </w:rPr>
        <w:t>Agree on MPR for PC1.5 FWA</w:t>
      </w:r>
    </w:p>
    <w:p w14:paraId="4F0BDE99" w14:textId="77777777" w:rsidR="001C5D50" w:rsidRPr="007E1F38" w:rsidRDefault="001C5D50" w:rsidP="001C5D50">
      <w:pPr>
        <w:pStyle w:val="ListParagraph"/>
        <w:widowControl w:val="0"/>
        <w:numPr>
          <w:ilvl w:val="0"/>
          <w:numId w:val="33"/>
        </w:numPr>
        <w:overflowPunct/>
        <w:autoSpaceDE/>
        <w:autoSpaceDN/>
        <w:adjustRightInd/>
        <w:spacing w:after="0"/>
        <w:contextualSpacing w:val="0"/>
        <w:jc w:val="both"/>
        <w:textAlignment w:val="auto"/>
        <w:rPr>
          <w:rFonts w:eastAsia="Malgun Gothic"/>
          <w:bCs/>
          <w:lang w:eastAsia="ko-KR"/>
        </w:rPr>
      </w:pPr>
      <w:r w:rsidRPr="007E1F38">
        <w:rPr>
          <w:rFonts w:eastAsia="Malgun Gothic"/>
          <w:bCs/>
          <w:lang w:eastAsia="ko-KR"/>
        </w:rPr>
        <w:t>Decide if device type signaling is needed and what form it should take</w:t>
      </w:r>
    </w:p>
    <w:p w14:paraId="156781CE" w14:textId="77777777" w:rsidR="001C5D50" w:rsidRPr="007E1F38" w:rsidRDefault="001C5D50" w:rsidP="001C5D50">
      <w:pPr>
        <w:pStyle w:val="ListParagraph"/>
        <w:widowControl w:val="0"/>
        <w:numPr>
          <w:ilvl w:val="0"/>
          <w:numId w:val="33"/>
        </w:numPr>
        <w:overflowPunct/>
        <w:autoSpaceDE/>
        <w:autoSpaceDN/>
        <w:adjustRightInd/>
        <w:spacing w:after="0"/>
        <w:contextualSpacing w:val="0"/>
        <w:jc w:val="both"/>
        <w:textAlignment w:val="auto"/>
        <w:rPr>
          <w:rFonts w:eastAsia="Malgun Gothic"/>
          <w:bCs/>
          <w:lang w:eastAsia="ko-KR"/>
        </w:rPr>
      </w:pPr>
      <w:r w:rsidRPr="007E1F38">
        <w:rPr>
          <w:rFonts w:eastAsia="Malgun Gothic"/>
          <w:bCs/>
          <w:lang w:eastAsia="ko-KR"/>
        </w:rPr>
        <w:t>Agree on the approach for RF exposure for FWA</w:t>
      </w:r>
    </w:p>
    <w:p w14:paraId="0DB5D904" w14:textId="3F989B6E" w:rsidR="001C5D50" w:rsidRDefault="001C5D50" w:rsidP="007552E2">
      <w:pPr>
        <w:rPr>
          <w:lang w:val="en-US"/>
        </w:rPr>
      </w:pPr>
      <w:r>
        <w:rPr>
          <w:lang w:val="en-US"/>
        </w:rPr>
        <w:t>The work item for PC 1.5 in Bands n77 and n78</w:t>
      </w:r>
      <w:r w:rsidR="00A15E35">
        <w:rPr>
          <w:lang w:val="en-US"/>
        </w:rPr>
        <w:t xml:space="preserve"> was granted an extension with a target completion of September 2021.  The only RAN4 working group meeting before the target completion date is RAN4 #100e</w:t>
      </w:r>
      <w:r w:rsidR="003C3CA0">
        <w:rPr>
          <w:lang w:val="en-US"/>
        </w:rPr>
        <w:t>.  Due to the e-meeting format, progress has been slow especially on contentious topics such as MPR.  This contribution focuses on the other remaining topics besides MPR.</w:t>
      </w:r>
    </w:p>
    <w:p w14:paraId="5C8FB129" w14:textId="29F702AD" w:rsidR="003C3CA0" w:rsidRDefault="00614A86" w:rsidP="00614A86">
      <w:pPr>
        <w:pStyle w:val="Heading2"/>
        <w:rPr>
          <w:lang w:val="en-US"/>
        </w:rPr>
      </w:pPr>
      <w:r>
        <w:rPr>
          <w:lang w:val="en-US"/>
        </w:rPr>
        <w:t>Device type signaling</w:t>
      </w:r>
    </w:p>
    <w:p w14:paraId="042E7F0B" w14:textId="7AEC8A34" w:rsidR="00614A86" w:rsidRDefault="000B4E64" w:rsidP="00614A86">
      <w:pPr>
        <w:rPr>
          <w:lang w:val="en-US"/>
        </w:rPr>
      </w:pPr>
      <w:r>
        <w:rPr>
          <w:lang w:val="en-US"/>
        </w:rPr>
        <w:t>Device type signaling to distinguish FWA from smartphone for PC1.5</w:t>
      </w:r>
      <w:r w:rsidR="006B628E">
        <w:rPr>
          <w:lang w:val="en-US"/>
        </w:rPr>
        <w:t xml:space="preserve"> was discussed with a Way Forward agreed in [2].  Three options for signaling were presented with an agreement to </w:t>
      </w:r>
      <w:r w:rsidR="00B00FB5">
        <w:rPr>
          <w:lang w:val="en-US"/>
        </w:rPr>
        <w:t>use option 1 as a starting point taking MPR results into consideration.</w:t>
      </w:r>
    </w:p>
    <w:p w14:paraId="45A1BDAC" w14:textId="77777777" w:rsidR="00213F3D" w:rsidRPr="00213F3D" w:rsidRDefault="00213F3D" w:rsidP="00213F3D">
      <w:pPr>
        <w:numPr>
          <w:ilvl w:val="0"/>
          <w:numId w:val="34"/>
        </w:numPr>
        <w:rPr>
          <w:lang w:val="en-US"/>
        </w:rPr>
      </w:pPr>
      <w:r w:rsidRPr="00213F3D">
        <w:t xml:space="preserve">Option 1: Signal the device type, i.e., Type A, Type B, Type C.  A set of performance requirements would be associated with each device type. </w:t>
      </w:r>
    </w:p>
    <w:p w14:paraId="68F63C0F" w14:textId="77777777" w:rsidR="00213F3D" w:rsidRPr="00213F3D" w:rsidRDefault="00213F3D" w:rsidP="00213F3D">
      <w:pPr>
        <w:numPr>
          <w:ilvl w:val="0"/>
          <w:numId w:val="34"/>
        </w:numPr>
        <w:rPr>
          <w:lang w:val="en-US"/>
        </w:rPr>
      </w:pPr>
      <w:r w:rsidRPr="00213F3D">
        <w:t xml:space="preserve">Option 2: Prefer not to have any signalling. Prefer not to have different requirements for FWA. </w:t>
      </w:r>
    </w:p>
    <w:p w14:paraId="496AFDB7" w14:textId="77777777" w:rsidR="00213F3D" w:rsidRPr="00213F3D" w:rsidRDefault="00213F3D" w:rsidP="00213F3D">
      <w:pPr>
        <w:numPr>
          <w:ilvl w:val="0"/>
          <w:numId w:val="34"/>
        </w:numPr>
        <w:rPr>
          <w:lang w:val="en-US"/>
        </w:rPr>
      </w:pPr>
      <w:r w:rsidRPr="00213F3D">
        <w:t xml:space="preserve">Option 3: Other ideas, or still needs more study.  Please offer ideas for future discussion. </w:t>
      </w:r>
    </w:p>
    <w:p w14:paraId="5D64B20F" w14:textId="02D5D87B" w:rsidR="002E1992" w:rsidRDefault="002E1992" w:rsidP="00614A86">
      <w:pPr>
        <w:rPr>
          <w:lang w:val="en-US"/>
        </w:rPr>
      </w:pPr>
      <w:r>
        <w:rPr>
          <w:lang w:val="en-US"/>
        </w:rPr>
        <w:t xml:space="preserve">Instead of identifying the device type as “FWA” or “smartphone”, the way forward denotes the device types in a generic manner as Type A, Type B, and Type C.  The reason for this is that </w:t>
      </w:r>
      <w:r w:rsidR="00247B90">
        <w:rPr>
          <w:lang w:val="en-US"/>
        </w:rPr>
        <w:t xml:space="preserve">it was commented that some FWA devices may have a very small form factor similar to that of a smartphone.  Those types of devices, despite being an FWA in function, may not be able to meet the performance requirements derived for FWA assuming large form factor, </w:t>
      </w:r>
      <w:r w:rsidR="009B7991">
        <w:rPr>
          <w:lang w:val="en-US"/>
        </w:rPr>
        <w:t xml:space="preserve">high antenna isolation, wall supplied power, etc.  </w:t>
      </w:r>
      <w:r w:rsidR="00B61EA6">
        <w:rPr>
          <w:lang w:val="en-US"/>
        </w:rPr>
        <w:t>Similarly, there may be large form factor smartphones or other devices that do not easily fit into the category of “FWA” or “smartphone”.  Thus, the signaling of type is generic and is characterized by its performance requirements.  The UE signals the device type accordingly.</w:t>
      </w:r>
    </w:p>
    <w:p w14:paraId="2357DEEA" w14:textId="6E08B146" w:rsidR="00F1611F" w:rsidRDefault="006E53E8" w:rsidP="00614A86">
      <w:pPr>
        <w:rPr>
          <w:lang w:val="en-US"/>
        </w:rPr>
      </w:pPr>
      <w:r>
        <w:rPr>
          <w:lang w:val="en-US"/>
        </w:rPr>
        <w:t xml:space="preserve">Then, one question to be considered is the number of device types.  While it is not necessary to identify and define the requirements for all possible device types </w:t>
      </w:r>
      <w:r w:rsidR="00C30921">
        <w:rPr>
          <w:lang w:val="en-US"/>
        </w:rPr>
        <w:t>with</w:t>
      </w:r>
      <w:r>
        <w:rPr>
          <w:lang w:val="en-US"/>
        </w:rPr>
        <w:t xml:space="preserve">in the scope of this work item, at least device </w:t>
      </w:r>
      <w:r w:rsidR="009E327D">
        <w:rPr>
          <w:lang w:val="en-US"/>
        </w:rPr>
        <w:t>types according to</w:t>
      </w:r>
      <w:r>
        <w:rPr>
          <w:lang w:val="en-US"/>
        </w:rPr>
        <w:t xml:space="preserve"> smartphone and FWA should be </w:t>
      </w:r>
      <w:r w:rsidR="00CB7B15">
        <w:rPr>
          <w:lang w:val="en-US"/>
        </w:rPr>
        <w:t xml:space="preserve">included.  In order to guide the signaling design, the maximum number of device types should also be considered.  We suggest that 8 device types could be </w:t>
      </w:r>
      <w:r w:rsidR="00F1611F">
        <w:rPr>
          <w:lang w:val="en-US"/>
        </w:rPr>
        <w:t xml:space="preserve">suggested as a maximum; hence, the device types </w:t>
      </w:r>
      <w:r w:rsidR="00F1611F">
        <w:rPr>
          <w:lang w:val="en-US"/>
        </w:rPr>
        <w:lastRenderedPageBreak/>
        <w:t xml:space="preserve">would be A, B, C, D, E, F, G, and H.  Since FR2 differentiates device types by power class, it is proposed that the device type signaling considered here be limited to FR1 in applicability.  </w:t>
      </w:r>
    </w:p>
    <w:p w14:paraId="6669AE80" w14:textId="34E796AA" w:rsidR="00F1611F" w:rsidRPr="00F1611F" w:rsidRDefault="00F1611F" w:rsidP="00614A86">
      <w:pPr>
        <w:rPr>
          <w:b/>
          <w:bCs/>
          <w:lang w:val="en-US"/>
        </w:rPr>
      </w:pPr>
      <w:r w:rsidRPr="00F1611F">
        <w:rPr>
          <w:b/>
          <w:bCs/>
          <w:lang w:val="en-US"/>
        </w:rPr>
        <w:t>Proposal</w:t>
      </w:r>
      <w:r w:rsidR="00966022">
        <w:rPr>
          <w:b/>
          <w:bCs/>
          <w:lang w:val="en-US"/>
        </w:rPr>
        <w:t xml:space="preserve"> 1</w:t>
      </w:r>
      <w:r w:rsidRPr="00F1611F">
        <w:rPr>
          <w:b/>
          <w:bCs/>
          <w:lang w:val="en-US"/>
        </w:rPr>
        <w:t>:  Device types A and B should be defined in this work item, roughly corresponding to smartphone and FWA.  The upper limit on number of device types is suggested to be 8.  It is suggested that these device types are only applicable to FR1.</w:t>
      </w:r>
    </w:p>
    <w:p w14:paraId="6A361BAA" w14:textId="5A0297CD" w:rsidR="00F1611F" w:rsidRDefault="00F1611F" w:rsidP="00614A86">
      <w:pPr>
        <w:rPr>
          <w:lang w:val="en-US"/>
        </w:rPr>
      </w:pPr>
      <w:r>
        <w:rPr>
          <w:lang w:val="en-US"/>
        </w:rPr>
        <w:t xml:space="preserve">A second </w:t>
      </w:r>
      <w:r w:rsidR="00F23400">
        <w:rPr>
          <w:lang w:val="en-US"/>
        </w:rPr>
        <w:t xml:space="preserve">question is whether the device type is </w:t>
      </w:r>
      <w:r w:rsidR="00B07DF0">
        <w:rPr>
          <w:lang w:val="en-US"/>
        </w:rPr>
        <w:t>a per-UE or per-band capability.  Since the premise is the device type distinction is based on physical characteristics such as size of the device, whether the device is battery operated or plugs into the wall, whether it is mobile or portable</w:t>
      </w:r>
      <w:r w:rsidR="0075641A">
        <w:rPr>
          <w:lang w:val="en-US"/>
        </w:rPr>
        <w:t xml:space="preserve"> or fixed</w:t>
      </w:r>
      <w:r w:rsidR="00391E21">
        <w:rPr>
          <w:lang w:val="en-US"/>
        </w:rPr>
        <w:t>, it seems reasonable to categorize the signaling as per-UE.</w:t>
      </w:r>
    </w:p>
    <w:p w14:paraId="308684C4" w14:textId="11D89B97" w:rsidR="00391E21" w:rsidRDefault="00391E21" w:rsidP="00614A86">
      <w:pPr>
        <w:rPr>
          <w:b/>
          <w:bCs/>
          <w:lang w:val="en-US"/>
        </w:rPr>
      </w:pPr>
      <w:r w:rsidRPr="00391E21">
        <w:rPr>
          <w:b/>
          <w:bCs/>
          <w:lang w:val="en-US"/>
        </w:rPr>
        <w:t>Proposal</w:t>
      </w:r>
      <w:r w:rsidR="00966022">
        <w:rPr>
          <w:b/>
          <w:bCs/>
          <w:lang w:val="en-US"/>
        </w:rPr>
        <w:t xml:space="preserve"> 2</w:t>
      </w:r>
      <w:r w:rsidRPr="00391E21">
        <w:rPr>
          <w:b/>
          <w:bCs/>
          <w:lang w:val="en-US"/>
        </w:rPr>
        <w:t>:  Device type signaling is per-UE</w:t>
      </w:r>
      <w:r w:rsidR="000975D7">
        <w:rPr>
          <w:b/>
          <w:bCs/>
          <w:lang w:val="en-US"/>
        </w:rPr>
        <w:t xml:space="preserve"> (for FR1 only)</w:t>
      </w:r>
      <w:r w:rsidRPr="00391E21">
        <w:rPr>
          <w:b/>
          <w:bCs/>
          <w:lang w:val="en-US"/>
        </w:rPr>
        <w:t>.</w:t>
      </w:r>
    </w:p>
    <w:p w14:paraId="720769AF" w14:textId="6AE09CFA" w:rsidR="000975D7" w:rsidRDefault="003A3893" w:rsidP="00614A86">
      <w:pPr>
        <w:rPr>
          <w:lang w:val="en-US"/>
        </w:rPr>
      </w:pPr>
      <w:r w:rsidRPr="003A3893">
        <w:rPr>
          <w:lang w:val="en-US"/>
        </w:rPr>
        <w:t>The above</w:t>
      </w:r>
      <w:r>
        <w:rPr>
          <w:lang w:val="en-US"/>
        </w:rPr>
        <w:t xml:space="preserve"> two proposals </w:t>
      </w:r>
      <w:r w:rsidR="0052131C">
        <w:rPr>
          <w:lang w:val="en-US"/>
        </w:rPr>
        <w:t>allow for the possibility that the device type</w:t>
      </w:r>
      <w:r w:rsidR="00BE3701">
        <w:rPr>
          <w:lang w:val="en-US"/>
        </w:rPr>
        <w:t xml:space="preserve"> is not the same for FR1 and FR2.  For example, the device type signaling for FR1 might be </w:t>
      </w:r>
      <w:r w:rsidR="00117723">
        <w:rPr>
          <w:lang w:val="en-US"/>
        </w:rPr>
        <w:t>Type A (i.e., smartphone)</w:t>
      </w:r>
      <w:r w:rsidR="00DD09A7">
        <w:rPr>
          <w:lang w:val="en-US"/>
        </w:rPr>
        <w:t xml:space="preserve"> but </w:t>
      </w:r>
      <w:r w:rsidR="004B1D8B">
        <w:rPr>
          <w:lang w:val="en-US"/>
        </w:rPr>
        <w:t xml:space="preserve">for FR2 it could be PC1 (for CPE).  </w:t>
      </w:r>
      <w:r w:rsidR="000975D7">
        <w:rPr>
          <w:lang w:val="en-US"/>
        </w:rPr>
        <w:t xml:space="preserve">Therefore, the per-UE signaling is only applicable to FR1.  Moreover, it may be possible in the case of </w:t>
      </w:r>
      <w:r w:rsidR="0062226C">
        <w:rPr>
          <w:lang w:val="en-US"/>
        </w:rPr>
        <w:t>CA or DC between FR1 and FR2 that there is different device type indication since FR2 uses power class</w:t>
      </w:r>
      <w:r w:rsidR="00BC2C9C">
        <w:rPr>
          <w:lang w:val="en-US"/>
        </w:rPr>
        <w:t xml:space="preserve">.  However, it is proposed that the device types are treated independently between FR1 and FR2 even for the same phyiscal UE and even in the case of </w:t>
      </w:r>
      <w:r w:rsidR="004E5974">
        <w:rPr>
          <w:lang w:val="en-US"/>
        </w:rPr>
        <w:t>CA or DC.</w:t>
      </w:r>
    </w:p>
    <w:p w14:paraId="45F3220C" w14:textId="49A83160" w:rsidR="004E5974" w:rsidRDefault="004E5974" w:rsidP="00614A86">
      <w:pPr>
        <w:rPr>
          <w:b/>
          <w:bCs/>
          <w:lang w:val="en-US"/>
        </w:rPr>
      </w:pPr>
      <w:r w:rsidRPr="004E5974">
        <w:rPr>
          <w:b/>
          <w:bCs/>
          <w:lang w:val="en-US"/>
        </w:rPr>
        <w:t>Proposal</w:t>
      </w:r>
      <w:r w:rsidR="00966022">
        <w:rPr>
          <w:b/>
          <w:bCs/>
          <w:lang w:val="en-US"/>
        </w:rPr>
        <w:t xml:space="preserve"> 3</w:t>
      </w:r>
      <w:r w:rsidRPr="004E5974">
        <w:rPr>
          <w:b/>
          <w:bCs/>
          <w:lang w:val="en-US"/>
        </w:rPr>
        <w:t>:  Device type indication is independent between FR1 and FR2.</w:t>
      </w:r>
    </w:p>
    <w:p w14:paraId="7DE1F43D" w14:textId="413908C0" w:rsidR="00391E21" w:rsidRDefault="00391E21" w:rsidP="00614A86">
      <w:pPr>
        <w:rPr>
          <w:lang w:val="en-US"/>
        </w:rPr>
      </w:pPr>
      <w:r>
        <w:rPr>
          <w:lang w:val="en-US"/>
        </w:rPr>
        <w:t>An LS should be sent to RAN2 to define the appropriate signaling.</w:t>
      </w:r>
      <w:r w:rsidR="0068232F">
        <w:rPr>
          <w:lang w:val="en-US"/>
        </w:rPr>
        <w:t xml:space="preserve">  The performance requirements associated with each device type, for example the MPR, still resides in RAN4’s responsibility but can be done in parallel with RAN2 signaling definition.</w:t>
      </w:r>
      <w:r w:rsidR="00462721">
        <w:rPr>
          <w:lang w:val="en-US"/>
        </w:rPr>
        <w:t xml:space="preserve">  </w:t>
      </w:r>
      <w:r w:rsidR="00462721" w:rsidRPr="00F26B2C">
        <w:rPr>
          <w:lang w:val="en-US"/>
        </w:rPr>
        <w:t>A draft LS is available in [</w:t>
      </w:r>
      <w:r w:rsidR="005F5B65" w:rsidRPr="00F26B2C">
        <w:rPr>
          <w:lang w:val="en-US"/>
        </w:rPr>
        <w:t>5</w:t>
      </w:r>
      <w:r w:rsidR="00462721" w:rsidRPr="00F26B2C">
        <w:rPr>
          <w:lang w:val="en-US"/>
        </w:rPr>
        <w:t>].</w:t>
      </w:r>
    </w:p>
    <w:p w14:paraId="1BA3059A" w14:textId="71C28E35" w:rsidR="0068232F" w:rsidRDefault="0068232F" w:rsidP="0068232F">
      <w:pPr>
        <w:pStyle w:val="Heading2"/>
        <w:rPr>
          <w:lang w:val="en-US"/>
        </w:rPr>
      </w:pPr>
      <w:r>
        <w:rPr>
          <w:lang w:val="en-US"/>
        </w:rPr>
        <w:t>RF exposure for FWA</w:t>
      </w:r>
    </w:p>
    <w:p w14:paraId="4FD6867B" w14:textId="4E372B05" w:rsidR="0068232F" w:rsidRDefault="00310831" w:rsidP="0068232F">
      <w:pPr>
        <w:rPr>
          <w:lang w:val="en-US"/>
        </w:rPr>
      </w:pPr>
      <w:r>
        <w:rPr>
          <w:lang w:val="en-US"/>
        </w:rPr>
        <w:t xml:space="preserve">A Way Forward on RF exposure for FWA was agreed in [3].  </w:t>
      </w:r>
      <w:r w:rsidR="00DC3EC6">
        <w:rPr>
          <w:lang w:val="en-US"/>
        </w:rPr>
        <w:t>Two options are presented</w:t>
      </w:r>
      <w:r w:rsidR="008B56DD">
        <w:rPr>
          <w:lang w:val="en-US"/>
        </w:rPr>
        <w:t xml:space="preserve"> (option #2 was discarded)</w:t>
      </w:r>
    </w:p>
    <w:p w14:paraId="4AEB91D9" w14:textId="77777777" w:rsidR="008B56DD" w:rsidRPr="008B56DD" w:rsidRDefault="008B56DD" w:rsidP="008B56DD">
      <w:pPr>
        <w:ind w:left="284"/>
        <w:rPr>
          <w:lang w:val="en-US"/>
        </w:rPr>
      </w:pPr>
      <w:r w:rsidRPr="008B56DD">
        <w:rPr>
          <w:lang w:val="en-US"/>
        </w:rPr>
        <w:t>Option 1: Adopt the FR1 maxUplinkDutyCycle-PC2-FR1</w:t>
      </w:r>
    </w:p>
    <w:p w14:paraId="241E8592" w14:textId="77777777" w:rsidR="008B56DD" w:rsidRPr="008B56DD" w:rsidRDefault="008B56DD" w:rsidP="008B56DD">
      <w:pPr>
        <w:ind w:left="284"/>
        <w:rPr>
          <w:lang w:val="en-US"/>
        </w:rPr>
      </w:pPr>
      <w:r w:rsidRPr="008B56DD">
        <w:rPr>
          <w:lang w:val="en-US"/>
        </w:rPr>
        <w:t>Option 3: Adopt the hybrid maxUplinkDutyCycle-FWA-FR1</w:t>
      </w:r>
    </w:p>
    <w:p w14:paraId="7D2A291C" w14:textId="0B82BA1A" w:rsidR="00CD11A4" w:rsidRPr="008B56DD" w:rsidRDefault="00F82B94" w:rsidP="00CD11A4">
      <w:pPr>
        <w:rPr>
          <w:lang w:val="en-US"/>
        </w:rPr>
      </w:pPr>
      <w:r>
        <w:rPr>
          <w:lang w:val="en-US"/>
        </w:rPr>
        <w:t xml:space="preserve">Since it is proposed above that </w:t>
      </w:r>
      <w:r w:rsidR="005D5005">
        <w:rPr>
          <w:lang w:val="en-US"/>
        </w:rPr>
        <w:t xml:space="preserve">signaling should be established to distinguish device types, then </w:t>
      </w:r>
      <w:r w:rsidR="00CD11A4">
        <w:rPr>
          <w:lang w:val="en-US"/>
        </w:rPr>
        <w:t>the “</w:t>
      </w:r>
      <w:r w:rsidR="00CD11A4" w:rsidRPr="008B56DD">
        <w:rPr>
          <w:lang w:val="en-US"/>
        </w:rPr>
        <w:t>Option 3: Adopt the hybrid maxUplinkDutyCycle-FWA-FR1</w:t>
      </w:r>
      <w:r w:rsidR="00CD11A4">
        <w:rPr>
          <w:lang w:val="en-US"/>
        </w:rPr>
        <w:t xml:space="preserve">” seems to be the </w:t>
      </w:r>
      <w:r w:rsidR="009326EF">
        <w:rPr>
          <w:lang w:val="en-US"/>
        </w:rPr>
        <w:t xml:space="preserve">more logical choice.  </w:t>
      </w:r>
      <w:r w:rsidR="0012684D">
        <w:rPr>
          <w:lang w:val="en-US"/>
        </w:rPr>
        <w:t xml:space="preserve">As illustrated in the following table from [3], the </w:t>
      </w:r>
      <w:r w:rsidR="00C60570">
        <w:rPr>
          <w:lang w:val="en-US"/>
        </w:rPr>
        <w:t>maxUplinkDutyCycle-FWA-FR1 consists of signaling a duty cycle as low as [20%]</w:t>
      </w:r>
      <w:r w:rsidR="00494B29">
        <w:rPr>
          <w:lang w:val="en-US"/>
        </w:rPr>
        <w:t xml:space="preserve">, </w:t>
      </w:r>
      <w:r w:rsidR="00F02D57">
        <w:rPr>
          <w:lang w:val="en-US"/>
        </w:rPr>
        <w:t xml:space="preserve">the use of UE autonomous P-MPR instead of mandatory PC fallback, and no default value for </w:t>
      </w:r>
      <w:r w:rsidR="008C7E23">
        <w:rPr>
          <w:lang w:val="en-US"/>
        </w:rPr>
        <w:t xml:space="preserve">duty cycle since there is the opportunity to declare distance in MPE </w:t>
      </w:r>
      <w:r w:rsidR="000B18D4">
        <w:rPr>
          <w:lang w:val="en-US"/>
        </w:rPr>
        <w:t xml:space="preserve">certification by visual </w:t>
      </w:r>
      <w:r w:rsidR="000B4435">
        <w:rPr>
          <w:lang w:val="en-US"/>
        </w:rPr>
        <w:t>advisory [4].</w:t>
      </w:r>
      <w:r w:rsidR="00B22739">
        <w:rPr>
          <w:lang w:val="en-US"/>
        </w:rPr>
        <w:t xml:space="preserve"> </w:t>
      </w:r>
      <w:r w:rsidR="00DE0EC4">
        <w:rPr>
          <w:lang w:val="en-US"/>
        </w:rPr>
        <w:t>Th</w:t>
      </w:r>
      <w:r w:rsidR="005E347B">
        <w:rPr>
          <w:lang w:val="en-US"/>
        </w:rPr>
        <w:t>is treatment is similar to FR2 duty cycle capability signaling which is also limited by MPE.</w:t>
      </w:r>
      <w:r w:rsidR="002037E0">
        <w:rPr>
          <w:lang w:val="en-US"/>
        </w:rPr>
        <w:t xml:space="preserve">  However, </w:t>
      </w:r>
      <w:r w:rsidR="00A76A44">
        <w:rPr>
          <w:lang w:val="en-US"/>
        </w:rPr>
        <w:t xml:space="preserve">leaving the signaled value without a default value is </w:t>
      </w:r>
      <w:r w:rsidR="00946FD7">
        <w:rPr>
          <w:lang w:val="en-US"/>
        </w:rPr>
        <w:t>not good practice.  Since there is a mechanism for declaring distance</w:t>
      </w:r>
      <w:r w:rsidR="00064E8E">
        <w:rPr>
          <w:lang w:val="en-US"/>
        </w:rPr>
        <w:t xml:space="preserve"> and/or scaling down</w:t>
      </w:r>
      <w:r w:rsidR="004064E2">
        <w:rPr>
          <w:lang w:val="en-US"/>
        </w:rPr>
        <w:t xml:space="preserve"> power density</w:t>
      </w:r>
      <w:r w:rsidR="00946FD7">
        <w:rPr>
          <w:lang w:val="en-US"/>
        </w:rPr>
        <w:t xml:space="preserve">, then it is proposed to set the default value </w:t>
      </w:r>
      <w:r w:rsidR="00334E96">
        <w:rPr>
          <w:lang w:val="en-US"/>
        </w:rPr>
        <w:t>to [100%].</w:t>
      </w:r>
      <w:r w:rsidR="00946FD7">
        <w:rPr>
          <w:lang w:val="en-US"/>
        </w:rPr>
        <w:t xml:space="preserve"> </w:t>
      </w:r>
    </w:p>
    <w:p w14:paraId="5F4E6387" w14:textId="1CFE08F1" w:rsidR="008B56DD" w:rsidRPr="0068232F" w:rsidRDefault="0012684D" w:rsidP="0068232F">
      <w:pPr>
        <w:rPr>
          <w:lang w:val="en-US"/>
        </w:rPr>
      </w:pPr>
      <w:r w:rsidRPr="0012684D">
        <w:rPr>
          <w:noProof/>
        </w:rPr>
        <w:drawing>
          <wp:inline distT="0" distB="0" distL="0" distR="0" wp14:anchorId="58A9C1F1" wp14:editId="26041C50">
            <wp:extent cx="6115685" cy="181864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a:stretch>
                      <a:fillRect/>
                    </a:stretch>
                  </pic:blipFill>
                  <pic:spPr>
                    <a:xfrm>
                      <a:off x="0" y="0"/>
                      <a:ext cx="6115685" cy="1818640"/>
                    </a:xfrm>
                    <a:prstGeom prst="rect">
                      <a:avLst/>
                    </a:prstGeom>
                  </pic:spPr>
                </pic:pic>
              </a:graphicData>
            </a:graphic>
          </wp:inline>
        </w:drawing>
      </w:r>
    </w:p>
    <w:p w14:paraId="4F9B75FA" w14:textId="3568D766" w:rsidR="00391E21" w:rsidRPr="00BE2DBC" w:rsidRDefault="00310E43" w:rsidP="00614A86">
      <w:pPr>
        <w:rPr>
          <w:b/>
          <w:bCs/>
          <w:lang w:val="en-US"/>
        </w:rPr>
      </w:pPr>
      <w:r w:rsidRPr="00BE2DBC">
        <w:rPr>
          <w:b/>
          <w:bCs/>
          <w:lang w:val="en-US"/>
        </w:rPr>
        <w:t>Proposal</w:t>
      </w:r>
      <w:r w:rsidR="00966022">
        <w:rPr>
          <w:b/>
          <w:bCs/>
          <w:lang w:val="en-US"/>
        </w:rPr>
        <w:t xml:space="preserve"> 4</w:t>
      </w:r>
      <w:r w:rsidRPr="00BE2DBC">
        <w:rPr>
          <w:b/>
          <w:bCs/>
          <w:lang w:val="en-US"/>
        </w:rPr>
        <w:t xml:space="preserve">:  </w:t>
      </w:r>
      <w:r w:rsidR="00BE2DBC" w:rsidRPr="00BE2DBC">
        <w:rPr>
          <w:b/>
          <w:bCs/>
          <w:lang w:val="en-US"/>
        </w:rPr>
        <w:t>Adopt the hybrid maxUplinkDutyCycle-FWA-FR1</w:t>
      </w:r>
      <w:r w:rsidR="002037E0">
        <w:rPr>
          <w:b/>
          <w:bCs/>
          <w:lang w:val="en-US"/>
        </w:rPr>
        <w:t xml:space="preserve"> with default value of [100%]</w:t>
      </w:r>
      <w:r w:rsidR="00BE2DBC" w:rsidRPr="00BE2DBC">
        <w:rPr>
          <w:b/>
          <w:bCs/>
          <w:lang w:val="en-US"/>
        </w:rPr>
        <w:t>.</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6AB8F41D" w14:textId="66171B25" w:rsidR="006C5AE1" w:rsidRDefault="00186991" w:rsidP="00186991">
      <w:pPr>
        <w:rPr>
          <w:lang w:val="en-US"/>
        </w:rPr>
      </w:pPr>
      <w:r>
        <w:rPr>
          <w:lang w:val="en-US"/>
        </w:rPr>
        <w:t xml:space="preserve">This contribution discusses </w:t>
      </w:r>
      <w:r w:rsidR="00EA6C15">
        <w:rPr>
          <w:lang w:val="en-US"/>
        </w:rPr>
        <w:t xml:space="preserve">the remaining open issues for PC 1.5 including device type signaling and RF exposure signaling.  The following proposals are </w:t>
      </w:r>
      <w:r w:rsidR="006C5AE1">
        <w:rPr>
          <w:lang w:val="en-US"/>
        </w:rPr>
        <w:t>presented</w:t>
      </w:r>
      <w:r w:rsidR="00C83FED">
        <w:rPr>
          <w:lang w:val="en-US"/>
        </w:rPr>
        <w:t xml:space="preserve"> for consideration</w:t>
      </w:r>
    </w:p>
    <w:p w14:paraId="438456DB" w14:textId="372D5C1A" w:rsidR="00966022" w:rsidRPr="00966022" w:rsidRDefault="00966022" w:rsidP="00966022">
      <w:pPr>
        <w:rPr>
          <w:lang w:val="en-US"/>
        </w:rPr>
      </w:pPr>
      <w:r w:rsidRPr="00966022">
        <w:rPr>
          <w:lang w:val="en-US"/>
        </w:rPr>
        <w:lastRenderedPageBreak/>
        <w:t>Proposal 1:  Device types A and B should be defined in this work item, roughly corresponding to smartphone and FWA.  The upper limit on number of device types is suggested to be 8.  It is suggested that these device types are only applicable to FR1.</w:t>
      </w:r>
    </w:p>
    <w:p w14:paraId="1FA94031" w14:textId="5EEB2E62" w:rsidR="00966022" w:rsidRPr="00966022" w:rsidRDefault="00966022" w:rsidP="00966022">
      <w:pPr>
        <w:rPr>
          <w:lang w:val="en-US"/>
        </w:rPr>
      </w:pPr>
      <w:r w:rsidRPr="00966022">
        <w:rPr>
          <w:lang w:val="en-US"/>
        </w:rPr>
        <w:t>Proposal 2:  Device type signaling is per-UE (for FR1 only).</w:t>
      </w:r>
    </w:p>
    <w:p w14:paraId="7ADCD7B2" w14:textId="03C12759" w:rsidR="00966022" w:rsidRPr="00966022" w:rsidRDefault="00966022" w:rsidP="00966022">
      <w:pPr>
        <w:rPr>
          <w:lang w:val="en-US"/>
        </w:rPr>
      </w:pPr>
      <w:r w:rsidRPr="00966022">
        <w:rPr>
          <w:lang w:val="en-US"/>
        </w:rPr>
        <w:t>Proposal 3:  Device type indication is independent between FR1 and FR2.</w:t>
      </w:r>
    </w:p>
    <w:p w14:paraId="75967BBC" w14:textId="77777777" w:rsidR="005404DE" w:rsidRPr="005404DE" w:rsidRDefault="005404DE" w:rsidP="005404DE">
      <w:pPr>
        <w:rPr>
          <w:lang w:val="en-US"/>
        </w:rPr>
      </w:pPr>
      <w:r w:rsidRPr="005404DE">
        <w:rPr>
          <w:lang w:val="en-US"/>
        </w:rPr>
        <w:t>Proposal 4:  Adopt the hybrid maxUplinkDutyCycle-FWA-FR1 with default value of [100%].</w:t>
      </w:r>
    </w:p>
    <w:p w14:paraId="6583001C" w14:textId="77777777" w:rsidR="006C5AE1" w:rsidRDefault="006C5AE1" w:rsidP="00186991">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DBDAD0D" w14:textId="2F53FCA8" w:rsidR="00614A86" w:rsidRDefault="00E5436C" w:rsidP="001219FC">
      <w:pPr>
        <w:numPr>
          <w:ilvl w:val="0"/>
          <w:numId w:val="2"/>
        </w:numPr>
        <w:tabs>
          <w:tab w:val="left" w:pos="1080"/>
        </w:tabs>
        <w:rPr>
          <w:lang w:val="en-US" w:eastAsia="x-none"/>
        </w:rPr>
      </w:pPr>
      <w:bookmarkStart w:id="0" w:name="_Hlk859252"/>
      <w:r>
        <w:rPr>
          <w:lang w:val="en-US" w:eastAsia="x-none"/>
        </w:rPr>
        <w:t>R</w:t>
      </w:r>
      <w:r w:rsidR="00614A86">
        <w:rPr>
          <w:lang w:val="en-US" w:eastAsia="x-none"/>
        </w:rPr>
        <w:t xml:space="preserve">P-211269, Status Report to TSG on </w:t>
      </w:r>
      <w:r w:rsidR="00904A8B">
        <w:rPr>
          <w:lang w:val="en-US" w:eastAsia="x-none"/>
        </w:rPr>
        <w:t>“</w:t>
      </w:r>
      <w:r w:rsidR="00614A86">
        <w:rPr>
          <w:lang w:val="en-US" w:eastAsia="x-none"/>
        </w:rPr>
        <w:t>High-power UE (power class 1.5) operation in NR bands n77 and n78</w:t>
      </w:r>
      <w:r w:rsidR="00904A8B">
        <w:rPr>
          <w:lang w:val="en-US" w:eastAsia="x-none"/>
        </w:rPr>
        <w:t>,” Qualcomm Incorporated</w:t>
      </w:r>
    </w:p>
    <w:p w14:paraId="4B0784DF" w14:textId="5E8F4891" w:rsidR="000F73D1" w:rsidRDefault="000F73D1" w:rsidP="000F73D1">
      <w:pPr>
        <w:widowControl w:val="0"/>
        <w:numPr>
          <w:ilvl w:val="0"/>
          <w:numId w:val="2"/>
        </w:numPr>
        <w:spacing w:after="0"/>
        <w:jc w:val="both"/>
        <w:rPr>
          <w:lang w:val="en-US"/>
        </w:rPr>
      </w:pPr>
      <w:r>
        <w:rPr>
          <w:lang w:val="en-US"/>
        </w:rPr>
        <w:t>R4-2107824, “</w:t>
      </w:r>
      <w:r w:rsidRPr="00D65198">
        <w:rPr>
          <w:lang w:val="en-US"/>
        </w:rPr>
        <w:t>WF on device type signaling for PC1.5</w:t>
      </w:r>
      <w:r>
        <w:rPr>
          <w:lang w:val="en-US"/>
        </w:rPr>
        <w:t>,” Apple</w:t>
      </w:r>
    </w:p>
    <w:p w14:paraId="39DFC32F" w14:textId="77777777" w:rsidR="000F73D1" w:rsidRDefault="000F73D1" w:rsidP="000F73D1">
      <w:pPr>
        <w:widowControl w:val="0"/>
        <w:spacing w:after="0"/>
        <w:ind w:left="720"/>
        <w:jc w:val="both"/>
        <w:rPr>
          <w:lang w:val="en-US"/>
        </w:rPr>
      </w:pPr>
    </w:p>
    <w:p w14:paraId="7A814B6E" w14:textId="79684B4F" w:rsidR="000F73D1" w:rsidRDefault="000F73D1" w:rsidP="000F73D1">
      <w:pPr>
        <w:widowControl w:val="0"/>
        <w:numPr>
          <w:ilvl w:val="0"/>
          <w:numId w:val="2"/>
        </w:numPr>
        <w:spacing w:after="0"/>
        <w:jc w:val="both"/>
        <w:rPr>
          <w:lang w:val="en-US"/>
        </w:rPr>
      </w:pPr>
      <w:r w:rsidRPr="00070890">
        <w:rPr>
          <w:lang w:val="en-US"/>
        </w:rPr>
        <w:t>R4-2107825</w:t>
      </w:r>
      <w:r>
        <w:rPr>
          <w:lang w:val="en-US"/>
        </w:rPr>
        <w:t>, “</w:t>
      </w:r>
      <w:r w:rsidRPr="0019672A">
        <w:rPr>
          <w:lang w:val="en-US"/>
        </w:rPr>
        <w:t>WF on duty cycle signaling for RF exposure mitigation for PC1.5 FWA</w:t>
      </w:r>
      <w:r>
        <w:rPr>
          <w:lang w:val="en-US"/>
        </w:rPr>
        <w:t>,” Samsung</w:t>
      </w:r>
    </w:p>
    <w:p w14:paraId="69B3F6AA" w14:textId="77777777" w:rsidR="000B4435" w:rsidRDefault="000B4435" w:rsidP="000B4435">
      <w:pPr>
        <w:pStyle w:val="ListParagraph"/>
        <w:rPr>
          <w:lang w:val="en-US"/>
        </w:rPr>
      </w:pPr>
    </w:p>
    <w:p w14:paraId="3DB1C04B" w14:textId="60C60210" w:rsidR="000B4435" w:rsidRDefault="000B4435" w:rsidP="000F73D1">
      <w:pPr>
        <w:widowControl w:val="0"/>
        <w:numPr>
          <w:ilvl w:val="0"/>
          <w:numId w:val="2"/>
        </w:numPr>
        <w:spacing w:after="0"/>
        <w:jc w:val="both"/>
        <w:rPr>
          <w:lang w:val="en-US"/>
        </w:rPr>
      </w:pPr>
      <w:r>
        <w:rPr>
          <w:lang w:val="en-US"/>
        </w:rPr>
        <w:t>R4-</w:t>
      </w:r>
      <w:r w:rsidR="00545782">
        <w:rPr>
          <w:lang w:val="en-US"/>
        </w:rPr>
        <w:t>2109843, “</w:t>
      </w:r>
      <w:r w:rsidR="00F27C8E" w:rsidRPr="00F27C8E">
        <w:rPr>
          <w:lang w:val="en-US"/>
        </w:rPr>
        <w:t>MPE handling for high power FWA UE in FR1</w:t>
      </w:r>
      <w:r w:rsidR="00F27C8E">
        <w:rPr>
          <w:lang w:val="en-US"/>
        </w:rPr>
        <w:t>,” Samsung</w:t>
      </w:r>
    </w:p>
    <w:p w14:paraId="6145306D" w14:textId="77777777" w:rsidR="00C108AC" w:rsidRDefault="00C108AC" w:rsidP="00C108AC">
      <w:pPr>
        <w:pStyle w:val="ListParagraph"/>
        <w:rPr>
          <w:lang w:val="en-US"/>
        </w:rPr>
      </w:pPr>
    </w:p>
    <w:p w14:paraId="274A1CF2" w14:textId="2D3CC1BE" w:rsidR="00C108AC" w:rsidRDefault="00C108AC" w:rsidP="000F73D1">
      <w:pPr>
        <w:widowControl w:val="0"/>
        <w:numPr>
          <w:ilvl w:val="0"/>
          <w:numId w:val="2"/>
        </w:numPr>
        <w:spacing w:after="0"/>
        <w:jc w:val="both"/>
        <w:rPr>
          <w:lang w:val="en-US"/>
        </w:rPr>
      </w:pPr>
      <w:r>
        <w:rPr>
          <w:lang w:val="en-US"/>
        </w:rPr>
        <w:t>R4-210</w:t>
      </w:r>
      <w:r w:rsidR="00320D37">
        <w:rPr>
          <w:lang w:val="en-US"/>
        </w:rPr>
        <w:t>4222</w:t>
      </w:r>
      <w:r>
        <w:rPr>
          <w:lang w:val="en-US"/>
        </w:rPr>
        <w:t>, “LS on signaling</w:t>
      </w:r>
      <w:r w:rsidR="005F5B65">
        <w:rPr>
          <w:lang w:val="en-US"/>
        </w:rPr>
        <w:t xml:space="preserve"> for PC 1.5,” Qualcomm Incorporated</w:t>
      </w:r>
    </w:p>
    <w:p w14:paraId="28B9833A" w14:textId="77777777" w:rsidR="00310831" w:rsidRDefault="00310831" w:rsidP="00310831">
      <w:pPr>
        <w:pStyle w:val="ListParagraph"/>
        <w:rPr>
          <w:lang w:val="en-US"/>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951F4" w14:textId="77777777" w:rsidR="00C80CFB" w:rsidRDefault="00C80CFB">
      <w:r>
        <w:separator/>
      </w:r>
    </w:p>
  </w:endnote>
  <w:endnote w:type="continuationSeparator" w:id="0">
    <w:p w14:paraId="394A33EE" w14:textId="77777777" w:rsidR="00C80CFB" w:rsidRDefault="00C8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DA826" w14:textId="77777777" w:rsidR="00C80CFB" w:rsidRDefault="00C80CFB">
      <w:r>
        <w:separator/>
      </w:r>
    </w:p>
  </w:footnote>
  <w:footnote w:type="continuationSeparator" w:id="0">
    <w:p w14:paraId="5D8B3F49" w14:textId="77777777" w:rsidR="00C80CFB" w:rsidRDefault="00C80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35BAE"/>
    <w:multiLevelType w:val="hybridMultilevel"/>
    <w:tmpl w:val="E4ECE30E"/>
    <w:lvl w:ilvl="0" w:tplc="56DA42A4">
      <w:start w:val="1"/>
      <w:numFmt w:val="bullet"/>
      <w:lvlText w:val="•"/>
      <w:lvlJc w:val="left"/>
      <w:pPr>
        <w:tabs>
          <w:tab w:val="num" w:pos="720"/>
        </w:tabs>
        <w:ind w:left="720" w:hanging="360"/>
      </w:pPr>
      <w:rPr>
        <w:rFonts w:ascii="Arial" w:hAnsi="Arial" w:hint="default"/>
      </w:rPr>
    </w:lvl>
    <w:lvl w:ilvl="1" w:tplc="EED88FFA">
      <w:start w:val="1"/>
      <w:numFmt w:val="bullet"/>
      <w:lvlText w:val="•"/>
      <w:lvlJc w:val="left"/>
      <w:pPr>
        <w:tabs>
          <w:tab w:val="num" w:pos="1440"/>
        </w:tabs>
        <w:ind w:left="1440" w:hanging="360"/>
      </w:pPr>
      <w:rPr>
        <w:rFonts w:ascii="Arial" w:hAnsi="Arial" w:hint="default"/>
      </w:rPr>
    </w:lvl>
    <w:lvl w:ilvl="2" w:tplc="CEEAA048" w:tentative="1">
      <w:start w:val="1"/>
      <w:numFmt w:val="bullet"/>
      <w:lvlText w:val="•"/>
      <w:lvlJc w:val="left"/>
      <w:pPr>
        <w:tabs>
          <w:tab w:val="num" w:pos="2160"/>
        </w:tabs>
        <w:ind w:left="2160" w:hanging="360"/>
      </w:pPr>
      <w:rPr>
        <w:rFonts w:ascii="Arial" w:hAnsi="Arial" w:hint="default"/>
      </w:rPr>
    </w:lvl>
    <w:lvl w:ilvl="3" w:tplc="972E371E" w:tentative="1">
      <w:start w:val="1"/>
      <w:numFmt w:val="bullet"/>
      <w:lvlText w:val="•"/>
      <w:lvlJc w:val="left"/>
      <w:pPr>
        <w:tabs>
          <w:tab w:val="num" w:pos="2880"/>
        </w:tabs>
        <w:ind w:left="2880" w:hanging="360"/>
      </w:pPr>
      <w:rPr>
        <w:rFonts w:ascii="Arial" w:hAnsi="Arial" w:hint="default"/>
      </w:rPr>
    </w:lvl>
    <w:lvl w:ilvl="4" w:tplc="D9A894A4" w:tentative="1">
      <w:start w:val="1"/>
      <w:numFmt w:val="bullet"/>
      <w:lvlText w:val="•"/>
      <w:lvlJc w:val="left"/>
      <w:pPr>
        <w:tabs>
          <w:tab w:val="num" w:pos="3600"/>
        </w:tabs>
        <w:ind w:left="3600" w:hanging="360"/>
      </w:pPr>
      <w:rPr>
        <w:rFonts w:ascii="Arial" w:hAnsi="Arial" w:hint="default"/>
      </w:rPr>
    </w:lvl>
    <w:lvl w:ilvl="5" w:tplc="C91CEB1C" w:tentative="1">
      <w:start w:val="1"/>
      <w:numFmt w:val="bullet"/>
      <w:lvlText w:val="•"/>
      <w:lvlJc w:val="left"/>
      <w:pPr>
        <w:tabs>
          <w:tab w:val="num" w:pos="4320"/>
        </w:tabs>
        <w:ind w:left="4320" w:hanging="360"/>
      </w:pPr>
      <w:rPr>
        <w:rFonts w:ascii="Arial" w:hAnsi="Arial" w:hint="default"/>
      </w:rPr>
    </w:lvl>
    <w:lvl w:ilvl="6" w:tplc="1E6698A8" w:tentative="1">
      <w:start w:val="1"/>
      <w:numFmt w:val="bullet"/>
      <w:lvlText w:val="•"/>
      <w:lvlJc w:val="left"/>
      <w:pPr>
        <w:tabs>
          <w:tab w:val="num" w:pos="5040"/>
        </w:tabs>
        <w:ind w:left="5040" w:hanging="360"/>
      </w:pPr>
      <w:rPr>
        <w:rFonts w:ascii="Arial" w:hAnsi="Arial" w:hint="default"/>
      </w:rPr>
    </w:lvl>
    <w:lvl w:ilvl="7" w:tplc="E08ABA66" w:tentative="1">
      <w:start w:val="1"/>
      <w:numFmt w:val="bullet"/>
      <w:lvlText w:val="•"/>
      <w:lvlJc w:val="left"/>
      <w:pPr>
        <w:tabs>
          <w:tab w:val="num" w:pos="5760"/>
        </w:tabs>
        <w:ind w:left="5760" w:hanging="360"/>
      </w:pPr>
      <w:rPr>
        <w:rFonts w:ascii="Arial" w:hAnsi="Arial" w:hint="default"/>
      </w:rPr>
    </w:lvl>
    <w:lvl w:ilvl="8" w:tplc="64906F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29"/>
  </w:num>
  <w:num w:numId="5">
    <w:abstractNumId w:val="21"/>
  </w:num>
  <w:num w:numId="6">
    <w:abstractNumId w:val="7"/>
  </w:num>
  <w:num w:numId="7">
    <w:abstractNumId w:val="1"/>
  </w:num>
  <w:num w:numId="8">
    <w:abstractNumId w:val="25"/>
  </w:num>
  <w:num w:numId="9">
    <w:abstractNumId w:val="8"/>
  </w:num>
  <w:num w:numId="10">
    <w:abstractNumId w:val="18"/>
  </w:num>
  <w:num w:numId="11">
    <w:abstractNumId w:val="32"/>
  </w:num>
  <w:num w:numId="12">
    <w:abstractNumId w:val="6"/>
  </w:num>
  <w:num w:numId="13">
    <w:abstractNumId w:val="16"/>
  </w:num>
  <w:num w:numId="14">
    <w:abstractNumId w:val="3"/>
  </w:num>
  <w:num w:numId="15">
    <w:abstractNumId w:val="15"/>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11"/>
  </w:num>
  <w:num w:numId="23">
    <w:abstractNumId w:val="20"/>
  </w:num>
  <w:num w:numId="24">
    <w:abstractNumId w:val="27"/>
  </w:num>
  <w:num w:numId="25">
    <w:abstractNumId w:val="28"/>
  </w:num>
  <w:num w:numId="26">
    <w:abstractNumId w:val="2"/>
  </w:num>
  <w:num w:numId="27">
    <w:abstractNumId w:val="17"/>
  </w:num>
  <w:num w:numId="28">
    <w:abstractNumId w:val="19"/>
  </w:num>
  <w:num w:numId="29">
    <w:abstractNumId w:val="23"/>
  </w:num>
  <w:num w:numId="30">
    <w:abstractNumId w:val="10"/>
  </w:num>
  <w:num w:numId="31">
    <w:abstractNumId w:val="31"/>
  </w:num>
  <w:num w:numId="32">
    <w:abstractNumId w:val="24"/>
  </w:num>
  <w:num w:numId="33">
    <w:abstractNumId w:val="5"/>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4E8E"/>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2D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5D7"/>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18D4"/>
    <w:rsid w:val="000B24B0"/>
    <w:rsid w:val="000B2A42"/>
    <w:rsid w:val="000B2EFB"/>
    <w:rsid w:val="000B327D"/>
    <w:rsid w:val="000B37AA"/>
    <w:rsid w:val="000B434A"/>
    <w:rsid w:val="000B4435"/>
    <w:rsid w:val="000B4E64"/>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29"/>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3D1"/>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022"/>
    <w:rsid w:val="00112756"/>
    <w:rsid w:val="0011296F"/>
    <w:rsid w:val="00112A1A"/>
    <w:rsid w:val="0011324A"/>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17723"/>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84D"/>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780"/>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50"/>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37E0"/>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3F3D"/>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90"/>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D3E"/>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992"/>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831"/>
    <w:rsid w:val="003109C2"/>
    <w:rsid w:val="00310E43"/>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0D37"/>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4E96"/>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1E21"/>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893"/>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078"/>
    <w:rsid w:val="003B72B7"/>
    <w:rsid w:val="003B78EB"/>
    <w:rsid w:val="003C0031"/>
    <w:rsid w:val="003C02AA"/>
    <w:rsid w:val="003C06DA"/>
    <w:rsid w:val="003C11BC"/>
    <w:rsid w:val="003C1867"/>
    <w:rsid w:val="003C2307"/>
    <w:rsid w:val="003C253D"/>
    <w:rsid w:val="003C2936"/>
    <w:rsid w:val="003C2C65"/>
    <w:rsid w:val="003C2F7F"/>
    <w:rsid w:val="003C37C2"/>
    <w:rsid w:val="003C3CA0"/>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D33"/>
    <w:rsid w:val="00403F04"/>
    <w:rsid w:val="00404369"/>
    <w:rsid w:val="004045B3"/>
    <w:rsid w:val="0040521D"/>
    <w:rsid w:val="00405484"/>
    <w:rsid w:val="004056A3"/>
    <w:rsid w:val="00405EE1"/>
    <w:rsid w:val="00405F8D"/>
    <w:rsid w:val="004064E2"/>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721"/>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29"/>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40"/>
    <w:rsid w:val="004B1BAB"/>
    <w:rsid w:val="004B1D8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974"/>
    <w:rsid w:val="004E5AFE"/>
    <w:rsid w:val="004E5B05"/>
    <w:rsid w:val="004E5CB3"/>
    <w:rsid w:val="004E6967"/>
    <w:rsid w:val="004E696A"/>
    <w:rsid w:val="004E7064"/>
    <w:rsid w:val="004E7590"/>
    <w:rsid w:val="004E78C8"/>
    <w:rsid w:val="004E7DA8"/>
    <w:rsid w:val="004E7EB8"/>
    <w:rsid w:val="004F11C4"/>
    <w:rsid w:val="004F17C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31C"/>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4DE"/>
    <w:rsid w:val="00540AD9"/>
    <w:rsid w:val="00540E4D"/>
    <w:rsid w:val="0054188C"/>
    <w:rsid w:val="005427B8"/>
    <w:rsid w:val="00543144"/>
    <w:rsid w:val="00543BDB"/>
    <w:rsid w:val="00543E5A"/>
    <w:rsid w:val="0054477C"/>
    <w:rsid w:val="00544F0B"/>
    <w:rsid w:val="00544F7A"/>
    <w:rsid w:val="00545421"/>
    <w:rsid w:val="00545782"/>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005"/>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47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95C"/>
    <w:rsid w:val="005F4FE7"/>
    <w:rsid w:val="005F5101"/>
    <w:rsid w:val="005F5B65"/>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A86"/>
    <w:rsid w:val="00614B7A"/>
    <w:rsid w:val="00616603"/>
    <w:rsid w:val="006173AF"/>
    <w:rsid w:val="006178BC"/>
    <w:rsid w:val="00617AA7"/>
    <w:rsid w:val="006200A9"/>
    <w:rsid w:val="006205C1"/>
    <w:rsid w:val="00620D81"/>
    <w:rsid w:val="0062180E"/>
    <w:rsid w:val="00621B3B"/>
    <w:rsid w:val="00621FF0"/>
    <w:rsid w:val="0062226C"/>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27FDC"/>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232F"/>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28E"/>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AE1"/>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3E8"/>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41A"/>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386"/>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939"/>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6D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23"/>
    <w:rsid w:val="008C7E65"/>
    <w:rsid w:val="008C7F01"/>
    <w:rsid w:val="008D0301"/>
    <w:rsid w:val="008D05D9"/>
    <w:rsid w:val="008D07F4"/>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A8B"/>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6EF"/>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D7"/>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2E7"/>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6022"/>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4EE1"/>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99B"/>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160"/>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91"/>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27D"/>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35"/>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6A44"/>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5F4D"/>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BDE"/>
    <w:rsid w:val="00AF5D37"/>
    <w:rsid w:val="00AF66EB"/>
    <w:rsid w:val="00AF6B61"/>
    <w:rsid w:val="00AF6CB1"/>
    <w:rsid w:val="00AF7A7E"/>
    <w:rsid w:val="00B00FB5"/>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DF0"/>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739"/>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EA6"/>
    <w:rsid w:val="00B61F6F"/>
    <w:rsid w:val="00B6247B"/>
    <w:rsid w:val="00B628EE"/>
    <w:rsid w:val="00B62ECE"/>
    <w:rsid w:val="00B63293"/>
    <w:rsid w:val="00B63934"/>
    <w:rsid w:val="00B6436C"/>
    <w:rsid w:val="00B64F9D"/>
    <w:rsid w:val="00B65590"/>
    <w:rsid w:val="00B6564D"/>
    <w:rsid w:val="00B65AC5"/>
    <w:rsid w:val="00B65BD4"/>
    <w:rsid w:val="00B66188"/>
    <w:rsid w:val="00B66378"/>
    <w:rsid w:val="00B66E6D"/>
    <w:rsid w:val="00B66EC0"/>
    <w:rsid w:val="00B6755D"/>
    <w:rsid w:val="00B676D0"/>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C9C"/>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2DBC"/>
    <w:rsid w:val="00BE3383"/>
    <w:rsid w:val="00BE3701"/>
    <w:rsid w:val="00BE38EB"/>
    <w:rsid w:val="00BE3E92"/>
    <w:rsid w:val="00BE3F08"/>
    <w:rsid w:val="00BE4B1B"/>
    <w:rsid w:val="00BE4DB0"/>
    <w:rsid w:val="00BE5726"/>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08AC"/>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590"/>
    <w:rsid w:val="00C27668"/>
    <w:rsid w:val="00C278D5"/>
    <w:rsid w:val="00C27D5D"/>
    <w:rsid w:val="00C27DD1"/>
    <w:rsid w:val="00C27F21"/>
    <w:rsid w:val="00C30499"/>
    <w:rsid w:val="00C30921"/>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4D84"/>
    <w:rsid w:val="00C55E50"/>
    <w:rsid w:val="00C56370"/>
    <w:rsid w:val="00C57176"/>
    <w:rsid w:val="00C571F6"/>
    <w:rsid w:val="00C5720B"/>
    <w:rsid w:val="00C5751B"/>
    <w:rsid w:val="00C60570"/>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0CFB"/>
    <w:rsid w:val="00C81037"/>
    <w:rsid w:val="00C81393"/>
    <w:rsid w:val="00C8139E"/>
    <w:rsid w:val="00C82D0D"/>
    <w:rsid w:val="00C83527"/>
    <w:rsid w:val="00C83C21"/>
    <w:rsid w:val="00C83D2F"/>
    <w:rsid w:val="00C83FED"/>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C33"/>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B15"/>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767"/>
    <w:rsid w:val="00CD0B68"/>
    <w:rsid w:val="00CD0C1B"/>
    <w:rsid w:val="00CD0EF0"/>
    <w:rsid w:val="00CD11A4"/>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67444"/>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2D9E"/>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880"/>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3EC6"/>
    <w:rsid w:val="00DC4208"/>
    <w:rsid w:val="00DC4D9D"/>
    <w:rsid w:val="00DC5754"/>
    <w:rsid w:val="00DC6670"/>
    <w:rsid w:val="00DC6728"/>
    <w:rsid w:val="00DC71C3"/>
    <w:rsid w:val="00DC743A"/>
    <w:rsid w:val="00DC7A31"/>
    <w:rsid w:val="00DD0195"/>
    <w:rsid w:val="00DD09A7"/>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0EC4"/>
    <w:rsid w:val="00DE13D5"/>
    <w:rsid w:val="00DE191C"/>
    <w:rsid w:val="00DE1A44"/>
    <w:rsid w:val="00DE1AED"/>
    <w:rsid w:val="00DE1B42"/>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33B"/>
    <w:rsid w:val="00E52700"/>
    <w:rsid w:val="00E5292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124"/>
    <w:rsid w:val="00EA544B"/>
    <w:rsid w:val="00EA55CA"/>
    <w:rsid w:val="00EA596F"/>
    <w:rsid w:val="00EA59A0"/>
    <w:rsid w:val="00EA5B45"/>
    <w:rsid w:val="00EA5FF9"/>
    <w:rsid w:val="00EA6358"/>
    <w:rsid w:val="00EA643B"/>
    <w:rsid w:val="00EA675F"/>
    <w:rsid w:val="00EA6788"/>
    <w:rsid w:val="00EA6C15"/>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E7F14"/>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3E"/>
    <w:rsid w:val="00F01AFB"/>
    <w:rsid w:val="00F01F7B"/>
    <w:rsid w:val="00F023E8"/>
    <w:rsid w:val="00F02502"/>
    <w:rsid w:val="00F02647"/>
    <w:rsid w:val="00F02D5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11F"/>
    <w:rsid w:val="00F163F9"/>
    <w:rsid w:val="00F177E3"/>
    <w:rsid w:val="00F17DAF"/>
    <w:rsid w:val="00F20C2B"/>
    <w:rsid w:val="00F21135"/>
    <w:rsid w:val="00F221CA"/>
    <w:rsid w:val="00F22A04"/>
    <w:rsid w:val="00F2337F"/>
    <w:rsid w:val="00F23400"/>
    <w:rsid w:val="00F23424"/>
    <w:rsid w:val="00F23A3A"/>
    <w:rsid w:val="00F23F7C"/>
    <w:rsid w:val="00F247E6"/>
    <w:rsid w:val="00F249BF"/>
    <w:rsid w:val="00F25505"/>
    <w:rsid w:val="00F25D7C"/>
    <w:rsid w:val="00F25E63"/>
    <w:rsid w:val="00F265D0"/>
    <w:rsid w:val="00F26B2C"/>
    <w:rsid w:val="00F26F6A"/>
    <w:rsid w:val="00F27241"/>
    <w:rsid w:val="00F27418"/>
    <w:rsid w:val="00F27468"/>
    <w:rsid w:val="00F279BF"/>
    <w:rsid w:val="00F27C6C"/>
    <w:rsid w:val="00F27C8E"/>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2B94"/>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F3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列出段落,목록단락"/>
    <w:basedOn w:val="Normal"/>
    <w:link w:val="ListParagraphChar"/>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99"/>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87552224">
      <w:bodyDiv w:val="1"/>
      <w:marLeft w:val="0"/>
      <w:marRight w:val="0"/>
      <w:marTop w:val="0"/>
      <w:marBottom w:val="0"/>
      <w:divBdr>
        <w:top w:val="none" w:sz="0" w:space="0" w:color="auto"/>
        <w:left w:val="none" w:sz="0" w:space="0" w:color="auto"/>
        <w:bottom w:val="none" w:sz="0" w:space="0" w:color="auto"/>
        <w:right w:val="none" w:sz="0" w:space="0" w:color="auto"/>
      </w:divBdr>
      <w:divsChild>
        <w:div w:id="394665093">
          <w:marLeft w:val="1080"/>
          <w:marRight w:val="0"/>
          <w:marTop w:val="100"/>
          <w:marBottom w:val="0"/>
          <w:divBdr>
            <w:top w:val="none" w:sz="0" w:space="0" w:color="auto"/>
            <w:left w:val="none" w:sz="0" w:space="0" w:color="auto"/>
            <w:bottom w:val="none" w:sz="0" w:space="0" w:color="auto"/>
            <w:right w:val="none" w:sz="0" w:space="0" w:color="auto"/>
          </w:divBdr>
        </w:div>
        <w:div w:id="671103072">
          <w:marLeft w:val="1080"/>
          <w:marRight w:val="0"/>
          <w:marTop w:val="100"/>
          <w:marBottom w:val="0"/>
          <w:divBdr>
            <w:top w:val="none" w:sz="0" w:space="0" w:color="auto"/>
            <w:left w:val="none" w:sz="0" w:space="0" w:color="auto"/>
            <w:bottom w:val="none" w:sz="0" w:space="0" w:color="auto"/>
            <w:right w:val="none" w:sz="0" w:space="0" w:color="auto"/>
          </w:divBdr>
        </w:div>
        <w:div w:id="1753812053">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6126663">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1227</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2021-08-06T16:14:00Z</dcterms:created>
  <dcterms:modified xsi:type="dcterms:W3CDTF">2021-08-06T16:26:00Z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