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34CF6" w:rsidRPr="00734CF6">
        <w:rPr>
          <w:rFonts w:cs="Arial"/>
          <w:sz w:val="24"/>
          <w:szCs w:val="24"/>
        </w:rPr>
        <w:t>R4-2114141</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11FA9">
        <w:rPr>
          <w:rFonts w:ascii="Arial" w:hAnsi="Arial"/>
          <w:sz w:val="24"/>
          <w:lang w:val="en-US"/>
        </w:rPr>
        <w:t>9.10.2.</w:t>
      </w:r>
      <w:r w:rsidR="00226DC7">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26DC7" w:rsidRPr="00226DC7">
        <w:rPr>
          <w:rFonts w:ascii="Arial" w:hAnsi="Arial"/>
          <w:sz w:val="24"/>
          <w:lang w:val="en-US"/>
        </w:rPr>
        <w:t>Discussion on RRM requirements for PUCCH SCell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22F90" w:rsidRPr="00822F90" w:rsidRDefault="00814B83" w:rsidP="00DF0231">
      <w:pPr>
        <w:rPr>
          <w:rFonts w:eastAsiaTheme="minorEastAsia"/>
          <w:lang w:val="en-US" w:eastAsia="zh-CN"/>
        </w:rPr>
      </w:pPr>
      <w:r>
        <w:rPr>
          <w:rFonts w:eastAsiaTheme="minorEastAsia"/>
          <w:lang w:val="en-US" w:eastAsia="zh-CN"/>
        </w:rPr>
        <w:t xml:space="preserve">The requirements of </w:t>
      </w:r>
      <w:r w:rsidR="00822F90">
        <w:rPr>
          <w:rFonts w:eastAsiaTheme="minorEastAsia"/>
          <w:lang w:val="en-US" w:eastAsia="zh-CN"/>
        </w:rPr>
        <w:t>PUCCH SCell activation was discussed</w:t>
      </w:r>
      <w:r>
        <w:rPr>
          <w:rFonts w:eastAsiaTheme="minorEastAsia"/>
          <w:lang w:val="en-US" w:eastAsia="zh-CN"/>
        </w:rPr>
        <w:t xml:space="preserve"> in the last RAN4 meeting, and the agreements and open issues are captured in the WF [1]. There are still some open issues left unsettled, </w:t>
      </w:r>
      <w:r w:rsidR="00822F90">
        <w:rPr>
          <w:rFonts w:eastAsiaTheme="minorEastAsia"/>
          <w:lang w:val="en-US" w:eastAsia="zh-CN"/>
        </w:rPr>
        <w:t>wherein the most critical one is whether and how to indicate the beam information for unknown cases. In this paper, we further provide our views in this paper.</w:t>
      </w:r>
    </w:p>
    <w:p w:rsidR="00DF0231" w:rsidRDefault="00DF0231" w:rsidP="00DF0231">
      <w:pPr>
        <w:pStyle w:val="1"/>
        <w:numPr>
          <w:ilvl w:val="0"/>
          <w:numId w:val="1"/>
        </w:numPr>
        <w:rPr>
          <w:lang w:val="en-US"/>
        </w:rPr>
      </w:pPr>
      <w:r w:rsidRPr="002D2977">
        <w:rPr>
          <w:lang w:val="en-US"/>
        </w:rPr>
        <w:t>Discussion</w:t>
      </w:r>
    </w:p>
    <w:p w:rsidR="00814B83" w:rsidRDefault="00814B83" w:rsidP="00814B83">
      <w:pPr>
        <w:pStyle w:val="3"/>
        <w:rPr>
          <w:lang w:val="en-US" w:eastAsia="zh-CN"/>
        </w:rPr>
      </w:pPr>
      <w:r>
        <w:rPr>
          <w:rFonts w:hint="eastAsia"/>
          <w:lang w:val="en-US" w:eastAsia="zh-CN"/>
        </w:rPr>
        <w:t>2</w:t>
      </w:r>
      <w:r>
        <w:rPr>
          <w:lang w:val="en-US" w:eastAsia="zh-CN"/>
        </w:rPr>
        <w:t xml:space="preserve">.1 </w:t>
      </w:r>
      <w:r w:rsidR="00822F90">
        <w:rPr>
          <w:lang w:val="en-US" w:eastAsia="zh-CN"/>
        </w:rPr>
        <w:t>Valid and invalid scenario</w:t>
      </w:r>
    </w:p>
    <w:p w:rsidR="00822F90" w:rsidRDefault="00822F90" w:rsidP="00822F90">
      <w:pPr>
        <w:rPr>
          <w:rFonts w:eastAsiaTheme="minorEastAsia"/>
          <w:lang w:val="en-US" w:eastAsia="zh-CN"/>
        </w:rPr>
      </w:pPr>
      <w:r>
        <w:rPr>
          <w:rFonts w:eastAsiaTheme="minorEastAsia" w:hint="eastAsia"/>
          <w:lang w:val="en-US" w:eastAsia="zh-CN"/>
        </w:rPr>
        <w:t xml:space="preserve">Different from </w:t>
      </w:r>
      <w:r>
        <w:rPr>
          <w:rFonts w:eastAsiaTheme="minorEastAsia"/>
          <w:lang w:val="en-US" w:eastAsia="zh-CN"/>
        </w:rPr>
        <w:t>ordinary SCell activation/deactivation procedure, the unique procedure for PUCCH SCell activation of to obtain the TA when TA is invalid. During the discussion in previous meeting, it seems that everything is tightly bundled to the TA status. For instance, the ending points, whether beam indication is needed</w:t>
      </w:r>
      <w:r w:rsidR="00462EC3">
        <w:rPr>
          <w:rFonts w:eastAsiaTheme="minorEastAsia"/>
          <w:lang w:val="en-US" w:eastAsia="zh-CN"/>
        </w:rPr>
        <w:t xml:space="preserve"> are all considered together with TA status</w:t>
      </w:r>
      <w:r>
        <w:rPr>
          <w:rFonts w:eastAsiaTheme="minorEastAsia"/>
          <w:lang w:val="en-US" w:eastAsia="zh-CN"/>
        </w:rPr>
        <w:t xml:space="preserve">. For our understanding, the only difference of PUCCH SCell activation with invalid TA is that </w:t>
      </w:r>
      <w:r w:rsidR="00964C32">
        <w:rPr>
          <w:rFonts w:eastAsiaTheme="minorEastAsia"/>
          <w:lang w:val="en-US" w:eastAsia="zh-CN"/>
        </w:rPr>
        <w:t xml:space="preserve">UE needs to update its TA to enable UL transmission. No matter whether the TA is valid or not, the ending point should be the same. The ending point should be the valid CSI report, which could be taken as the implicit indication of the completion of the activation procedure. Also regarding the beam information indication, no matter whether the TA is valid or not, the TCI/UL spatial is always needed for DL reception and UL transmission. </w:t>
      </w:r>
    </w:p>
    <w:p w:rsidR="00785347" w:rsidRPr="00C83628" w:rsidRDefault="00785347" w:rsidP="00822F90">
      <w:pPr>
        <w:rPr>
          <w:rFonts w:eastAsiaTheme="minorEastAsia"/>
          <w:b/>
          <w:lang w:val="en-US" w:eastAsia="zh-CN"/>
        </w:rPr>
      </w:pPr>
      <w:r w:rsidRPr="00C83628">
        <w:rPr>
          <w:rFonts w:eastAsiaTheme="minorEastAsia"/>
          <w:b/>
          <w:lang w:val="en-US" w:eastAsia="zh-CN"/>
        </w:rPr>
        <w:t>Observation 1: The only difference for valid and invalid TA case is the procedure for TA updating, and other procedures should not be tightly bundled with TA status.</w:t>
      </w:r>
    </w:p>
    <w:p w:rsidR="00785347" w:rsidRDefault="00785347" w:rsidP="00822F90">
      <w:pPr>
        <w:rPr>
          <w:rFonts w:eastAsiaTheme="minorEastAsia"/>
          <w:lang w:val="en-US" w:eastAsia="zh-CN"/>
        </w:rPr>
      </w:pPr>
      <w:r>
        <w:rPr>
          <w:rFonts w:eastAsiaTheme="minorEastAsia" w:hint="eastAsia"/>
          <w:lang w:val="en-US" w:eastAsia="zh-CN"/>
        </w:rPr>
        <w:t>Re</w:t>
      </w:r>
      <w:r>
        <w:rPr>
          <w:rFonts w:eastAsiaTheme="minorEastAsia"/>
          <w:lang w:val="en-US" w:eastAsia="zh-CN"/>
        </w:rPr>
        <w:t>garding the ending point for invalid TA case, some companies argued that the ending point could be the point when UE transmit PRACH on PUCCH SCell. For SCell activation, no matter for an ordinary SCell or an SCell with PUCCH, the valid CSI report is considered as the implicit indication of the completion of the activation procedure. Though, UE needs to transmit PRACH for the invalid case, which is also taken as the ending point for some RRM requirements (e.g. HO, PSCell addition),</w:t>
      </w:r>
      <w:r w:rsidR="00C83628">
        <w:rPr>
          <w:rFonts w:eastAsiaTheme="minorEastAsia"/>
          <w:lang w:val="en-US" w:eastAsia="zh-CN"/>
        </w:rPr>
        <w:t xml:space="preserve"> but PRACH transmission is only the middle stage of the PUCCH SCell activation. Similar as PUCCH SCell activation requirements in LTE, the ending point is CSI reporting for both valid and invalid case.</w:t>
      </w:r>
    </w:p>
    <w:p w:rsidR="00C83628" w:rsidRPr="00C83628" w:rsidRDefault="00C83628" w:rsidP="00822F90">
      <w:pPr>
        <w:rPr>
          <w:rFonts w:eastAsiaTheme="minorEastAsia"/>
          <w:b/>
          <w:lang w:val="en-US" w:eastAsia="zh-CN"/>
        </w:rPr>
      </w:pPr>
      <w:r w:rsidRPr="00C83628">
        <w:rPr>
          <w:rFonts w:eastAsiaTheme="minorEastAsia"/>
          <w:b/>
          <w:lang w:val="en-US" w:eastAsia="zh-CN"/>
        </w:rPr>
        <w:t xml:space="preserve">Proposal </w:t>
      </w:r>
      <w:r w:rsidR="00CD226F">
        <w:rPr>
          <w:rFonts w:eastAsiaTheme="minorEastAsia"/>
          <w:b/>
          <w:lang w:val="en-US" w:eastAsia="zh-CN"/>
        </w:rPr>
        <w:t>1</w:t>
      </w:r>
      <w:r w:rsidRPr="00C83628">
        <w:rPr>
          <w:rFonts w:eastAsiaTheme="minorEastAsia"/>
          <w:b/>
          <w:lang w:val="en-US" w:eastAsia="zh-CN"/>
        </w:rPr>
        <w:t>: For invalid TA, the ending point should be the point when UE transmit valid CSI report on the target PUCCH SCell</w:t>
      </w:r>
    </w:p>
    <w:p w:rsidR="00822F90" w:rsidRDefault="00822F90" w:rsidP="00822F90">
      <w:pPr>
        <w:pStyle w:val="3"/>
        <w:rPr>
          <w:lang w:val="en-US" w:eastAsia="zh-CN"/>
        </w:rPr>
      </w:pPr>
      <w:r w:rsidRPr="00822F90">
        <w:rPr>
          <w:rFonts w:hint="eastAsia"/>
          <w:lang w:val="en-US" w:eastAsia="zh-CN"/>
        </w:rPr>
        <w:t xml:space="preserve">2.2 beam information </w:t>
      </w:r>
      <w:r w:rsidRPr="00822F90">
        <w:rPr>
          <w:lang w:val="en-US" w:eastAsia="zh-CN"/>
        </w:rPr>
        <w:t>indication</w:t>
      </w:r>
    </w:p>
    <w:p w:rsidR="00C83628" w:rsidRDefault="00C454B2" w:rsidP="00C83628">
      <w:pPr>
        <w:rPr>
          <w:rFonts w:eastAsiaTheme="minorEastAsia"/>
          <w:lang w:val="en-US" w:eastAsia="zh-CN"/>
        </w:rPr>
      </w:pPr>
      <w:r>
        <w:rPr>
          <w:rFonts w:eastAsiaTheme="minorEastAsia"/>
          <w:lang w:val="en-US" w:eastAsia="zh-CN"/>
        </w:rPr>
        <w:t>The beam indication issue is the most critical one in previous discussion.</w:t>
      </w:r>
      <w:r w:rsidR="00DC7A93">
        <w:rPr>
          <w:rFonts w:eastAsiaTheme="minorEastAsia"/>
          <w:lang w:val="en-US" w:eastAsia="zh-CN"/>
        </w:rPr>
        <w:t xml:space="preserve"> Different from LTE PUCCH SCell activation, the beam information is needed for TCI/UL spatial configuration. The current status of this issue are summarized as follows:</w:t>
      </w:r>
    </w:p>
    <w:tbl>
      <w:tblPr>
        <w:tblStyle w:val="a7"/>
        <w:tblW w:w="0" w:type="auto"/>
        <w:tblLook w:val="04A0" w:firstRow="1" w:lastRow="0" w:firstColumn="1" w:lastColumn="0" w:noHBand="0" w:noVBand="1"/>
      </w:tblPr>
      <w:tblGrid>
        <w:gridCol w:w="9562"/>
      </w:tblGrid>
      <w:tr w:rsidR="00DC7A93" w:rsidTr="00DC7A93">
        <w:tc>
          <w:tcPr>
            <w:tcW w:w="9562" w:type="dxa"/>
          </w:tcPr>
          <w:p w:rsidR="00643D4B" w:rsidRPr="00DC7A93" w:rsidRDefault="00643D4B" w:rsidP="00DC7A93">
            <w:pPr>
              <w:numPr>
                <w:ilvl w:val="0"/>
                <w:numId w:val="28"/>
              </w:numPr>
              <w:spacing w:after="120" w:line="200" w:lineRule="exact"/>
              <w:ind w:hanging="357"/>
              <w:rPr>
                <w:rFonts w:eastAsiaTheme="minorEastAsia"/>
                <w:lang w:val="en-US" w:eastAsia="zh-CN"/>
              </w:rPr>
            </w:pPr>
            <w:r w:rsidRPr="00DC7A93">
              <w:rPr>
                <w:rFonts w:eastAsiaTheme="minorEastAsia"/>
                <w:b/>
                <w:bCs/>
                <w:u w:val="single"/>
                <w:lang w:eastAsia="zh-CN"/>
              </w:rPr>
              <w:t>Issue 1-2-1: Whether the beam information (SSB index) of PUCCH SCell is needed to be indicated to NW for unknown cell in FR2?</w:t>
            </w:r>
          </w:p>
          <w:p w:rsidR="00643D4B" w:rsidRPr="00DC7A93" w:rsidRDefault="00643D4B" w:rsidP="00DC7A93">
            <w:pPr>
              <w:numPr>
                <w:ilvl w:val="1"/>
                <w:numId w:val="28"/>
              </w:numPr>
              <w:spacing w:after="120" w:line="200" w:lineRule="exact"/>
              <w:ind w:hanging="357"/>
              <w:rPr>
                <w:rFonts w:eastAsiaTheme="minorEastAsia"/>
                <w:lang w:val="en-US" w:eastAsia="zh-CN"/>
              </w:rPr>
            </w:pPr>
            <w:r w:rsidRPr="00DC7A93">
              <w:rPr>
                <w:rFonts w:eastAsiaTheme="minorEastAsia"/>
                <w:lang w:val="en-US" w:eastAsia="zh-CN"/>
              </w:rPr>
              <w:t xml:space="preserve">Agreements </w:t>
            </w:r>
          </w:p>
          <w:p w:rsidR="00643D4B" w:rsidRPr="00DC7A93" w:rsidRDefault="00643D4B" w:rsidP="00DC7A93">
            <w:pPr>
              <w:numPr>
                <w:ilvl w:val="2"/>
                <w:numId w:val="28"/>
              </w:numPr>
              <w:spacing w:after="120" w:line="200" w:lineRule="exact"/>
              <w:ind w:hanging="357"/>
              <w:rPr>
                <w:rFonts w:eastAsiaTheme="minorEastAsia"/>
                <w:lang w:val="en-US" w:eastAsia="zh-CN"/>
              </w:rPr>
            </w:pPr>
            <w:r w:rsidRPr="00DC7A93">
              <w:rPr>
                <w:rFonts w:eastAsiaTheme="minorEastAsia"/>
                <w:lang w:eastAsia="zh-CN"/>
              </w:rPr>
              <w:t>If the target PUCCH Scell is known, no need to indicate the beam information to network for determining the associated SSB in PDCCH order for RA, i.e., no additional SSB based beam measurement is needed.</w:t>
            </w:r>
          </w:p>
          <w:p w:rsidR="00643D4B" w:rsidRPr="00DC7A93" w:rsidRDefault="00643D4B" w:rsidP="00DC7A93">
            <w:pPr>
              <w:numPr>
                <w:ilvl w:val="3"/>
                <w:numId w:val="28"/>
              </w:numPr>
              <w:spacing w:after="120" w:line="200" w:lineRule="exact"/>
              <w:ind w:hanging="357"/>
              <w:rPr>
                <w:rFonts w:eastAsiaTheme="minorEastAsia"/>
                <w:lang w:val="en-US" w:eastAsia="zh-CN"/>
              </w:rPr>
            </w:pPr>
            <w:r w:rsidRPr="00DC7A93">
              <w:rPr>
                <w:rFonts w:eastAsiaTheme="minorEastAsia"/>
                <w:lang w:eastAsia="zh-CN"/>
              </w:rPr>
              <w:t>If the target PUCCH Scell is unknown cell in FR2:</w:t>
            </w:r>
          </w:p>
          <w:p w:rsidR="00643D4B" w:rsidRPr="00DC7A93" w:rsidRDefault="00643D4B" w:rsidP="00DC7A93">
            <w:pPr>
              <w:numPr>
                <w:ilvl w:val="4"/>
                <w:numId w:val="28"/>
              </w:numPr>
              <w:spacing w:after="120" w:line="200" w:lineRule="exact"/>
              <w:ind w:hanging="357"/>
              <w:rPr>
                <w:rFonts w:eastAsiaTheme="minorEastAsia"/>
                <w:lang w:val="en-US" w:eastAsia="zh-CN"/>
              </w:rPr>
            </w:pPr>
            <w:r w:rsidRPr="00DC7A93">
              <w:rPr>
                <w:rFonts w:eastAsiaTheme="minorEastAsia"/>
                <w:lang w:eastAsia="zh-CN"/>
              </w:rPr>
              <w:lastRenderedPageBreak/>
              <w:t xml:space="preserve">If there is at least one active serving cell on that FR2 band </w:t>
            </w:r>
            <w:r w:rsidRPr="00DC7A93">
              <w:rPr>
                <w:rFonts w:eastAsiaTheme="minorEastAsia"/>
                <w:lang w:val="en-US" w:eastAsia="zh-CN"/>
              </w:rPr>
              <w:t>(</w:t>
            </w:r>
            <w:r w:rsidRPr="00DC7A93">
              <w:rPr>
                <w:rFonts w:eastAsiaTheme="minorEastAsia"/>
                <w:lang w:eastAsia="zh-CN"/>
              </w:rPr>
              <w:t>following the same conditions in TS38.133 section 8.3.2 for intra-band FR2 Scell activation), no need to indicate the beam information to network for determining the associated SSB in PDCCH order for RA.</w:t>
            </w:r>
          </w:p>
          <w:p w:rsidR="00643D4B" w:rsidRPr="00DC7A93" w:rsidRDefault="00643D4B" w:rsidP="00DC7A93">
            <w:pPr>
              <w:numPr>
                <w:ilvl w:val="4"/>
                <w:numId w:val="28"/>
              </w:numPr>
              <w:spacing w:after="120" w:line="200" w:lineRule="exact"/>
              <w:ind w:hanging="357"/>
              <w:rPr>
                <w:rFonts w:eastAsiaTheme="minorEastAsia"/>
                <w:lang w:val="en-US" w:eastAsia="zh-CN"/>
              </w:rPr>
            </w:pPr>
            <w:r w:rsidRPr="00DC7A93">
              <w:rPr>
                <w:rFonts w:eastAsiaTheme="minorEastAsia"/>
                <w:lang w:eastAsia="zh-CN"/>
              </w:rPr>
              <w:t>Otherwise, need to indicate the beam information to network for determining the associated SSB in PDCCH order for RA.</w:t>
            </w:r>
          </w:p>
          <w:p w:rsidR="00DC7A93" w:rsidRPr="00DC7A93" w:rsidRDefault="00643D4B" w:rsidP="00DC7A93">
            <w:pPr>
              <w:numPr>
                <w:ilvl w:val="2"/>
                <w:numId w:val="28"/>
              </w:numPr>
              <w:spacing w:after="120" w:line="200" w:lineRule="exact"/>
              <w:ind w:hanging="357"/>
              <w:rPr>
                <w:rFonts w:eastAsiaTheme="minorEastAsia"/>
                <w:lang w:val="en-US" w:eastAsia="zh-CN"/>
              </w:rPr>
            </w:pPr>
            <w:r w:rsidRPr="00DC7A93">
              <w:rPr>
                <w:rFonts w:eastAsiaTheme="minorEastAsia"/>
                <w:lang w:val="en-US" w:eastAsia="zh-CN"/>
              </w:rPr>
              <w:t xml:space="preserve">Note: When capturing the agreements in the specification, the text on known and unknown condition shall be aligned with existing SCell activation requirements.  </w:t>
            </w:r>
          </w:p>
          <w:p w:rsidR="00643D4B" w:rsidRPr="00DC7A93" w:rsidRDefault="00643D4B" w:rsidP="00DC7A93">
            <w:pPr>
              <w:numPr>
                <w:ilvl w:val="0"/>
                <w:numId w:val="25"/>
              </w:numPr>
              <w:spacing w:after="120" w:line="200" w:lineRule="exact"/>
              <w:ind w:hanging="357"/>
              <w:rPr>
                <w:rFonts w:eastAsiaTheme="minorEastAsia"/>
                <w:lang w:val="en-US" w:eastAsia="zh-CN"/>
              </w:rPr>
            </w:pPr>
            <w:r w:rsidRPr="00DC7A93">
              <w:rPr>
                <w:rFonts w:eastAsiaTheme="minorEastAsia"/>
                <w:b/>
                <w:bCs/>
                <w:u w:val="single"/>
                <w:lang w:eastAsia="zh-CN"/>
              </w:rPr>
              <w:t>Issue 1-2-2: Whether the beam information (SSB index) of PUCCH SCell is needed to be indicated to NW for unknown cell in FR1?</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val="en-US" w:eastAsia="zh-CN"/>
              </w:rPr>
              <w:t xml:space="preserve">Agreements: </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val="en-US" w:eastAsia="zh-CN"/>
              </w:rPr>
              <w:t>Otherwise</w:t>
            </w:r>
            <w:r w:rsidRPr="00DC7A93">
              <w:rPr>
                <w:rFonts w:eastAsiaTheme="minorEastAsia"/>
                <w:lang w:eastAsia="zh-CN"/>
              </w:rPr>
              <w:t>, need to indicate the beam information to network for determining the associated SSB in PDCCH order for RA.</w:t>
            </w:r>
          </w:p>
          <w:p w:rsidR="00643D4B" w:rsidRPr="00DC7A93" w:rsidRDefault="00643D4B" w:rsidP="00DC7A93">
            <w:pPr>
              <w:numPr>
                <w:ilvl w:val="0"/>
                <w:numId w:val="25"/>
              </w:numPr>
              <w:spacing w:after="120" w:line="200" w:lineRule="exact"/>
              <w:ind w:hanging="357"/>
              <w:rPr>
                <w:rFonts w:eastAsiaTheme="minorEastAsia"/>
                <w:lang w:val="en-US" w:eastAsia="zh-CN"/>
              </w:rPr>
            </w:pPr>
            <w:r w:rsidRPr="00DC7A93">
              <w:rPr>
                <w:rFonts w:eastAsiaTheme="minorEastAsia"/>
                <w:b/>
                <w:bCs/>
                <w:u w:val="single"/>
                <w:lang w:eastAsia="zh-CN"/>
              </w:rPr>
              <w:t>Issue 1-2-3: How to indicate the beam information for PUCCH SCell activation (The procedure for beam indication for PUCCH SCell activation)?</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Option 1: (vivo)</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RAN4 to discuss/decide whether to define the SCell activation requirements for unknown cell (including valid TA case and invalid TA case)</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 xml:space="preserve">Option 1a: </w:t>
            </w:r>
            <w:r w:rsidRPr="00DC7A93">
              <w:rPr>
                <w:rFonts w:eastAsiaTheme="minorEastAsia"/>
                <w:lang w:val="en-US" w:eastAsia="zh-CN"/>
              </w:rPr>
              <w:t>(MTK, Apple, Qualcomm(for R15/16 UE), CATT)</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RAN4 only define requirements for the known cell (include FR1 and FR2)</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 xml:space="preserve">Option 1b: </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RAN4 define requirements for both known and unknown cell (include FR1 and FR2)</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Option 2: (Apple,</w:t>
            </w:r>
            <w:r w:rsidRPr="00DC7A93">
              <w:rPr>
                <w:rFonts w:eastAsiaTheme="minorEastAsia"/>
                <w:lang w:val="en-US" w:eastAsia="zh-CN"/>
              </w:rPr>
              <w:t xml:space="preserve"> Qualcomm(for R15/16 UE), CATT)</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Using L3 measurement report of PUCCH SCell via SpCell PUSCH</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Option 3: (</w:t>
            </w:r>
            <w:r w:rsidRPr="00DC7A93">
              <w:rPr>
                <w:rFonts w:eastAsiaTheme="minorEastAsia"/>
                <w:lang w:val="en-US" w:eastAsia="zh-CN"/>
              </w:rPr>
              <w:t>Xiaomi, vivo</w:t>
            </w:r>
            <w:r w:rsidRPr="00DC7A93">
              <w:rPr>
                <w:rFonts w:eastAsiaTheme="minorEastAsia"/>
                <w:lang w:eastAsia="zh-CN"/>
              </w:rPr>
              <w:t>)</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UE measures the quality of the PUCCH SCell and reports the beam information to network via SpCell.</w:t>
            </w:r>
          </w:p>
          <w:p w:rsidR="00643D4B" w:rsidRPr="00DC7A93" w:rsidRDefault="00643D4B" w:rsidP="00DC7A93">
            <w:pPr>
              <w:numPr>
                <w:ilvl w:val="1"/>
                <w:numId w:val="25"/>
              </w:numPr>
              <w:spacing w:after="120" w:line="200" w:lineRule="exact"/>
              <w:ind w:hanging="357"/>
              <w:rPr>
                <w:rFonts w:eastAsiaTheme="minorEastAsia"/>
                <w:lang w:val="en-US" w:eastAsia="zh-CN"/>
              </w:rPr>
            </w:pPr>
            <w:r w:rsidRPr="00DC7A93">
              <w:rPr>
                <w:rFonts w:eastAsiaTheme="minorEastAsia"/>
                <w:lang w:eastAsia="zh-CN"/>
              </w:rPr>
              <w:t xml:space="preserve">Option 4: </w:t>
            </w:r>
            <w:r w:rsidRPr="00DC7A93">
              <w:rPr>
                <w:rFonts w:eastAsiaTheme="minorEastAsia"/>
                <w:lang w:val="en-US" w:eastAsia="zh-CN"/>
              </w:rPr>
              <w:t>(Xiaomi, MTK, Nokia, vivo, Huawei, Ericsson, Qualcomm(for R17 UE), NEC, NTT DOCOMO, CMCC)</w:t>
            </w:r>
          </w:p>
          <w:p w:rsidR="00643D4B" w:rsidRPr="00DC7A93" w:rsidRDefault="00643D4B" w:rsidP="00DC7A93">
            <w:pPr>
              <w:numPr>
                <w:ilvl w:val="2"/>
                <w:numId w:val="25"/>
              </w:numPr>
              <w:spacing w:after="120" w:line="200" w:lineRule="exact"/>
              <w:ind w:hanging="357"/>
              <w:rPr>
                <w:rFonts w:eastAsiaTheme="minorEastAsia"/>
                <w:lang w:val="en-US" w:eastAsia="zh-CN"/>
              </w:rPr>
            </w:pPr>
            <w:r w:rsidRPr="00DC7A93">
              <w:rPr>
                <w:rFonts w:eastAsiaTheme="minorEastAsia"/>
                <w:lang w:eastAsia="zh-CN"/>
              </w:rPr>
              <w:t>Send an LS to RAN1 to confirm the feasibility of beam information indication approach</w:t>
            </w:r>
          </w:p>
          <w:p w:rsidR="00643D4B" w:rsidRPr="00DC7A93" w:rsidRDefault="00643D4B" w:rsidP="00DC7A93">
            <w:pPr>
              <w:numPr>
                <w:ilvl w:val="3"/>
                <w:numId w:val="25"/>
              </w:numPr>
              <w:spacing w:after="120" w:line="200" w:lineRule="exact"/>
              <w:ind w:hanging="357"/>
              <w:rPr>
                <w:rFonts w:eastAsiaTheme="minorEastAsia"/>
                <w:lang w:val="en-US" w:eastAsia="zh-CN"/>
              </w:rPr>
            </w:pPr>
            <w:r w:rsidRPr="00DC7A93">
              <w:rPr>
                <w:rFonts w:eastAsiaTheme="minorEastAsia"/>
                <w:lang w:eastAsia="zh-CN"/>
              </w:rPr>
              <w:t>Whether UE can report CSI of PUCCH SCell via SpCell</w:t>
            </w:r>
          </w:p>
          <w:p w:rsidR="00643D4B" w:rsidRPr="00DC7A93" w:rsidRDefault="00643D4B" w:rsidP="00DC7A93">
            <w:pPr>
              <w:numPr>
                <w:ilvl w:val="3"/>
                <w:numId w:val="25"/>
              </w:numPr>
              <w:spacing w:after="120" w:line="200" w:lineRule="exact"/>
              <w:ind w:hanging="357"/>
              <w:rPr>
                <w:rFonts w:eastAsiaTheme="minorEastAsia"/>
                <w:lang w:val="en-US" w:eastAsia="zh-CN"/>
              </w:rPr>
            </w:pPr>
            <w:r w:rsidRPr="00DC7A93">
              <w:rPr>
                <w:rFonts w:eastAsiaTheme="minorEastAsia"/>
                <w:lang w:eastAsia="zh-CN"/>
              </w:rPr>
              <w:t>Whether CBRA can be supported on PUCCH SCell for the advantages of facilitating the unknown PUCCH SCell activation with invalid TA.</w:t>
            </w:r>
          </w:p>
          <w:p w:rsidR="00DC7A93" w:rsidRPr="00DC7A93" w:rsidRDefault="00643D4B" w:rsidP="00DC7A93">
            <w:pPr>
              <w:numPr>
                <w:ilvl w:val="3"/>
                <w:numId w:val="25"/>
              </w:numPr>
              <w:spacing w:after="120" w:line="200" w:lineRule="exact"/>
              <w:ind w:hanging="357"/>
              <w:rPr>
                <w:rFonts w:eastAsiaTheme="minorEastAsia"/>
                <w:lang w:val="en-US" w:eastAsia="zh-CN"/>
              </w:rPr>
            </w:pPr>
            <w:r w:rsidRPr="00DC7A93">
              <w:rPr>
                <w:rFonts w:eastAsiaTheme="minorEastAsia"/>
                <w:lang w:eastAsia="zh-CN"/>
              </w:rPr>
              <w:t>The possibility of unknown PUCCH SCell activation procedure</w:t>
            </w:r>
          </w:p>
        </w:tc>
      </w:tr>
    </w:tbl>
    <w:p w:rsidR="00DC7A93" w:rsidRDefault="00DC7A93" w:rsidP="00C83628">
      <w:pPr>
        <w:rPr>
          <w:rFonts w:eastAsiaTheme="minorEastAsia"/>
          <w:lang w:val="en-US" w:eastAsia="zh-CN"/>
        </w:rPr>
      </w:pPr>
    </w:p>
    <w:p w:rsidR="00DC7A93" w:rsidRDefault="00DC7A93" w:rsidP="00C83628">
      <w:pPr>
        <w:rPr>
          <w:rFonts w:eastAsiaTheme="minorEastAsia"/>
          <w:lang w:val="en-US" w:eastAsia="zh-CN"/>
        </w:rPr>
      </w:pPr>
      <w:r>
        <w:rPr>
          <w:rFonts w:eastAsiaTheme="minorEastAsia" w:hint="eastAsia"/>
          <w:lang w:val="en-US" w:eastAsia="zh-CN"/>
        </w:rPr>
        <w:t>R</w:t>
      </w:r>
      <w:r>
        <w:rPr>
          <w:rFonts w:eastAsiaTheme="minorEastAsia"/>
          <w:lang w:val="en-US" w:eastAsia="zh-CN"/>
        </w:rPr>
        <w:t>AN4 has agreed the conditions when beam information is needed for the RACH procedures, which is mainly based on the assumptions of original SCell activation (e.g. no need to indicate beam information for contiguous FR1 CA and when there is active Cell in FR2 intra-band CA). For other cases, the beam information is needed to enable the PUCCH SCell activation. The question is how and indicate the information, which has been discussed for several meetings.</w:t>
      </w:r>
      <w:r w:rsidR="0067038D">
        <w:rPr>
          <w:rFonts w:eastAsiaTheme="minorEastAsia"/>
          <w:lang w:val="en-US" w:eastAsia="zh-CN"/>
        </w:rPr>
        <w:t xml:space="preserve"> Observed from the options on the table, some companies suggest only define known case or using L3 measurements via SpCell. From our understanding, these two approaches are actually same. It means most probably NW will only activate a deactivated PUCCH SCell when it a known cell. In the current spec, the known condition is that UE has SENT a valid measurement report (with SSB index in FR2)</w:t>
      </w:r>
      <w:r w:rsidR="00E70106">
        <w:rPr>
          <w:rFonts w:eastAsiaTheme="minorEastAsia" w:hint="eastAsia"/>
          <w:lang w:val="en-US" w:eastAsia="zh-CN"/>
        </w:rPr>
        <w:t>.</w:t>
      </w:r>
    </w:p>
    <w:p w:rsidR="00E70106" w:rsidRPr="00643D4B" w:rsidRDefault="00E70106" w:rsidP="00C83628">
      <w:pPr>
        <w:rPr>
          <w:rFonts w:eastAsiaTheme="minorEastAsia"/>
          <w:b/>
          <w:lang w:val="en-US" w:eastAsia="zh-CN"/>
        </w:rPr>
      </w:pPr>
      <w:r w:rsidRPr="00643D4B">
        <w:rPr>
          <w:rFonts w:eastAsiaTheme="minorEastAsia"/>
          <w:b/>
          <w:lang w:val="en-US" w:eastAsia="zh-CN"/>
        </w:rPr>
        <w:t>Observation 2: The known condition is that UE has SENT a valid measurement report.</w:t>
      </w:r>
    </w:p>
    <w:p w:rsidR="00E70106" w:rsidRDefault="00E70106" w:rsidP="00C83628">
      <w:pPr>
        <w:rPr>
          <w:rFonts w:eastAsiaTheme="minorEastAsia"/>
          <w:lang w:val="en-US" w:eastAsia="zh-CN"/>
        </w:rPr>
      </w:pPr>
      <w:r>
        <w:rPr>
          <w:rFonts w:eastAsiaTheme="minorEastAsia"/>
          <w:lang w:val="en-US" w:eastAsia="zh-CN"/>
        </w:rPr>
        <w:t>Then based on observation 2, if RAN4 only define requirements for known case using Le measurement via SpCell, it means NW will not have much choice but to</w:t>
      </w:r>
    </w:p>
    <w:p w:rsidR="00E70106" w:rsidRDefault="00E70106" w:rsidP="00E70106">
      <w:pPr>
        <w:pStyle w:val="a6"/>
        <w:numPr>
          <w:ilvl w:val="0"/>
          <w:numId w:val="29"/>
        </w:numPr>
        <w:ind w:firstLineChars="0"/>
        <w:rPr>
          <w:rFonts w:eastAsiaTheme="minorEastAsia"/>
          <w:lang w:val="en-US" w:eastAsia="zh-CN"/>
        </w:rPr>
      </w:pPr>
      <w:r>
        <w:rPr>
          <w:rFonts w:eastAsiaTheme="minorEastAsia"/>
          <w:lang w:val="en-US" w:eastAsia="zh-CN"/>
        </w:rPr>
        <w:t xml:space="preserve">Maintain L3 measurement and periodic report all the time even the cell is deactivated </w:t>
      </w:r>
    </w:p>
    <w:p w:rsidR="00E70106" w:rsidRDefault="00E70106" w:rsidP="00E70106">
      <w:pPr>
        <w:pStyle w:val="a6"/>
        <w:numPr>
          <w:ilvl w:val="0"/>
          <w:numId w:val="29"/>
        </w:numPr>
        <w:ind w:firstLineChars="0"/>
        <w:rPr>
          <w:rFonts w:eastAsiaTheme="minorEastAsia"/>
          <w:lang w:val="en-US" w:eastAsia="zh-CN"/>
        </w:rPr>
      </w:pPr>
      <w:r>
        <w:rPr>
          <w:rFonts w:eastAsiaTheme="minorEastAsia"/>
          <w:lang w:val="en-US" w:eastAsia="zh-CN"/>
        </w:rPr>
        <w:lastRenderedPageBreak/>
        <w:t>Configure L3 measurement when the Cell is about to be activated.</w:t>
      </w:r>
    </w:p>
    <w:p w:rsidR="00E70106" w:rsidRPr="00E70106" w:rsidRDefault="00E70106" w:rsidP="00E70106">
      <w:pPr>
        <w:rPr>
          <w:rFonts w:eastAsiaTheme="minorEastAsia"/>
          <w:lang w:val="en-US" w:eastAsia="zh-CN"/>
        </w:rPr>
      </w:pPr>
      <w:r>
        <w:rPr>
          <w:rFonts w:eastAsiaTheme="minorEastAsia"/>
          <w:lang w:val="en-US" w:eastAsia="zh-CN"/>
        </w:rPr>
        <w:t xml:space="preserve">For option (1), it will leads to unnecessary power consumptions to UE side. For option (2), it means the pure L2 procedure (SCell activation/deaction) is bundled with additional L3 procedure (RRC reconfiguration), which leads to much longer delay to the SCell activation. Typically, NW will activate a SCell when the data burst is coming, but for (2), </w:t>
      </w:r>
      <w:r w:rsidR="00643D4B">
        <w:rPr>
          <w:rFonts w:eastAsiaTheme="minorEastAsia"/>
          <w:lang w:val="en-US" w:eastAsia="zh-CN"/>
        </w:rPr>
        <w:t>it will introduce L3 delay which will violate the pure L2 procedure.</w:t>
      </w:r>
    </w:p>
    <w:p w:rsidR="0067038D" w:rsidRPr="00643D4B" w:rsidRDefault="00643D4B" w:rsidP="00C83628">
      <w:pPr>
        <w:rPr>
          <w:rFonts w:eastAsiaTheme="minorEastAsia"/>
          <w:b/>
          <w:lang w:val="en-US" w:eastAsia="zh-CN"/>
        </w:rPr>
      </w:pPr>
      <w:r w:rsidRPr="00643D4B">
        <w:rPr>
          <w:rFonts w:eastAsiaTheme="minorEastAsia" w:hint="eastAsia"/>
          <w:b/>
          <w:lang w:val="en-US" w:eastAsia="zh-CN"/>
        </w:rPr>
        <w:t>O</w:t>
      </w:r>
      <w:r w:rsidRPr="00643D4B">
        <w:rPr>
          <w:rFonts w:eastAsiaTheme="minorEastAsia"/>
          <w:b/>
          <w:lang w:val="en-US" w:eastAsia="zh-CN"/>
        </w:rPr>
        <w:t>bservation 3: Only defining requirements for known case of using L3 measurement report via SpCell will lead to unnecessary power consumptions to UE or introduce much longer delay when activating the cell.</w:t>
      </w:r>
    </w:p>
    <w:p w:rsidR="00643D4B" w:rsidRDefault="00643D4B" w:rsidP="00C83628">
      <w:pPr>
        <w:rPr>
          <w:rFonts w:eastAsiaTheme="minorEastAsia"/>
          <w:lang w:val="en-US" w:eastAsia="zh-CN"/>
        </w:rPr>
      </w:pPr>
      <w:r>
        <w:rPr>
          <w:rFonts w:eastAsiaTheme="minorEastAsia"/>
          <w:lang w:val="en-US" w:eastAsia="zh-CN"/>
        </w:rPr>
        <w:t>Another issue is whether UE is allowed to transmit CSI report via SpCell when PUCCH SCell is configured. During the discussion in the previous meeting, there was no consensus in RAN4 about whether such behavior is allowed. After check RAN1 and RAN2 spec, we also fail to find concrete descriptions on whether the cross PUCCH group CSI reporting is allowed or not. From our understanding, the issue shall be clarified in RAN1 and RAN2.</w:t>
      </w:r>
    </w:p>
    <w:p w:rsidR="00643D4B" w:rsidRDefault="00585EFA" w:rsidP="00C83628">
      <w:pPr>
        <w:rPr>
          <w:rFonts w:eastAsiaTheme="minorEastAsia"/>
          <w:lang w:val="en-US" w:eastAsia="zh-CN"/>
        </w:rPr>
      </w:pPr>
      <w:r>
        <w:rPr>
          <w:rFonts w:eastAsiaTheme="minorEastAsia"/>
          <w:lang w:val="en-US" w:eastAsia="zh-CN"/>
        </w:rPr>
        <w:t xml:space="preserve">For CBRA for PUCCH SCell, as analyzed in previous meetings, the benefits is straightforward. For CFRA in PUCCH SCell activation procedure, UE needs to first indicate the beam information to NW to schedule the PDCCH order, and Then UE will trigger the CFRA to obtain the TA. Due to the “check and egg” issue, it seems not workable now, and the whole procedure consists lots of cross carrier operation which is over complicated to both NW and UE sides. We also spotted in our previous paper that only CFRA is support for an SCell in current spec. We are not sure for this special SCell with PUCCH, whether CBRA could be supported. It should be evaluated in RAN1 and RAN2 that whether it is possible to support CBRA in PUCCH SCell and whether it is only spec work or there </w:t>
      </w:r>
      <w:r w:rsidR="00462EC3">
        <w:rPr>
          <w:rFonts w:eastAsiaTheme="minorEastAsia"/>
          <w:lang w:val="en-US" w:eastAsia="zh-CN"/>
        </w:rPr>
        <w:t>are</w:t>
      </w:r>
      <w:r>
        <w:rPr>
          <w:rFonts w:eastAsiaTheme="minorEastAsia"/>
          <w:lang w:val="en-US" w:eastAsia="zh-CN"/>
        </w:rPr>
        <w:t xml:space="preserve"> other impacts.</w:t>
      </w:r>
    </w:p>
    <w:p w:rsidR="00B719AB" w:rsidRDefault="00B719AB" w:rsidP="00C83628">
      <w:pPr>
        <w:rPr>
          <w:rFonts w:eastAsiaTheme="minorEastAsia"/>
          <w:lang w:val="en-US" w:eastAsia="zh-CN"/>
        </w:rPr>
      </w:pPr>
      <w:r>
        <w:rPr>
          <w:rFonts w:eastAsiaTheme="minorEastAsia"/>
          <w:lang w:val="en-US" w:eastAsia="zh-CN"/>
        </w:rPr>
        <w:t>Based on the analysis above, LS to RAN1 and RAN2 is necessary to consult whether cross PUCCH group CSI report is allowed and whether CBRA for PUCCH SCell can be supported. Sending the LS was already on the table since RAN4#98-bis-e with majority supporting, and in last meeting, most companies supported to send the LS, however, the details was not discussed. Consider the timeline of the WI, it is suggested to send the LS in RAN4#100-e meeting to ask the questions above.</w:t>
      </w:r>
    </w:p>
    <w:p w:rsidR="00CD226F" w:rsidRDefault="00CD226F" w:rsidP="00C83628">
      <w:pPr>
        <w:rPr>
          <w:rFonts w:eastAsiaTheme="minorEastAsia"/>
          <w:lang w:val="en-US" w:eastAsia="zh-CN"/>
        </w:rPr>
      </w:pPr>
      <w:r>
        <w:rPr>
          <w:rFonts w:eastAsiaTheme="minorEastAsia"/>
          <w:lang w:val="en-US" w:eastAsia="zh-CN"/>
        </w:rPr>
        <w:t xml:space="preserve">Companies also had concerns that either </w:t>
      </w:r>
      <w:r w:rsidR="00A27A27">
        <w:rPr>
          <w:rFonts w:eastAsiaTheme="minorEastAsia"/>
          <w:lang w:val="en-US" w:eastAsia="zh-CN"/>
        </w:rPr>
        <w:t>supporting these cross PUCCH group CSI report or CBRA on PUCCH SCell will are have compatibility issues. It is valid from our understanding, thus, it should be also clarified that the above two aspects to be clarified in RAN1 and RAN2 should be limited to Rel-17 UE.</w:t>
      </w:r>
    </w:p>
    <w:p w:rsidR="00B719AB" w:rsidRPr="00B719AB" w:rsidRDefault="00B719AB" w:rsidP="00C83628">
      <w:pPr>
        <w:rPr>
          <w:rFonts w:eastAsiaTheme="minorEastAsia"/>
          <w:b/>
          <w:lang w:val="en-US" w:eastAsia="zh-CN"/>
        </w:rPr>
      </w:pPr>
      <w:r w:rsidRPr="00B719AB">
        <w:rPr>
          <w:rFonts w:eastAsiaTheme="minorEastAsia"/>
          <w:b/>
          <w:lang w:val="en-US" w:eastAsia="zh-CN"/>
        </w:rPr>
        <w:t>Observation 4: Considering the time line of the WI, LS to RAN1 and RAN2 to consult about the beam indication issues is necessary.</w:t>
      </w:r>
    </w:p>
    <w:p w:rsidR="00B719AB" w:rsidRPr="00CD226F" w:rsidRDefault="00CD226F" w:rsidP="00C83628">
      <w:pPr>
        <w:rPr>
          <w:rFonts w:eastAsiaTheme="minorEastAsia"/>
          <w:b/>
          <w:lang w:val="en-US" w:eastAsia="zh-CN"/>
        </w:rPr>
      </w:pPr>
      <w:r w:rsidRPr="00CD226F">
        <w:rPr>
          <w:rFonts w:eastAsiaTheme="minorEastAsia" w:hint="eastAsia"/>
          <w:b/>
          <w:lang w:val="en-US" w:eastAsia="zh-CN"/>
        </w:rPr>
        <w:t>P</w:t>
      </w:r>
      <w:r w:rsidRPr="00CD226F">
        <w:rPr>
          <w:rFonts w:eastAsiaTheme="minorEastAsia"/>
          <w:b/>
          <w:lang w:val="en-US" w:eastAsia="zh-CN"/>
        </w:rPr>
        <w:t xml:space="preserve">roposal </w:t>
      </w:r>
      <w:r>
        <w:rPr>
          <w:rFonts w:eastAsiaTheme="minorEastAsia"/>
          <w:b/>
          <w:lang w:val="en-US" w:eastAsia="zh-CN"/>
        </w:rPr>
        <w:t>2</w:t>
      </w:r>
      <w:r w:rsidRPr="00CD226F">
        <w:rPr>
          <w:rFonts w:eastAsiaTheme="minorEastAsia"/>
          <w:b/>
          <w:lang w:val="en-US" w:eastAsia="zh-CN"/>
        </w:rPr>
        <w:t>: RAN4 to send LS to RAN1 and RAN2 to consult the feasibility of beam indication of PUCCH SCell activation:</w:t>
      </w:r>
    </w:p>
    <w:p w:rsidR="00CD226F" w:rsidRPr="00CD226F" w:rsidRDefault="00CD226F" w:rsidP="00CD226F">
      <w:pPr>
        <w:pStyle w:val="a6"/>
        <w:numPr>
          <w:ilvl w:val="0"/>
          <w:numId w:val="31"/>
        </w:numPr>
        <w:ind w:firstLineChars="0"/>
        <w:rPr>
          <w:rFonts w:eastAsiaTheme="minorEastAsia"/>
          <w:b/>
          <w:lang w:val="en-US" w:eastAsia="zh-CN"/>
        </w:rPr>
      </w:pPr>
      <w:r w:rsidRPr="00CD226F">
        <w:rPr>
          <w:rFonts w:eastAsiaTheme="minorEastAsia"/>
          <w:b/>
          <w:lang w:val="en-US" w:eastAsia="zh-CN"/>
        </w:rPr>
        <w:t>Whether UE can report CSI of the PUCCH SCell via the PUCCH of SpCell</w:t>
      </w:r>
    </w:p>
    <w:p w:rsidR="00CD226F" w:rsidRPr="00CD226F" w:rsidRDefault="00CD226F" w:rsidP="00CD226F">
      <w:pPr>
        <w:pStyle w:val="a6"/>
        <w:numPr>
          <w:ilvl w:val="0"/>
          <w:numId w:val="31"/>
        </w:numPr>
        <w:ind w:firstLineChars="0"/>
        <w:rPr>
          <w:rFonts w:eastAsiaTheme="minorEastAsia"/>
          <w:b/>
          <w:lang w:val="en-US" w:eastAsia="zh-CN"/>
        </w:rPr>
      </w:pPr>
      <w:r w:rsidRPr="00CD226F">
        <w:rPr>
          <w:rFonts w:eastAsiaTheme="minorEastAsia"/>
          <w:b/>
          <w:lang w:val="en-US" w:eastAsia="zh-CN"/>
        </w:rPr>
        <w:t xml:space="preserve">Whether CBRA can be supported on PUCCH SCell </w:t>
      </w:r>
      <w:r w:rsidRPr="00CD226F">
        <w:rPr>
          <w:rFonts w:eastAsiaTheme="minorEastAsia"/>
          <w:b/>
          <w:lang w:eastAsia="zh-CN"/>
        </w:rPr>
        <w:t>for the advantages of facilitating the unknown PUCCH SCell activation with invalid TA</w:t>
      </w:r>
    </w:p>
    <w:p w:rsidR="00CD226F" w:rsidRDefault="00CD226F" w:rsidP="00C83628">
      <w:pPr>
        <w:rPr>
          <w:rFonts w:eastAsiaTheme="minorEastAsia"/>
          <w:b/>
          <w:lang w:val="en-US" w:eastAsia="zh-CN"/>
        </w:rPr>
      </w:pPr>
      <w:r w:rsidRPr="00CD226F">
        <w:rPr>
          <w:rFonts w:eastAsiaTheme="minorEastAsia"/>
          <w:b/>
          <w:lang w:val="en-US" w:eastAsia="zh-CN"/>
        </w:rPr>
        <w:t xml:space="preserve">With the consideration of compatibility issues, the above two </w:t>
      </w:r>
      <w:r w:rsidR="00A27A27">
        <w:rPr>
          <w:rFonts w:eastAsiaTheme="minorEastAsia"/>
          <w:b/>
          <w:lang w:val="en-US" w:eastAsia="zh-CN"/>
        </w:rPr>
        <w:t>aspects should be limited</w:t>
      </w:r>
      <w:r w:rsidRPr="00CD226F">
        <w:rPr>
          <w:rFonts w:eastAsiaTheme="minorEastAsia"/>
          <w:b/>
          <w:lang w:val="en-US" w:eastAsia="zh-CN"/>
        </w:rPr>
        <w:t xml:space="preserve"> to Rel-17 UE.</w:t>
      </w:r>
    </w:p>
    <w:p w:rsidR="00A27A27" w:rsidRDefault="00A27A27" w:rsidP="00C83628">
      <w:pPr>
        <w:rPr>
          <w:rFonts w:eastAsiaTheme="minorEastAsia"/>
          <w:lang w:val="en-US" w:eastAsia="zh-CN"/>
        </w:rPr>
      </w:pPr>
      <w:r w:rsidRPr="00A27A27">
        <w:rPr>
          <w:rFonts w:eastAsiaTheme="minorEastAsia"/>
          <w:lang w:val="en-US" w:eastAsia="zh-CN"/>
        </w:rPr>
        <w:t>About the beam indication, there were also discussions in the last meeting about whether UL spatial relation is needed for invalid case and whether beam indication is needed for TCI determination.</w:t>
      </w:r>
      <w:r>
        <w:rPr>
          <w:rFonts w:eastAsiaTheme="minorEastAsia"/>
          <w:lang w:val="en-US" w:eastAsia="zh-CN"/>
        </w:rPr>
        <w:t xml:space="preserve"> First, </w:t>
      </w:r>
      <w:r w:rsidR="009779FE">
        <w:rPr>
          <w:rFonts w:eastAsiaTheme="minorEastAsia"/>
          <w:lang w:val="en-US" w:eastAsia="zh-CN"/>
        </w:rPr>
        <w:t>for UL spatial relation for invalid case, companies argued that beam indication is not needed think that UE will anyway transmit PRACH, th</w:t>
      </w:r>
      <w:r w:rsidR="00462EC3">
        <w:rPr>
          <w:rFonts w:eastAsiaTheme="minorEastAsia"/>
          <w:lang w:val="en-US" w:eastAsia="zh-CN"/>
        </w:rPr>
        <w:t>r</w:t>
      </w:r>
      <w:r w:rsidR="009779FE">
        <w:rPr>
          <w:rFonts w:eastAsiaTheme="minorEastAsia"/>
          <w:lang w:val="en-US" w:eastAsia="zh-CN"/>
        </w:rPr>
        <w:t xml:space="preserve">ough which the beam information could be implicitly reported (e.g. via RO and SSB association), and UE could use the same beam assumptions for UL transmission. From our understanding, most probably, the configured UL spatial maybe same as what is used for PRACH transmission, however, it is not necessarily always the same, which is up to NW configuration. </w:t>
      </w:r>
    </w:p>
    <w:p w:rsidR="009779FE" w:rsidRDefault="009779FE" w:rsidP="00C83628">
      <w:pPr>
        <w:rPr>
          <w:rFonts w:eastAsiaTheme="minorEastAsia"/>
          <w:b/>
          <w:lang w:eastAsia="zh-CN"/>
        </w:rPr>
      </w:pPr>
      <w:r w:rsidRPr="009779FE">
        <w:rPr>
          <w:rFonts w:eastAsiaTheme="minorEastAsia"/>
          <w:b/>
          <w:lang w:val="en-US" w:eastAsia="zh-CN"/>
        </w:rPr>
        <w:t xml:space="preserve">Proposal 3: </w:t>
      </w:r>
      <w:r w:rsidRPr="009779FE">
        <w:rPr>
          <w:rFonts w:eastAsiaTheme="minorEastAsia"/>
          <w:b/>
          <w:lang w:eastAsia="zh-CN"/>
        </w:rPr>
        <w:t>UL spatial relation of PUCCH on target being-activated Scell should be considered for PUCCH Scell activation for invalid case</w:t>
      </w:r>
    </w:p>
    <w:p w:rsidR="009779FE" w:rsidRDefault="009779FE" w:rsidP="00C83628">
      <w:pPr>
        <w:rPr>
          <w:rFonts w:eastAsiaTheme="minorEastAsia"/>
          <w:lang w:eastAsia="zh-CN"/>
        </w:rPr>
      </w:pPr>
      <w:r w:rsidRPr="009779FE">
        <w:rPr>
          <w:rFonts w:eastAsiaTheme="minorEastAsia"/>
          <w:lang w:eastAsia="zh-CN"/>
        </w:rPr>
        <w:t xml:space="preserve">For TCI configuration, </w:t>
      </w:r>
      <w:r>
        <w:rPr>
          <w:rFonts w:eastAsiaTheme="minorEastAsia"/>
          <w:lang w:eastAsia="zh-CN"/>
        </w:rPr>
        <w:t>it is needed for PDCCH configuration, CSI configuration for both valid TA and invalid case and for FR1 and FR2.</w:t>
      </w:r>
    </w:p>
    <w:p w:rsidR="009779FE" w:rsidRDefault="009779FE" w:rsidP="00C83628">
      <w:pPr>
        <w:rPr>
          <w:rFonts w:eastAsiaTheme="minorEastAsia"/>
          <w:b/>
          <w:lang w:eastAsia="zh-CN"/>
        </w:rPr>
      </w:pPr>
      <w:r w:rsidRPr="009779FE">
        <w:rPr>
          <w:rFonts w:eastAsiaTheme="minorEastAsia"/>
          <w:b/>
          <w:lang w:eastAsia="zh-CN"/>
        </w:rPr>
        <w:t>Proposal 4: Beam information is need for unknown PUCCH SCell activation for TCI determination for both valid TA and invalid TA and both FR1 and FR2.</w:t>
      </w:r>
    </w:p>
    <w:p w:rsidR="009779FE" w:rsidRPr="00C72E37" w:rsidRDefault="009779FE" w:rsidP="00C83628">
      <w:pPr>
        <w:rPr>
          <w:rFonts w:eastAsiaTheme="minorEastAsia"/>
          <w:lang w:eastAsia="zh-CN"/>
        </w:rPr>
      </w:pPr>
      <w:r w:rsidRPr="00C72E37">
        <w:rPr>
          <w:rFonts w:eastAsiaTheme="minorEastAsia"/>
          <w:lang w:eastAsia="zh-CN"/>
        </w:rPr>
        <w:t>Given the analysis above, we summarize the cases as follows:</w:t>
      </w:r>
    </w:p>
    <w:p w:rsidR="009779FE" w:rsidRDefault="009779FE" w:rsidP="00C83628">
      <w:pPr>
        <w:rPr>
          <w:rFonts w:eastAsiaTheme="minorEastAsia"/>
          <w:b/>
          <w:lang w:eastAsia="zh-CN"/>
        </w:rPr>
      </w:pPr>
      <w:r>
        <w:rPr>
          <w:rFonts w:eastAsiaTheme="minorEastAsia"/>
          <w:b/>
          <w:lang w:eastAsia="zh-CN"/>
        </w:rPr>
        <w:lastRenderedPageBreak/>
        <w:t xml:space="preserve">Table I. Beam indication cases </w:t>
      </w:r>
    </w:p>
    <w:tbl>
      <w:tblPr>
        <w:tblStyle w:val="a7"/>
        <w:tblW w:w="0" w:type="auto"/>
        <w:tblLook w:val="04A0" w:firstRow="1" w:lastRow="0" w:firstColumn="1" w:lastColumn="0" w:noHBand="0" w:noVBand="1"/>
      </w:tblPr>
      <w:tblGrid>
        <w:gridCol w:w="1912"/>
        <w:gridCol w:w="1912"/>
        <w:gridCol w:w="1912"/>
        <w:gridCol w:w="1913"/>
        <w:gridCol w:w="1913"/>
      </w:tblGrid>
      <w:tr w:rsidR="009779FE" w:rsidTr="009779FE">
        <w:tc>
          <w:tcPr>
            <w:tcW w:w="1912" w:type="dxa"/>
          </w:tcPr>
          <w:p w:rsidR="009779FE" w:rsidRDefault="009779FE" w:rsidP="009779FE">
            <w:pPr>
              <w:rPr>
                <w:rFonts w:eastAsiaTheme="minorEastAsia"/>
                <w:b/>
                <w:lang w:val="en-US" w:eastAsia="zh-CN"/>
              </w:rPr>
            </w:pPr>
            <w:r>
              <w:rPr>
                <w:rFonts w:eastAsiaTheme="minorEastAsia"/>
                <w:b/>
                <w:lang w:val="en-US" w:eastAsia="zh-CN"/>
              </w:rPr>
              <w:t>To be activated PUCCH SCell</w:t>
            </w:r>
          </w:p>
        </w:tc>
        <w:tc>
          <w:tcPr>
            <w:tcW w:w="1912" w:type="dxa"/>
          </w:tcPr>
          <w:p w:rsidR="009779FE" w:rsidRPr="009779FE" w:rsidRDefault="009779FE" w:rsidP="00C83628">
            <w:pPr>
              <w:rPr>
                <w:rFonts w:eastAsiaTheme="minorEastAsia"/>
                <w:b/>
                <w:lang w:val="en-US" w:eastAsia="zh-CN"/>
              </w:rPr>
            </w:pPr>
            <w:r>
              <w:rPr>
                <w:rFonts w:eastAsiaTheme="minorEastAsia"/>
                <w:b/>
                <w:lang w:val="en-US" w:eastAsia="zh-CN"/>
              </w:rPr>
              <w:t>Valid/Invalid TA</w:t>
            </w:r>
          </w:p>
        </w:tc>
        <w:tc>
          <w:tcPr>
            <w:tcW w:w="1912" w:type="dxa"/>
          </w:tcPr>
          <w:p w:rsidR="009779FE" w:rsidRDefault="00816A25" w:rsidP="00C83628">
            <w:pPr>
              <w:rPr>
                <w:rFonts w:eastAsiaTheme="minorEastAsia"/>
                <w:b/>
                <w:lang w:val="en-US" w:eastAsia="zh-CN"/>
              </w:rPr>
            </w:pPr>
            <w:r>
              <w:rPr>
                <w:rFonts w:eastAsiaTheme="minorEastAsia"/>
                <w:b/>
                <w:lang w:val="en-US" w:eastAsia="zh-CN"/>
              </w:rPr>
              <w:t>Beam information for RACH</w:t>
            </w:r>
          </w:p>
        </w:tc>
        <w:tc>
          <w:tcPr>
            <w:tcW w:w="1913" w:type="dxa"/>
          </w:tcPr>
          <w:p w:rsidR="009779FE" w:rsidRDefault="00816A25" w:rsidP="00C83628">
            <w:pPr>
              <w:rPr>
                <w:rFonts w:eastAsiaTheme="minorEastAsia"/>
                <w:b/>
                <w:lang w:val="en-US" w:eastAsia="zh-CN"/>
              </w:rPr>
            </w:pPr>
            <w:r>
              <w:rPr>
                <w:rFonts w:eastAsiaTheme="minorEastAsia" w:hint="eastAsia"/>
                <w:b/>
                <w:lang w:val="en-US" w:eastAsia="zh-CN"/>
              </w:rPr>
              <w:t xml:space="preserve">Beam information for </w:t>
            </w:r>
            <w:r w:rsidR="00C72E37">
              <w:rPr>
                <w:rFonts w:eastAsiaTheme="minorEastAsia"/>
                <w:b/>
                <w:lang w:val="en-US" w:eastAsia="zh-CN"/>
              </w:rPr>
              <w:t xml:space="preserve">UL spatial </w:t>
            </w:r>
          </w:p>
        </w:tc>
        <w:tc>
          <w:tcPr>
            <w:tcW w:w="1913" w:type="dxa"/>
          </w:tcPr>
          <w:p w:rsidR="009779FE" w:rsidRDefault="00C72E37" w:rsidP="00C83628">
            <w:pPr>
              <w:rPr>
                <w:rFonts w:eastAsiaTheme="minorEastAsia"/>
                <w:b/>
                <w:lang w:val="en-US" w:eastAsia="zh-CN"/>
              </w:rPr>
            </w:pPr>
            <w:r>
              <w:rPr>
                <w:rFonts w:eastAsiaTheme="minorEastAsia" w:hint="eastAsia"/>
                <w:b/>
                <w:lang w:val="en-US" w:eastAsia="zh-CN"/>
              </w:rPr>
              <w:t>Beam</w:t>
            </w:r>
            <w:r>
              <w:rPr>
                <w:rFonts w:eastAsiaTheme="minorEastAsia"/>
                <w:b/>
                <w:lang w:val="en-US" w:eastAsia="zh-CN"/>
              </w:rPr>
              <w:t xml:space="preserve"> information for TCI </w:t>
            </w:r>
          </w:p>
        </w:tc>
      </w:tr>
      <w:tr w:rsidR="009779FE" w:rsidTr="009779FE">
        <w:tc>
          <w:tcPr>
            <w:tcW w:w="1912" w:type="dxa"/>
            <w:vMerge w:val="restart"/>
          </w:tcPr>
          <w:p w:rsidR="009779FE" w:rsidRPr="007D1095" w:rsidRDefault="009779FE" w:rsidP="00C83628">
            <w:pPr>
              <w:rPr>
                <w:rFonts w:eastAsiaTheme="minorEastAsia"/>
                <w:lang w:val="en-US" w:eastAsia="zh-CN"/>
              </w:rPr>
            </w:pPr>
            <w:r w:rsidRPr="007D1095">
              <w:rPr>
                <w:rFonts w:eastAsiaTheme="minorEastAsia"/>
                <w:lang w:val="en-US" w:eastAsia="zh-CN"/>
              </w:rPr>
              <w:t xml:space="preserve">Unknown FR1 without contiguous </w:t>
            </w:r>
            <w:r w:rsidR="007D1095" w:rsidRPr="007D1095">
              <w:rPr>
                <w:rFonts w:eastAsiaTheme="minorEastAsia"/>
                <w:lang w:val="en-US" w:eastAsia="zh-CN"/>
              </w:rPr>
              <w:t>active cell</w:t>
            </w:r>
          </w:p>
        </w:tc>
        <w:tc>
          <w:tcPr>
            <w:tcW w:w="1912" w:type="dxa"/>
          </w:tcPr>
          <w:p w:rsidR="009779FE" w:rsidRPr="007D1095" w:rsidRDefault="007D1095" w:rsidP="00C83628">
            <w:pPr>
              <w:rPr>
                <w:rFonts w:eastAsiaTheme="minorEastAsia"/>
                <w:lang w:val="en-US" w:eastAsia="zh-CN"/>
              </w:rPr>
            </w:pPr>
            <w:r w:rsidRPr="007D1095">
              <w:rPr>
                <w:rFonts w:eastAsiaTheme="minorEastAsia" w:hint="eastAsia"/>
                <w:lang w:val="en-US" w:eastAsia="zh-CN"/>
              </w:rPr>
              <w:t>V</w:t>
            </w:r>
            <w:r w:rsidRPr="007D1095">
              <w:rPr>
                <w:rFonts w:eastAsiaTheme="minorEastAsia"/>
                <w:lang w:val="en-US" w:eastAsia="zh-CN"/>
              </w:rPr>
              <w:t>alid TA</w:t>
            </w:r>
          </w:p>
        </w:tc>
        <w:tc>
          <w:tcPr>
            <w:tcW w:w="1912" w:type="dxa"/>
          </w:tcPr>
          <w:p w:rsidR="009779FE" w:rsidRPr="00C72E37" w:rsidRDefault="00C72E37" w:rsidP="00C83628">
            <w:pPr>
              <w:rPr>
                <w:rFonts w:eastAsiaTheme="minorEastAsia"/>
                <w:lang w:val="en-US" w:eastAsia="zh-CN"/>
              </w:rPr>
            </w:pPr>
            <w:r>
              <w:rPr>
                <w:rFonts w:eastAsiaTheme="minorEastAsia"/>
                <w:lang w:val="en-US" w:eastAsia="zh-CN"/>
              </w:rPr>
              <w:t>No</w:t>
            </w:r>
          </w:p>
        </w:tc>
        <w:tc>
          <w:tcPr>
            <w:tcW w:w="1913" w:type="dxa"/>
          </w:tcPr>
          <w:p w:rsidR="009779FE" w:rsidRPr="00C72E37" w:rsidRDefault="00C72E37" w:rsidP="00C83628">
            <w:pPr>
              <w:rPr>
                <w:rFonts w:eastAsiaTheme="minorEastAsia"/>
                <w:lang w:val="en-US" w:eastAsia="zh-CN"/>
              </w:rPr>
            </w:pPr>
            <w:r w:rsidRPr="00C72E37">
              <w:rPr>
                <w:rFonts w:eastAsiaTheme="minorEastAsia" w:hint="eastAsia"/>
                <w:lang w:val="en-US" w:eastAsia="zh-CN"/>
              </w:rPr>
              <w:t>No</w:t>
            </w:r>
          </w:p>
        </w:tc>
        <w:tc>
          <w:tcPr>
            <w:tcW w:w="1913" w:type="dxa"/>
          </w:tcPr>
          <w:p w:rsidR="009779FE" w:rsidRPr="00C72E37" w:rsidRDefault="00C72E37" w:rsidP="00C83628">
            <w:pPr>
              <w:rPr>
                <w:rFonts w:eastAsiaTheme="minorEastAsia"/>
                <w:lang w:val="en-US" w:eastAsia="zh-CN"/>
              </w:rPr>
            </w:pPr>
            <w:r w:rsidRPr="00C72E37">
              <w:rPr>
                <w:rFonts w:eastAsiaTheme="minorEastAsia" w:hint="eastAsia"/>
                <w:lang w:val="en-US" w:eastAsia="zh-CN"/>
              </w:rPr>
              <w:t>Yes</w:t>
            </w:r>
          </w:p>
        </w:tc>
      </w:tr>
      <w:tr w:rsidR="009779FE" w:rsidTr="009779FE">
        <w:tc>
          <w:tcPr>
            <w:tcW w:w="1912" w:type="dxa"/>
            <w:vMerge/>
          </w:tcPr>
          <w:p w:rsidR="009779FE" w:rsidRPr="007D1095" w:rsidRDefault="009779FE" w:rsidP="00C83628">
            <w:pPr>
              <w:rPr>
                <w:rFonts w:eastAsiaTheme="minorEastAsia"/>
                <w:lang w:val="en-US" w:eastAsia="zh-CN"/>
              </w:rPr>
            </w:pPr>
          </w:p>
        </w:tc>
        <w:tc>
          <w:tcPr>
            <w:tcW w:w="1912" w:type="dxa"/>
          </w:tcPr>
          <w:p w:rsidR="009779FE" w:rsidRPr="007D1095" w:rsidRDefault="007D1095" w:rsidP="00C83628">
            <w:pPr>
              <w:rPr>
                <w:rFonts w:eastAsiaTheme="minorEastAsia"/>
                <w:lang w:val="en-US" w:eastAsia="zh-CN"/>
              </w:rPr>
            </w:pPr>
            <w:r w:rsidRPr="007D1095">
              <w:rPr>
                <w:rFonts w:eastAsiaTheme="minorEastAsia" w:hint="eastAsia"/>
                <w:lang w:val="en-US" w:eastAsia="zh-CN"/>
              </w:rPr>
              <w:t>I</w:t>
            </w:r>
            <w:r w:rsidRPr="007D1095">
              <w:rPr>
                <w:rFonts w:eastAsiaTheme="minorEastAsia"/>
                <w:lang w:val="en-US" w:eastAsia="zh-CN"/>
              </w:rPr>
              <w:t>nvalid TA</w:t>
            </w:r>
          </w:p>
        </w:tc>
        <w:tc>
          <w:tcPr>
            <w:tcW w:w="1912" w:type="dxa"/>
          </w:tcPr>
          <w:p w:rsidR="009779FE" w:rsidRPr="00C72E37" w:rsidRDefault="00C72E37" w:rsidP="00C83628">
            <w:pPr>
              <w:rPr>
                <w:rFonts w:eastAsiaTheme="minorEastAsia"/>
                <w:lang w:val="en-US" w:eastAsia="zh-CN"/>
              </w:rPr>
            </w:pPr>
            <w:r w:rsidRPr="00C72E37">
              <w:rPr>
                <w:rFonts w:eastAsiaTheme="minorEastAsia"/>
                <w:lang w:val="en-US" w:eastAsia="zh-CN"/>
              </w:rPr>
              <w:t>Y</w:t>
            </w:r>
            <w:r w:rsidRPr="00C72E37">
              <w:rPr>
                <w:rFonts w:eastAsiaTheme="minorEastAsia" w:hint="eastAsia"/>
                <w:lang w:val="en-US" w:eastAsia="zh-CN"/>
              </w:rPr>
              <w:t>es</w:t>
            </w:r>
          </w:p>
        </w:tc>
        <w:tc>
          <w:tcPr>
            <w:tcW w:w="1913" w:type="dxa"/>
          </w:tcPr>
          <w:p w:rsidR="009779FE" w:rsidRPr="00C72E37" w:rsidRDefault="00C72E37" w:rsidP="00C83628">
            <w:pPr>
              <w:rPr>
                <w:rFonts w:eastAsiaTheme="minorEastAsia"/>
                <w:lang w:val="en-US" w:eastAsia="zh-CN"/>
              </w:rPr>
            </w:pPr>
            <w:r w:rsidRPr="00C72E37">
              <w:rPr>
                <w:rFonts w:eastAsiaTheme="minorEastAsia" w:hint="eastAsia"/>
                <w:lang w:val="en-US" w:eastAsia="zh-CN"/>
              </w:rPr>
              <w:t>No</w:t>
            </w:r>
          </w:p>
        </w:tc>
        <w:tc>
          <w:tcPr>
            <w:tcW w:w="1913" w:type="dxa"/>
          </w:tcPr>
          <w:p w:rsidR="009779FE" w:rsidRPr="00C72E37" w:rsidRDefault="00C72E37" w:rsidP="00C83628">
            <w:pPr>
              <w:rPr>
                <w:rFonts w:eastAsiaTheme="minorEastAsia"/>
                <w:lang w:val="en-US" w:eastAsia="zh-CN"/>
              </w:rPr>
            </w:pPr>
            <w:r w:rsidRPr="00C72E37">
              <w:rPr>
                <w:rFonts w:eastAsiaTheme="minorEastAsia" w:hint="eastAsia"/>
                <w:lang w:val="en-US" w:eastAsia="zh-CN"/>
              </w:rPr>
              <w:t>Yes</w:t>
            </w:r>
          </w:p>
        </w:tc>
      </w:tr>
      <w:tr w:rsidR="007D1095" w:rsidTr="009779FE">
        <w:tc>
          <w:tcPr>
            <w:tcW w:w="1912" w:type="dxa"/>
            <w:vMerge w:val="restart"/>
          </w:tcPr>
          <w:p w:rsidR="007D1095" w:rsidRPr="007D1095" w:rsidRDefault="007D1095" w:rsidP="007D1095">
            <w:pPr>
              <w:rPr>
                <w:rFonts w:eastAsiaTheme="minorEastAsia"/>
                <w:lang w:val="en-US" w:eastAsia="zh-CN"/>
              </w:rPr>
            </w:pPr>
            <w:r w:rsidRPr="007D1095">
              <w:rPr>
                <w:rFonts w:eastAsiaTheme="minorEastAsia" w:hint="eastAsia"/>
                <w:lang w:val="en-US" w:eastAsia="zh-CN"/>
              </w:rPr>
              <w:t>U</w:t>
            </w:r>
            <w:r w:rsidRPr="007D1095">
              <w:rPr>
                <w:rFonts w:eastAsiaTheme="minorEastAsia"/>
                <w:lang w:val="en-US" w:eastAsia="zh-CN"/>
              </w:rPr>
              <w:t>nknown FR1 without intra-band active cell</w:t>
            </w:r>
          </w:p>
        </w:tc>
        <w:tc>
          <w:tcPr>
            <w:tcW w:w="1912" w:type="dxa"/>
          </w:tcPr>
          <w:p w:rsidR="007D1095" w:rsidRPr="007D1095" w:rsidRDefault="007D1095" w:rsidP="007D1095">
            <w:pPr>
              <w:rPr>
                <w:rFonts w:eastAsiaTheme="minorEastAsia"/>
                <w:lang w:val="en-US" w:eastAsia="zh-CN"/>
              </w:rPr>
            </w:pPr>
            <w:r w:rsidRPr="007D1095">
              <w:rPr>
                <w:rFonts w:eastAsiaTheme="minorEastAsia" w:hint="eastAsia"/>
                <w:lang w:val="en-US" w:eastAsia="zh-CN"/>
              </w:rPr>
              <w:t>V</w:t>
            </w:r>
            <w:r w:rsidRPr="007D1095">
              <w:rPr>
                <w:rFonts w:eastAsiaTheme="minorEastAsia"/>
                <w:lang w:val="en-US" w:eastAsia="zh-CN"/>
              </w:rPr>
              <w:t>alid TA</w:t>
            </w:r>
          </w:p>
        </w:tc>
        <w:tc>
          <w:tcPr>
            <w:tcW w:w="1912" w:type="dxa"/>
          </w:tcPr>
          <w:p w:rsidR="007D1095" w:rsidRPr="00C72E37" w:rsidRDefault="00C72E37" w:rsidP="007D1095">
            <w:pPr>
              <w:rPr>
                <w:rFonts w:eastAsiaTheme="minorEastAsia"/>
                <w:lang w:val="en-US" w:eastAsia="zh-CN"/>
              </w:rPr>
            </w:pPr>
            <w:r>
              <w:rPr>
                <w:rFonts w:eastAsiaTheme="minorEastAsia" w:hint="eastAsia"/>
                <w:lang w:val="en-US" w:eastAsia="zh-CN"/>
              </w:rPr>
              <w:t>No</w:t>
            </w:r>
          </w:p>
        </w:tc>
        <w:tc>
          <w:tcPr>
            <w:tcW w:w="1913" w:type="dxa"/>
          </w:tcPr>
          <w:p w:rsidR="007D1095" w:rsidRPr="00C72E37" w:rsidRDefault="00C72E37" w:rsidP="007D1095">
            <w:pPr>
              <w:rPr>
                <w:rFonts w:eastAsiaTheme="minorEastAsia"/>
                <w:lang w:val="en-US" w:eastAsia="zh-CN"/>
              </w:rPr>
            </w:pPr>
            <w:r w:rsidRPr="00C72E37">
              <w:rPr>
                <w:rFonts w:eastAsiaTheme="minorEastAsia" w:hint="eastAsia"/>
                <w:lang w:val="en-US" w:eastAsia="zh-CN"/>
              </w:rPr>
              <w:t>Yes</w:t>
            </w:r>
          </w:p>
        </w:tc>
        <w:tc>
          <w:tcPr>
            <w:tcW w:w="1913" w:type="dxa"/>
          </w:tcPr>
          <w:p w:rsidR="007D1095" w:rsidRPr="00C72E37" w:rsidRDefault="00C72E37" w:rsidP="007D1095">
            <w:pPr>
              <w:rPr>
                <w:rFonts w:eastAsiaTheme="minorEastAsia"/>
                <w:lang w:val="en-US" w:eastAsia="zh-CN"/>
              </w:rPr>
            </w:pPr>
            <w:r w:rsidRPr="00C72E37">
              <w:rPr>
                <w:rFonts w:eastAsiaTheme="minorEastAsia" w:hint="eastAsia"/>
                <w:lang w:val="en-US" w:eastAsia="zh-CN"/>
              </w:rPr>
              <w:t>Yes</w:t>
            </w:r>
          </w:p>
        </w:tc>
      </w:tr>
      <w:tr w:rsidR="007D1095" w:rsidTr="009779FE">
        <w:tc>
          <w:tcPr>
            <w:tcW w:w="1912" w:type="dxa"/>
            <w:vMerge/>
          </w:tcPr>
          <w:p w:rsidR="007D1095" w:rsidRPr="007D1095" w:rsidRDefault="007D1095" w:rsidP="007D1095">
            <w:pPr>
              <w:rPr>
                <w:rFonts w:eastAsiaTheme="minorEastAsia"/>
                <w:lang w:val="en-US" w:eastAsia="zh-CN"/>
              </w:rPr>
            </w:pPr>
          </w:p>
        </w:tc>
        <w:tc>
          <w:tcPr>
            <w:tcW w:w="1912" w:type="dxa"/>
          </w:tcPr>
          <w:p w:rsidR="007D1095" w:rsidRPr="007D1095" w:rsidRDefault="007D1095" w:rsidP="007D1095">
            <w:pPr>
              <w:rPr>
                <w:rFonts w:eastAsiaTheme="minorEastAsia"/>
                <w:lang w:val="en-US" w:eastAsia="zh-CN"/>
              </w:rPr>
            </w:pPr>
            <w:r w:rsidRPr="007D1095">
              <w:rPr>
                <w:rFonts w:eastAsiaTheme="minorEastAsia" w:hint="eastAsia"/>
                <w:lang w:val="en-US" w:eastAsia="zh-CN"/>
              </w:rPr>
              <w:t>I</w:t>
            </w:r>
            <w:r w:rsidRPr="007D1095">
              <w:rPr>
                <w:rFonts w:eastAsiaTheme="minorEastAsia"/>
                <w:lang w:val="en-US" w:eastAsia="zh-CN"/>
              </w:rPr>
              <w:t>nvalid TA</w:t>
            </w:r>
          </w:p>
        </w:tc>
        <w:tc>
          <w:tcPr>
            <w:tcW w:w="1912" w:type="dxa"/>
          </w:tcPr>
          <w:p w:rsidR="007D1095" w:rsidRPr="00C72E37" w:rsidRDefault="00C72E37" w:rsidP="007D1095">
            <w:pPr>
              <w:rPr>
                <w:rFonts w:eastAsiaTheme="minorEastAsia"/>
                <w:lang w:val="en-US" w:eastAsia="zh-CN"/>
              </w:rPr>
            </w:pPr>
            <w:r w:rsidRPr="00C72E37">
              <w:rPr>
                <w:rFonts w:eastAsiaTheme="minorEastAsia" w:hint="eastAsia"/>
                <w:lang w:val="en-US" w:eastAsia="zh-CN"/>
              </w:rPr>
              <w:t>Yes</w:t>
            </w:r>
          </w:p>
        </w:tc>
        <w:tc>
          <w:tcPr>
            <w:tcW w:w="1913" w:type="dxa"/>
          </w:tcPr>
          <w:p w:rsidR="007D1095" w:rsidRPr="00C72E37" w:rsidRDefault="00C72E37" w:rsidP="007D1095">
            <w:pPr>
              <w:rPr>
                <w:rFonts w:eastAsiaTheme="minorEastAsia"/>
                <w:lang w:val="en-US" w:eastAsia="zh-CN"/>
              </w:rPr>
            </w:pPr>
            <w:r w:rsidRPr="00C72E37">
              <w:rPr>
                <w:rFonts w:eastAsiaTheme="minorEastAsia" w:hint="eastAsia"/>
                <w:lang w:val="en-US" w:eastAsia="zh-CN"/>
              </w:rPr>
              <w:t>Yes</w:t>
            </w:r>
          </w:p>
        </w:tc>
        <w:tc>
          <w:tcPr>
            <w:tcW w:w="1913" w:type="dxa"/>
          </w:tcPr>
          <w:p w:rsidR="007D1095" w:rsidRPr="00C72E37" w:rsidRDefault="00C72E37" w:rsidP="007D1095">
            <w:pPr>
              <w:rPr>
                <w:rFonts w:eastAsiaTheme="minorEastAsia"/>
                <w:lang w:val="en-US" w:eastAsia="zh-CN"/>
              </w:rPr>
            </w:pPr>
            <w:r w:rsidRPr="00C72E37">
              <w:rPr>
                <w:rFonts w:eastAsiaTheme="minorEastAsia" w:hint="eastAsia"/>
                <w:lang w:val="en-US" w:eastAsia="zh-CN"/>
              </w:rPr>
              <w:t>Yes</w:t>
            </w:r>
          </w:p>
        </w:tc>
      </w:tr>
    </w:tbl>
    <w:p w:rsidR="009779FE" w:rsidRPr="009779FE" w:rsidRDefault="009779FE" w:rsidP="00C83628">
      <w:pPr>
        <w:rPr>
          <w:rFonts w:eastAsiaTheme="minorEastAsia"/>
          <w:b/>
          <w:lang w:val="en-US" w:eastAsia="zh-CN"/>
        </w:rPr>
      </w:pPr>
    </w:p>
    <w:p w:rsidR="00822F90" w:rsidRDefault="00822F90" w:rsidP="00822F90">
      <w:pPr>
        <w:pStyle w:val="3"/>
        <w:rPr>
          <w:lang w:val="en-US" w:eastAsia="zh-CN"/>
        </w:rPr>
      </w:pPr>
      <w:r w:rsidRPr="00822F90">
        <w:rPr>
          <w:lang w:val="en-US" w:eastAsia="zh-CN"/>
        </w:rPr>
        <w:t>2.3 Applicability</w:t>
      </w:r>
    </w:p>
    <w:p w:rsidR="008C42D0" w:rsidRDefault="00E82294" w:rsidP="0024482C">
      <w:pPr>
        <w:jc w:val="both"/>
        <w:rPr>
          <w:rFonts w:eastAsiaTheme="minorEastAsia"/>
          <w:lang w:val="en-US" w:eastAsia="zh-CN"/>
        </w:rPr>
      </w:pPr>
      <w:r>
        <w:rPr>
          <w:rFonts w:eastAsiaTheme="minorEastAsia"/>
          <w:lang w:val="en-US" w:eastAsia="zh-CN"/>
        </w:rPr>
        <w:t xml:space="preserve">The first issue related to the applicability of requirements is about the beam correspondence ability. </w:t>
      </w:r>
      <w:r w:rsidR="00925831">
        <w:rPr>
          <w:rFonts w:eastAsiaTheme="minorEastAsia"/>
          <w:lang w:val="en-US" w:eastAsia="zh-CN"/>
        </w:rPr>
        <w:t xml:space="preserve">Based on the discussion in the last meeting, it was explained that for FR2, the UL spatial relation requirements </w:t>
      </w:r>
      <w:r w:rsidR="00C6561A">
        <w:rPr>
          <w:rFonts w:eastAsiaTheme="minorEastAsia"/>
          <w:lang w:val="en-US" w:eastAsia="zh-CN"/>
        </w:rPr>
        <w:t xml:space="preserve">apply when UE support </w:t>
      </w:r>
      <w:r w:rsidR="00C6561A" w:rsidRPr="00C6561A">
        <w:rPr>
          <w:rFonts w:eastAsiaTheme="minorEastAsia"/>
          <w:lang w:val="en-US" w:eastAsia="zh-CN"/>
        </w:rPr>
        <w:t>beamCorrespondenceWithoutUL-BeamSweeping</w:t>
      </w:r>
      <w:r w:rsidR="00C6561A">
        <w:rPr>
          <w:rFonts w:eastAsiaTheme="minorEastAsia"/>
          <w:lang w:val="en-US" w:eastAsia="zh-CN"/>
        </w:rPr>
        <w:t xml:space="preserve">. If UE is not capable of this capability, it is not possible to define the delay requirements. For one of the option that the condition is that UE supports either </w:t>
      </w:r>
      <w:r w:rsidR="00C6561A" w:rsidRPr="00C6561A">
        <w:rPr>
          <w:rFonts w:eastAsiaTheme="minorEastAsia"/>
          <w:lang w:val="en-US" w:eastAsia="zh-CN"/>
        </w:rPr>
        <w:t>beamCorrespondenceWithoutUL-BeamSweeping</w:t>
      </w:r>
      <w:r w:rsidR="00C6561A">
        <w:rPr>
          <w:rFonts w:eastAsiaTheme="minorEastAsia"/>
          <w:lang w:val="en-US" w:eastAsia="zh-CN"/>
        </w:rPr>
        <w:t xml:space="preserve"> or </w:t>
      </w:r>
      <w:r w:rsidR="00C6561A" w:rsidRPr="00C6561A">
        <w:rPr>
          <w:rFonts w:eastAsiaTheme="minorEastAsia"/>
          <w:lang w:val="en-US" w:eastAsia="zh-CN"/>
        </w:rPr>
        <w:t>beamCorrespondenceSSB-based-r16</w:t>
      </w:r>
      <w:r w:rsidR="00C6561A">
        <w:rPr>
          <w:rFonts w:eastAsiaTheme="minorEastAsia"/>
          <w:lang w:val="en-US" w:eastAsia="zh-CN"/>
        </w:rPr>
        <w:t xml:space="preserve">. According to the definition in TS 38.306, UE supports </w:t>
      </w:r>
      <w:r w:rsidR="00C6561A" w:rsidRPr="00C6561A">
        <w:rPr>
          <w:rFonts w:eastAsiaTheme="minorEastAsia"/>
          <w:lang w:val="en-US" w:eastAsia="zh-CN"/>
        </w:rPr>
        <w:t>beamCorrespondenceSSB-based-r16</w:t>
      </w:r>
      <w:r w:rsidR="00C6561A">
        <w:rPr>
          <w:rFonts w:eastAsiaTheme="minorEastAsia"/>
          <w:lang w:val="en-US" w:eastAsia="zh-CN"/>
        </w:rPr>
        <w:t xml:space="preserve"> should also indicates support of </w:t>
      </w:r>
      <w:r w:rsidR="00C6561A" w:rsidRPr="00C6561A">
        <w:rPr>
          <w:rFonts w:eastAsiaTheme="minorEastAsia"/>
          <w:lang w:val="en-US" w:eastAsia="zh-CN"/>
        </w:rPr>
        <w:t>beamCorrespondenceWithoutUL-BeamSweeping</w:t>
      </w:r>
      <w:r w:rsidR="00C6561A">
        <w:rPr>
          <w:rFonts w:eastAsiaTheme="minorEastAsia"/>
          <w:lang w:val="en-US" w:eastAsia="zh-CN"/>
        </w:rPr>
        <w:t>. Thus, it is more straightforward that</w:t>
      </w:r>
      <w:r w:rsidR="008C42D0">
        <w:rPr>
          <w:rFonts w:eastAsiaTheme="minorEastAsia"/>
          <w:lang w:val="en-US" w:eastAsia="zh-CN"/>
        </w:rPr>
        <w:t xml:space="preserve"> applicability of the requirements depend on whether the </w:t>
      </w:r>
      <w:r w:rsidR="008C42D0" w:rsidRPr="00C6561A">
        <w:rPr>
          <w:rFonts w:eastAsiaTheme="minorEastAsia"/>
          <w:lang w:val="en-US" w:eastAsia="zh-CN"/>
        </w:rPr>
        <w:t>beamCorrespondenceWithoutUL-BeamSweeping</w:t>
      </w:r>
      <w:r w:rsidR="008C42D0">
        <w:rPr>
          <w:rFonts w:eastAsiaTheme="minorEastAsia"/>
          <w:lang w:val="en-US" w:eastAsia="zh-CN"/>
        </w:rPr>
        <w:t xml:space="preserve"> is supported or not.</w:t>
      </w:r>
    </w:p>
    <w:p w:rsidR="008C42D0" w:rsidRPr="0024482C" w:rsidRDefault="008C42D0" w:rsidP="0024482C">
      <w:pPr>
        <w:jc w:val="both"/>
        <w:rPr>
          <w:rFonts w:eastAsiaTheme="minorEastAsia"/>
          <w:b/>
          <w:lang w:val="en-US" w:eastAsia="zh-CN"/>
        </w:rPr>
      </w:pPr>
      <w:r w:rsidRPr="0024482C">
        <w:rPr>
          <w:rFonts w:eastAsiaTheme="minorEastAsia"/>
          <w:b/>
          <w:lang w:val="en-US" w:eastAsia="zh-CN"/>
        </w:rPr>
        <w:t xml:space="preserve">Proposal 5: FR2 PUCCH Scell (de)activation requirements apply when UE supports </w:t>
      </w:r>
      <w:r w:rsidR="001F221F" w:rsidRPr="0024482C">
        <w:rPr>
          <w:rFonts w:eastAsiaTheme="minorEastAsia"/>
          <w:b/>
          <w:lang w:val="en-US" w:eastAsia="zh-CN"/>
        </w:rPr>
        <w:t>beamCorrespondenceWithoutUL-BeamSweeping.</w:t>
      </w:r>
    </w:p>
    <w:p w:rsidR="00B51BD5" w:rsidRDefault="008924F2" w:rsidP="00011698">
      <w:pPr>
        <w:rPr>
          <w:rFonts w:eastAsiaTheme="minorEastAsia"/>
          <w:lang w:val="en-US" w:eastAsia="zh-CN"/>
        </w:rPr>
      </w:pPr>
      <w:r w:rsidRPr="008924F2">
        <w:rPr>
          <w:rFonts w:eastAsiaTheme="minorEastAsia" w:hint="eastAsia"/>
          <w:lang w:val="en-US" w:eastAsia="zh-CN"/>
        </w:rPr>
        <w:t xml:space="preserve">It was also spotted </w:t>
      </w:r>
      <w:r w:rsidRPr="008924F2">
        <w:rPr>
          <w:rFonts w:eastAsiaTheme="minorEastAsia"/>
          <w:lang w:val="en-US" w:eastAsia="zh-CN"/>
        </w:rPr>
        <w:t>that</w:t>
      </w:r>
      <w:r w:rsidRPr="008924F2">
        <w:rPr>
          <w:rFonts w:eastAsiaTheme="minorEastAsia" w:hint="eastAsia"/>
          <w:lang w:val="en-US" w:eastAsia="zh-CN"/>
        </w:rPr>
        <w:t xml:space="preserve"> </w:t>
      </w:r>
      <w:r w:rsidRPr="008924F2">
        <w:rPr>
          <w:rFonts w:eastAsiaTheme="minorEastAsia"/>
          <w:lang w:val="en-US" w:eastAsia="zh-CN"/>
        </w:rPr>
        <w:t>the applicability of PUCCH SCell activation requirements shall be discussed in terms of single TAG and multiple TAG/intra-band/inter-band.</w:t>
      </w:r>
      <w:r>
        <w:rPr>
          <w:rFonts w:eastAsiaTheme="minorEastAsia"/>
          <w:lang w:val="en-US" w:eastAsia="zh-CN"/>
        </w:rPr>
        <w:t xml:space="preserve"> From our understanding, the PUCCH SCell could be configured for both single/multiple TAGs and also for intra-band/inter-band. Thus, there is no need to bundle the PUCCH SCell activation with the TAG and intra-band/inter-band case.</w:t>
      </w:r>
    </w:p>
    <w:p w:rsidR="008924F2" w:rsidRPr="008924F2" w:rsidRDefault="008924F2" w:rsidP="00011698">
      <w:pPr>
        <w:rPr>
          <w:rFonts w:eastAsiaTheme="minorEastAsia"/>
          <w:b/>
          <w:lang w:val="en-US" w:eastAsia="zh-CN"/>
        </w:rPr>
      </w:pPr>
      <w:r w:rsidRPr="008924F2">
        <w:rPr>
          <w:rFonts w:eastAsiaTheme="minorEastAsia"/>
          <w:b/>
          <w:lang w:val="en-US" w:eastAsia="zh-CN"/>
        </w:rPr>
        <w:t xml:space="preserve">Observation </w:t>
      </w:r>
      <w:r w:rsidRPr="008924F2">
        <w:rPr>
          <w:rFonts w:eastAsiaTheme="minorEastAsia" w:hint="eastAsia"/>
          <w:b/>
          <w:lang w:val="en-US" w:eastAsia="zh-CN"/>
        </w:rPr>
        <w:t>5</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SCell with single/multiple TAGs or intra-/inter band cases.</w:t>
      </w:r>
    </w:p>
    <w:p w:rsidR="00DF0231" w:rsidRDefault="00DF0231" w:rsidP="00DF0231">
      <w:pPr>
        <w:pStyle w:val="1"/>
        <w:numPr>
          <w:ilvl w:val="0"/>
          <w:numId w:val="1"/>
        </w:numPr>
        <w:rPr>
          <w:lang w:val="en-US"/>
        </w:rPr>
      </w:pPr>
      <w:r w:rsidRPr="002D2977">
        <w:rPr>
          <w:lang w:val="en-US"/>
        </w:rPr>
        <w:t>Conclusions</w:t>
      </w:r>
    </w:p>
    <w:p w:rsidR="008300DE" w:rsidRPr="00C83628" w:rsidRDefault="008300DE" w:rsidP="008300DE">
      <w:pPr>
        <w:rPr>
          <w:rFonts w:eastAsiaTheme="minorEastAsia"/>
          <w:b/>
          <w:lang w:val="en-US" w:eastAsia="zh-CN"/>
        </w:rPr>
      </w:pPr>
      <w:r w:rsidRPr="00C83628">
        <w:rPr>
          <w:rFonts w:eastAsiaTheme="minorEastAsia"/>
          <w:b/>
          <w:lang w:val="en-US" w:eastAsia="zh-CN"/>
        </w:rPr>
        <w:t>Observation 1: The only difference for valid and invalid TA case is the procedure for TA updating, and other procedures should not be tightly bundled with TA status.</w:t>
      </w:r>
    </w:p>
    <w:p w:rsidR="008300DE" w:rsidRPr="00C83628" w:rsidRDefault="008300DE" w:rsidP="008300DE">
      <w:pPr>
        <w:rPr>
          <w:rFonts w:eastAsiaTheme="minorEastAsia"/>
          <w:b/>
          <w:lang w:val="en-US" w:eastAsia="zh-CN"/>
        </w:rPr>
      </w:pPr>
      <w:r w:rsidRPr="00C83628">
        <w:rPr>
          <w:rFonts w:eastAsiaTheme="minorEastAsia"/>
          <w:b/>
          <w:lang w:val="en-US" w:eastAsia="zh-CN"/>
        </w:rPr>
        <w:t xml:space="preserve">Proposal </w:t>
      </w:r>
      <w:r>
        <w:rPr>
          <w:rFonts w:eastAsiaTheme="minorEastAsia"/>
          <w:b/>
          <w:lang w:val="en-US" w:eastAsia="zh-CN"/>
        </w:rPr>
        <w:t>1</w:t>
      </w:r>
      <w:r w:rsidRPr="00C83628">
        <w:rPr>
          <w:rFonts w:eastAsiaTheme="minorEastAsia"/>
          <w:b/>
          <w:lang w:val="en-US" w:eastAsia="zh-CN"/>
        </w:rPr>
        <w:t>: For invalid TA, the ending point should be the point when UE transmit valid CSI report on the target PUCCH SCell</w:t>
      </w:r>
    </w:p>
    <w:p w:rsidR="008300DE" w:rsidRPr="00643D4B" w:rsidRDefault="008300DE" w:rsidP="008300DE">
      <w:pPr>
        <w:rPr>
          <w:rFonts w:eastAsiaTheme="minorEastAsia"/>
          <w:b/>
          <w:lang w:val="en-US" w:eastAsia="zh-CN"/>
        </w:rPr>
      </w:pPr>
      <w:r w:rsidRPr="00643D4B">
        <w:rPr>
          <w:rFonts w:eastAsiaTheme="minorEastAsia"/>
          <w:b/>
          <w:lang w:val="en-US" w:eastAsia="zh-CN"/>
        </w:rPr>
        <w:t>Observation 2: The known condition is that UE has SENT a valid measurement report.</w:t>
      </w:r>
    </w:p>
    <w:p w:rsidR="008300DE" w:rsidRPr="00643D4B" w:rsidRDefault="008300DE" w:rsidP="008300DE">
      <w:pPr>
        <w:rPr>
          <w:rFonts w:eastAsiaTheme="minorEastAsia"/>
          <w:b/>
          <w:lang w:val="en-US" w:eastAsia="zh-CN"/>
        </w:rPr>
      </w:pPr>
      <w:r w:rsidRPr="00643D4B">
        <w:rPr>
          <w:rFonts w:eastAsiaTheme="minorEastAsia" w:hint="eastAsia"/>
          <w:b/>
          <w:lang w:val="en-US" w:eastAsia="zh-CN"/>
        </w:rPr>
        <w:t>O</w:t>
      </w:r>
      <w:r w:rsidRPr="00643D4B">
        <w:rPr>
          <w:rFonts w:eastAsiaTheme="minorEastAsia"/>
          <w:b/>
          <w:lang w:val="en-US" w:eastAsia="zh-CN"/>
        </w:rPr>
        <w:t>bservation 3: Only defining requirements for known case of using L3 measurement report via SpCell will lead to unnecessary power consumptions to UE or introduce much longer delay when activating the cell.</w:t>
      </w:r>
    </w:p>
    <w:p w:rsidR="008300DE" w:rsidRPr="00B719AB" w:rsidRDefault="008300DE" w:rsidP="008300DE">
      <w:pPr>
        <w:rPr>
          <w:rFonts w:eastAsiaTheme="minorEastAsia"/>
          <w:b/>
          <w:lang w:val="en-US" w:eastAsia="zh-CN"/>
        </w:rPr>
      </w:pPr>
      <w:r w:rsidRPr="00B719AB">
        <w:rPr>
          <w:rFonts w:eastAsiaTheme="minorEastAsia"/>
          <w:b/>
          <w:lang w:val="en-US" w:eastAsia="zh-CN"/>
        </w:rPr>
        <w:t>Observation 4: Considering the time line of the WI, LS to RAN1 and RAN2 to consult about the beam indication issues is necessary.</w:t>
      </w:r>
    </w:p>
    <w:p w:rsidR="008300DE" w:rsidRPr="00CD226F" w:rsidRDefault="008300DE" w:rsidP="008300DE">
      <w:pPr>
        <w:rPr>
          <w:rFonts w:eastAsiaTheme="minorEastAsia"/>
          <w:b/>
          <w:lang w:val="en-US" w:eastAsia="zh-CN"/>
        </w:rPr>
      </w:pPr>
      <w:r w:rsidRPr="00CD226F">
        <w:rPr>
          <w:rFonts w:eastAsiaTheme="minorEastAsia" w:hint="eastAsia"/>
          <w:b/>
          <w:lang w:val="en-US" w:eastAsia="zh-CN"/>
        </w:rPr>
        <w:t>P</w:t>
      </w:r>
      <w:r w:rsidRPr="00CD226F">
        <w:rPr>
          <w:rFonts w:eastAsiaTheme="minorEastAsia"/>
          <w:b/>
          <w:lang w:val="en-US" w:eastAsia="zh-CN"/>
        </w:rPr>
        <w:t xml:space="preserve">roposal </w:t>
      </w:r>
      <w:r>
        <w:rPr>
          <w:rFonts w:eastAsiaTheme="minorEastAsia"/>
          <w:b/>
          <w:lang w:val="en-US" w:eastAsia="zh-CN"/>
        </w:rPr>
        <w:t>2</w:t>
      </w:r>
      <w:r w:rsidRPr="00CD226F">
        <w:rPr>
          <w:rFonts w:eastAsiaTheme="minorEastAsia"/>
          <w:b/>
          <w:lang w:val="en-US" w:eastAsia="zh-CN"/>
        </w:rPr>
        <w:t>: RAN4 to send LS to RAN1 and RAN2 to consult the feasibility of beam indication of PUCCH SCell activation:</w:t>
      </w:r>
    </w:p>
    <w:p w:rsidR="008300DE" w:rsidRPr="00CD226F" w:rsidRDefault="008300DE" w:rsidP="008300DE">
      <w:pPr>
        <w:pStyle w:val="a6"/>
        <w:numPr>
          <w:ilvl w:val="0"/>
          <w:numId w:val="31"/>
        </w:numPr>
        <w:ind w:firstLineChars="0"/>
        <w:rPr>
          <w:rFonts w:eastAsiaTheme="minorEastAsia"/>
          <w:b/>
          <w:lang w:val="en-US" w:eastAsia="zh-CN"/>
        </w:rPr>
      </w:pPr>
      <w:r w:rsidRPr="00CD226F">
        <w:rPr>
          <w:rFonts w:eastAsiaTheme="minorEastAsia"/>
          <w:b/>
          <w:lang w:val="en-US" w:eastAsia="zh-CN"/>
        </w:rPr>
        <w:t>Whether UE can report CSI of the PUCCH SCell via the PUCCH of SpCell</w:t>
      </w:r>
    </w:p>
    <w:p w:rsidR="008300DE" w:rsidRPr="00CD226F" w:rsidRDefault="008300DE" w:rsidP="008300DE">
      <w:pPr>
        <w:pStyle w:val="a6"/>
        <w:numPr>
          <w:ilvl w:val="0"/>
          <w:numId w:val="31"/>
        </w:numPr>
        <w:ind w:firstLineChars="0"/>
        <w:rPr>
          <w:rFonts w:eastAsiaTheme="minorEastAsia"/>
          <w:b/>
          <w:lang w:val="en-US" w:eastAsia="zh-CN"/>
        </w:rPr>
      </w:pPr>
      <w:r w:rsidRPr="00CD226F">
        <w:rPr>
          <w:rFonts w:eastAsiaTheme="minorEastAsia"/>
          <w:b/>
          <w:lang w:val="en-US" w:eastAsia="zh-CN"/>
        </w:rPr>
        <w:t xml:space="preserve">Whether CBRA can be supported on PUCCH SCell </w:t>
      </w:r>
      <w:r w:rsidRPr="00CD226F">
        <w:rPr>
          <w:rFonts w:eastAsiaTheme="minorEastAsia"/>
          <w:b/>
          <w:lang w:eastAsia="zh-CN"/>
        </w:rPr>
        <w:t>for the advantages of facilitating the unknown PUCCH SCell activation with invalid TA</w:t>
      </w:r>
    </w:p>
    <w:p w:rsidR="008300DE" w:rsidRDefault="008300DE" w:rsidP="008300DE">
      <w:pPr>
        <w:rPr>
          <w:rFonts w:eastAsiaTheme="minorEastAsia"/>
          <w:b/>
          <w:lang w:val="en-US" w:eastAsia="zh-CN"/>
        </w:rPr>
      </w:pPr>
      <w:r w:rsidRPr="00CD226F">
        <w:rPr>
          <w:rFonts w:eastAsiaTheme="minorEastAsia"/>
          <w:b/>
          <w:lang w:val="en-US" w:eastAsia="zh-CN"/>
        </w:rPr>
        <w:t xml:space="preserve">With the consideration of compatibility issues, the above two </w:t>
      </w:r>
      <w:r>
        <w:rPr>
          <w:rFonts w:eastAsiaTheme="minorEastAsia"/>
          <w:b/>
          <w:lang w:val="en-US" w:eastAsia="zh-CN"/>
        </w:rPr>
        <w:t>aspects should be limited</w:t>
      </w:r>
      <w:r w:rsidRPr="00CD226F">
        <w:rPr>
          <w:rFonts w:eastAsiaTheme="minorEastAsia"/>
          <w:b/>
          <w:lang w:val="en-US" w:eastAsia="zh-CN"/>
        </w:rPr>
        <w:t xml:space="preserve"> to Rel-17 UE.</w:t>
      </w:r>
    </w:p>
    <w:p w:rsidR="008300DE" w:rsidRDefault="008300DE" w:rsidP="008300DE">
      <w:pPr>
        <w:rPr>
          <w:rFonts w:eastAsiaTheme="minorEastAsia"/>
          <w:b/>
          <w:lang w:eastAsia="zh-CN"/>
        </w:rPr>
      </w:pPr>
      <w:r w:rsidRPr="009779FE">
        <w:rPr>
          <w:rFonts w:eastAsiaTheme="minorEastAsia"/>
          <w:b/>
          <w:lang w:val="en-US" w:eastAsia="zh-CN"/>
        </w:rPr>
        <w:lastRenderedPageBreak/>
        <w:t xml:space="preserve">Proposal 3: </w:t>
      </w:r>
      <w:r w:rsidRPr="009779FE">
        <w:rPr>
          <w:rFonts w:eastAsiaTheme="minorEastAsia"/>
          <w:b/>
          <w:lang w:eastAsia="zh-CN"/>
        </w:rPr>
        <w:t>UL spatial relation of PUCCH on target being-activated Scell should be considered for PUCCH Scell activation for invalid case</w:t>
      </w:r>
    </w:p>
    <w:p w:rsidR="008300DE" w:rsidRDefault="008300DE" w:rsidP="008300DE">
      <w:pPr>
        <w:rPr>
          <w:rFonts w:eastAsiaTheme="minorEastAsia"/>
          <w:b/>
          <w:lang w:eastAsia="zh-CN"/>
        </w:rPr>
      </w:pPr>
      <w:r w:rsidRPr="009779FE">
        <w:rPr>
          <w:rFonts w:eastAsiaTheme="minorEastAsia"/>
          <w:b/>
          <w:lang w:eastAsia="zh-CN"/>
        </w:rPr>
        <w:t>Proposal 4: Beam information is need for unknown PUCCH SCell activation for TCI determination for both valid TA and invalid TA and both FR1 and FR2.</w:t>
      </w:r>
    </w:p>
    <w:p w:rsidR="008300DE" w:rsidRPr="0024482C" w:rsidRDefault="008300DE" w:rsidP="008300DE">
      <w:pPr>
        <w:jc w:val="both"/>
        <w:rPr>
          <w:rFonts w:eastAsiaTheme="minorEastAsia"/>
          <w:b/>
          <w:lang w:val="en-US" w:eastAsia="zh-CN"/>
        </w:rPr>
      </w:pPr>
      <w:r w:rsidRPr="0024482C">
        <w:rPr>
          <w:rFonts w:eastAsiaTheme="minorEastAsia"/>
          <w:b/>
          <w:lang w:val="en-US" w:eastAsia="zh-CN"/>
        </w:rPr>
        <w:t>Proposal 5: FR2 PUCCH Scell (de)activation requirements apply when UE supports beamCorrespondenceWithoutUL-BeamSweeping.</w:t>
      </w:r>
    </w:p>
    <w:p w:rsidR="00B51BD5" w:rsidRPr="008300DE" w:rsidRDefault="008300DE" w:rsidP="00BE194F">
      <w:pPr>
        <w:rPr>
          <w:rFonts w:eastAsiaTheme="minorEastAsia"/>
          <w:b/>
          <w:lang w:val="en-US" w:eastAsia="zh-CN"/>
        </w:rPr>
      </w:pPr>
      <w:r w:rsidRPr="008924F2">
        <w:rPr>
          <w:rFonts w:eastAsiaTheme="minorEastAsia"/>
          <w:b/>
          <w:lang w:val="en-US" w:eastAsia="zh-CN"/>
        </w:rPr>
        <w:t xml:space="preserve">Observation </w:t>
      </w:r>
      <w:r w:rsidRPr="008924F2">
        <w:rPr>
          <w:rFonts w:eastAsiaTheme="minorEastAsia" w:hint="eastAsia"/>
          <w:b/>
          <w:lang w:val="en-US" w:eastAsia="zh-CN"/>
        </w:rPr>
        <w:t>5</w:t>
      </w:r>
      <w:r w:rsidRPr="008924F2">
        <w:rPr>
          <w:rFonts w:eastAsiaTheme="minorEastAsia" w:hint="eastAsia"/>
          <w:b/>
          <w:lang w:val="en-US" w:eastAsia="zh-CN"/>
        </w:rPr>
        <w:t>：</w:t>
      </w:r>
      <w:r w:rsidRPr="008924F2">
        <w:rPr>
          <w:rFonts w:eastAsiaTheme="minorEastAsia" w:hint="eastAsia"/>
          <w:b/>
          <w:lang w:val="en-US" w:eastAsia="zh-CN"/>
        </w:rPr>
        <w:t>There</w:t>
      </w:r>
      <w:r w:rsidRPr="008924F2">
        <w:rPr>
          <w:rFonts w:eastAsiaTheme="minorEastAsia"/>
          <w:b/>
          <w:lang w:val="en-US" w:eastAsia="zh-CN"/>
        </w:rPr>
        <w:t xml:space="preserve"> is no needed to bundle the PUCCH SCell with single/multiple TAGs or intra-/inter band cases.</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r>
        <w:rPr>
          <w:lang w:val="en-US"/>
        </w:rPr>
        <w:t xml:space="preserve">[1] </w:t>
      </w:r>
      <w:r w:rsidR="00B51BD5" w:rsidRPr="00B51BD5">
        <w:t>R4-2108345</w:t>
      </w:r>
      <w:r>
        <w:rPr>
          <w:lang w:val="en-US"/>
        </w:rPr>
        <w:t xml:space="preserve"> </w:t>
      </w:r>
      <w:r w:rsidR="00B51BD5" w:rsidRPr="00B51BD5">
        <w:t>WF on further RRM enhancement for NR and MR-DC - PUCCH SCell activation/deactivation requirements</w:t>
      </w:r>
      <w:r>
        <w:rPr>
          <w:lang w:val="en-US"/>
        </w:rPr>
        <w:t xml:space="preserve">, </w:t>
      </w:r>
      <w:r w:rsidR="00B51BD5">
        <w:t>CATT</w:t>
      </w:r>
    </w:p>
    <w:p w:rsidR="00637A49" w:rsidRPr="00637A49" w:rsidRDefault="00637A49" w:rsidP="00637A49">
      <w:pPr>
        <w:rPr>
          <w:rFonts w:eastAsiaTheme="minorEastAsia"/>
        </w:rPr>
      </w:pPr>
    </w:p>
    <w:p w:rsidR="00BA4C0A" w:rsidRPr="00822F90" w:rsidRDefault="00BA4C0A">
      <w:pPr>
        <w:rPr>
          <w:rFonts w:eastAsiaTheme="minorEastAsia"/>
          <w:lang w:val="en-US" w:eastAsia="zh-CN"/>
        </w:rPr>
      </w:pPr>
    </w:p>
    <w:sectPr w:rsidR="00BA4C0A" w:rsidRPr="00822F90"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41E" w:rsidRDefault="006F541E">
      <w:pPr>
        <w:spacing w:after="0"/>
      </w:pPr>
      <w:r>
        <w:separator/>
      </w:r>
    </w:p>
  </w:endnote>
  <w:endnote w:type="continuationSeparator" w:id="0">
    <w:p w:rsidR="006F541E" w:rsidRDefault="006F5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FE" w:rsidRDefault="009779F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779FE" w:rsidRDefault="009779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9FE" w:rsidRDefault="009779F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34CF6">
      <w:rPr>
        <w:rStyle w:val="a5"/>
      </w:rPr>
      <w:t>1</w:t>
    </w:r>
    <w:r>
      <w:rPr>
        <w:rStyle w:val="a5"/>
      </w:rPr>
      <w:fldChar w:fldCharType="end"/>
    </w:r>
  </w:p>
  <w:p w:rsidR="009779FE" w:rsidRDefault="009779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41E" w:rsidRDefault="006F541E">
      <w:pPr>
        <w:spacing w:after="0"/>
      </w:pPr>
      <w:r>
        <w:separator/>
      </w:r>
    </w:p>
  </w:footnote>
  <w:footnote w:type="continuationSeparator" w:id="0">
    <w:p w:rsidR="006F541E" w:rsidRDefault="006F54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21C84"/>
    <w:multiLevelType w:val="hybridMultilevel"/>
    <w:tmpl w:val="71763ECE"/>
    <w:lvl w:ilvl="0" w:tplc="D87CC4BE">
      <w:start w:val="1"/>
      <w:numFmt w:val="bullet"/>
      <w:lvlText w:val="•"/>
      <w:lvlJc w:val="left"/>
      <w:pPr>
        <w:tabs>
          <w:tab w:val="num" w:pos="720"/>
        </w:tabs>
        <w:ind w:left="720" w:hanging="360"/>
      </w:pPr>
      <w:rPr>
        <w:rFonts w:ascii="Arial" w:hAnsi="Arial" w:hint="default"/>
      </w:rPr>
    </w:lvl>
    <w:lvl w:ilvl="1" w:tplc="342CCD44">
      <w:numFmt w:val="bullet"/>
      <w:lvlText w:val="–"/>
      <w:lvlJc w:val="left"/>
      <w:pPr>
        <w:tabs>
          <w:tab w:val="num" w:pos="1440"/>
        </w:tabs>
        <w:ind w:left="1440" w:hanging="360"/>
      </w:pPr>
      <w:rPr>
        <w:rFonts w:ascii="Arial" w:hAnsi="Arial" w:hint="default"/>
      </w:rPr>
    </w:lvl>
    <w:lvl w:ilvl="2" w:tplc="2E84C5A8">
      <w:numFmt w:val="bullet"/>
      <w:lvlText w:val="•"/>
      <w:lvlJc w:val="left"/>
      <w:pPr>
        <w:tabs>
          <w:tab w:val="num" w:pos="2160"/>
        </w:tabs>
        <w:ind w:left="2160" w:hanging="360"/>
      </w:pPr>
      <w:rPr>
        <w:rFonts w:ascii="Arial" w:hAnsi="Arial" w:hint="default"/>
      </w:rPr>
    </w:lvl>
    <w:lvl w:ilvl="3" w:tplc="45C2A514">
      <w:numFmt w:val="bullet"/>
      <w:lvlText w:val="–"/>
      <w:lvlJc w:val="left"/>
      <w:pPr>
        <w:tabs>
          <w:tab w:val="num" w:pos="2880"/>
        </w:tabs>
        <w:ind w:left="2880" w:hanging="360"/>
      </w:pPr>
      <w:rPr>
        <w:rFonts w:ascii="Arial" w:hAnsi="Arial" w:hint="default"/>
      </w:rPr>
    </w:lvl>
    <w:lvl w:ilvl="4" w:tplc="5D3E9528">
      <w:numFmt w:val="bullet"/>
      <w:lvlText w:val="»"/>
      <w:lvlJc w:val="left"/>
      <w:pPr>
        <w:tabs>
          <w:tab w:val="num" w:pos="3600"/>
        </w:tabs>
        <w:ind w:left="3600" w:hanging="360"/>
      </w:pPr>
      <w:rPr>
        <w:rFonts w:ascii="Arial" w:hAnsi="Arial" w:hint="default"/>
      </w:rPr>
    </w:lvl>
    <w:lvl w:ilvl="5" w:tplc="B742D7BC" w:tentative="1">
      <w:start w:val="1"/>
      <w:numFmt w:val="bullet"/>
      <w:lvlText w:val="•"/>
      <w:lvlJc w:val="left"/>
      <w:pPr>
        <w:tabs>
          <w:tab w:val="num" w:pos="4320"/>
        </w:tabs>
        <w:ind w:left="4320" w:hanging="360"/>
      </w:pPr>
      <w:rPr>
        <w:rFonts w:ascii="Arial" w:hAnsi="Arial" w:hint="default"/>
      </w:rPr>
    </w:lvl>
    <w:lvl w:ilvl="6" w:tplc="F648EA5E" w:tentative="1">
      <w:start w:val="1"/>
      <w:numFmt w:val="bullet"/>
      <w:lvlText w:val="•"/>
      <w:lvlJc w:val="left"/>
      <w:pPr>
        <w:tabs>
          <w:tab w:val="num" w:pos="5040"/>
        </w:tabs>
        <w:ind w:left="5040" w:hanging="360"/>
      </w:pPr>
      <w:rPr>
        <w:rFonts w:ascii="Arial" w:hAnsi="Arial" w:hint="default"/>
      </w:rPr>
    </w:lvl>
    <w:lvl w:ilvl="7" w:tplc="B88EA03A" w:tentative="1">
      <w:start w:val="1"/>
      <w:numFmt w:val="bullet"/>
      <w:lvlText w:val="•"/>
      <w:lvlJc w:val="left"/>
      <w:pPr>
        <w:tabs>
          <w:tab w:val="num" w:pos="5760"/>
        </w:tabs>
        <w:ind w:left="5760" w:hanging="360"/>
      </w:pPr>
      <w:rPr>
        <w:rFonts w:ascii="Arial" w:hAnsi="Arial" w:hint="default"/>
      </w:rPr>
    </w:lvl>
    <w:lvl w:ilvl="8" w:tplc="7F764F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1A2850"/>
    <w:multiLevelType w:val="hybridMultilevel"/>
    <w:tmpl w:val="6240CE8E"/>
    <w:lvl w:ilvl="0" w:tplc="CD049DBC">
      <w:start w:val="1"/>
      <w:numFmt w:val="bullet"/>
      <w:lvlText w:val="•"/>
      <w:lvlJc w:val="left"/>
      <w:pPr>
        <w:tabs>
          <w:tab w:val="num" w:pos="720"/>
        </w:tabs>
        <w:ind w:left="720" w:hanging="360"/>
      </w:pPr>
      <w:rPr>
        <w:rFonts w:ascii="Arial" w:hAnsi="Arial" w:hint="default"/>
      </w:rPr>
    </w:lvl>
    <w:lvl w:ilvl="1" w:tplc="A41EA3E6">
      <w:numFmt w:val="bullet"/>
      <w:lvlText w:val="–"/>
      <w:lvlJc w:val="left"/>
      <w:pPr>
        <w:tabs>
          <w:tab w:val="num" w:pos="1440"/>
        </w:tabs>
        <w:ind w:left="1440" w:hanging="360"/>
      </w:pPr>
      <w:rPr>
        <w:rFonts w:ascii="Arial" w:hAnsi="Arial" w:hint="default"/>
      </w:rPr>
    </w:lvl>
    <w:lvl w:ilvl="2" w:tplc="4B9CF98A">
      <w:numFmt w:val="bullet"/>
      <w:lvlText w:val="•"/>
      <w:lvlJc w:val="left"/>
      <w:pPr>
        <w:tabs>
          <w:tab w:val="num" w:pos="2160"/>
        </w:tabs>
        <w:ind w:left="2160" w:hanging="360"/>
      </w:pPr>
      <w:rPr>
        <w:rFonts w:ascii="Arial" w:hAnsi="Arial" w:hint="default"/>
      </w:rPr>
    </w:lvl>
    <w:lvl w:ilvl="3" w:tplc="EA5ECA40">
      <w:numFmt w:val="bullet"/>
      <w:lvlText w:val="–"/>
      <w:lvlJc w:val="left"/>
      <w:pPr>
        <w:tabs>
          <w:tab w:val="num" w:pos="2880"/>
        </w:tabs>
        <w:ind w:left="2880" w:hanging="360"/>
      </w:pPr>
      <w:rPr>
        <w:rFonts w:ascii="Arial" w:hAnsi="Arial" w:hint="default"/>
      </w:rPr>
    </w:lvl>
    <w:lvl w:ilvl="4" w:tplc="7CBA8B24" w:tentative="1">
      <w:start w:val="1"/>
      <w:numFmt w:val="bullet"/>
      <w:lvlText w:val="•"/>
      <w:lvlJc w:val="left"/>
      <w:pPr>
        <w:tabs>
          <w:tab w:val="num" w:pos="3600"/>
        </w:tabs>
        <w:ind w:left="3600" w:hanging="360"/>
      </w:pPr>
      <w:rPr>
        <w:rFonts w:ascii="Arial" w:hAnsi="Arial" w:hint="default"/>
      </w:rPr>
    </w:lvl>
    <w:lvl w:ilvl="5" w:tplc="6590A9D8" w:tentative="1">
      <w:start w:val="1"/>
      <w:numFmt w:val="bullet"/>
      <w:lvlText w:val="•"/>
      <w:lvlJc w:val="left"/>
      <w:pPr>
        <w:tabs>
          <w:tab w:val="num" w:pos="4320"/>
        </w:tabs>
        <w:ind w:left="4320" w:hanging="360"/>
      </w:pPr>
      <w:rPr>
        <w:rFonts w:ascii="Arial" w:hAnsi="Arial" w:hint="default"/>
      </w:rPr>
    </w:lvl>
    <w:lvl w:ilvl="6" w:tplc="54D49990" w:tentative="1">
      <w:start w:val="1"/>
      <w:numFmt w:val="bullet"/>
      <w:lvlText w:val="•"/>
      <w:lvlJc w:val="left"/>
      <w:pPr>
        <w:tabs>
          <w:tab w:val="num" w:pos="5040"/>
        </w:tabs>
        <w:ind w:left="5040" w:hanging="360"/>
      </w:pPr>
      <w:rPr>
        <w:rFonts w:ascii="Arial" w:hAnsi="Arial" w:hint="default"/>
      </w:rPr>
    </w:lvl>
    <w:lvl w:ilvl="7" w:tplc="B8E830C8" w:tentative="1">
      <w:start w:val="1"/>
      <w:numFmt w:val="bullet"/>
      <w:lvlText w:val="•"/>
      <w:lvlJc w:val="left"/>
      <w:pPr>
        <w:tabs>
          <w:tab w:val="num" w:pos="5760"/>
        </w:tabs>
        <w:ind w:left="5760" w:hanging="360"/>
      </w:pPr>
      <w:rPr>
        <w:rFonts w:ascii="Arial" w:hAnsi="Arial" w:hint="default"/>
      </w:rPr>
    </w:lvl>
    <w:lvl w:ilvl="8" w:tplc="C2445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9C70E5"/>
    <w:multiLevelType w:val="hybridMultilevel"/>
    <w:tmpl w:val="BDD630AC"/>
    <w:lvl w:ilvl="0" w:tplc="82B83B30">
      <w:start w:val="1"/>
      <w:numFmt w:val="bullet"/>
      <w:lvlText w:val="•"/>
      <w:lvlJc w:val="left"/>
      <w:pPr>
        <w:tabs>
          <w:tab w:val="num" w:pos="720"/>
        </w:tabs>
        <w:ind w:left="720" w:hanging="360"/>
      </w:pPr>
      <w:rPr>
        <w:rFonts w:ascii="Arial" w:hAnsi="Arial" w:hint="default"/>
      </w:rPr>
    </w:lvl>
    <w:lvl w:ilvl="1" w:tplc="34BC840A">
      <w:numFmt w:val="bullet"/>
      <w:lvlText w:val="–"/>
      <w:lvlJc w:val="left"/>
      <w:pPr>
        <w:tabs>
          <w:tab w:val="num" w:pos="1440"/>
        </w:tabs>
        <w:ind w:left="1440" w:hanging="360"/>
      </w:pPr>
      <w:rPr>
        <w:rFonts w:ascii="Arial" w:hAnsi="Arial" w:hint="default"/>
      </w:rPr>
    </w:lvl>
    <w:lvl w:ilvl="2" w:tplc="0B983A56">
      <w:numFmt w:val="bullet"/>
      <w:lvlText w:val="•"/>
      <w:lvlJc w:val="left"/>
      <w:pPr>
        <w:tabs>
          <w:tab w:val="num" w:pos="2160"/>
        </w:tabs>
        <w:ind w:left="2160" w:hanging="360"/>
      </w:pPr>
      <w:rPr>
        <w:rFonts w:ascii="Arial" w:hAnsi="Arial" w:hint="default"/>
      </w:rPr>
    </w:lvl>
    <w:lvl w:ilvl="3" w:tplc="53A68A86">
      <w:numFmt w:val="bullet"/>
      <w:lvlText w:val="–"/>
      <w:lvlJc w:val="left"/>
      <w:pPr>
        <w:tabs>
          <w:tab w:val="num" w:pos="2880"/>
        </w:tabs>
        <w:ind w:left="2880" w:hanging="360"/>
      </w:pPr>
      <w:rPr>
        <w:rFonts w:ascii="Arial" w:hAnsi="Arial" w:hint="default"/>
      </w:rPr>
    </w:lvl>
    <w:lvl w:ilvl="4" w:tplc="D3D2A1BA">
      <w:numFmt w:val="bullet"/>
      <w:lvlText w:val="»"/>
      <w:lvlJc w:val="left"/>
      <w:pPr>
        <w:tabs>
          <w:tab w:val="num" w:pos="3600"/>
        </w:tabs>
        <w:ind w:left="3600" w:hanging="360"/>
      </w:pPr>
      <w:rPr>
        <w:rFonts w:ascii="Arial" w:hAnsi="Arial" w:hint="default"/>
      </w:rPr>
    </w:lvl>
    <w:lvl w:ilvl="5" w:tplc="FBA45C80" w:tentative="1">
      <w:start w:val="1"/>
      <w:numFmt w:val="bullet"/>
      <w:lvlText w:val="•"/>
      <w:lvlJc w:val="left"/>
      <w:pPr>
        <w:tabs>
          <w:tab w:val="num" w:pos="4320"/>
        </w:tabs>
        <w:ind w:left="4320" w:hanging="360"/>
      </w:pPr>
      <w:rPr>
        <w:rFonts w:ascii="Arial" w:hAnsi="Arial" w:hint="default"/>
      </w:rPr>
    </w:lvl>
    <w:lvl w:ilvl="6" w:tplc="31F870C0" w:tentative="1">
      <w:start w:val="1"/>
      <w:numFmt w:val="bullet"/>
      <w:lvlText w:val="•"/>
      <w:lvlJc w:val="left"/>
      <w:pPr>
        <w:tabs>
          <w:tab w:val="num" w:pos="5040"/>
        </w:tabs>
        <w:ind w:left="5040" w:hanging="360"/>
      </w:pPr>
      <w:rPr>
        <w:rFonts w:ascii="Arial" w:hAnsi="Arial" w:hint="default"/>
      </w:rPr>
    </w:lvl>
    <w:lvl w:ilvl="7" w:tplc="F998FCF8" w:tentative="1">
      <w:start w:val="1"/>
      <w:numFmt w:val="bullet"/>
      <w:lvlText w:val="•"/>
      <w:lvlJc w:val="left"/>
      <w:pPr>
        <w:tabs>
          <w:tab w:val="num" w:pos="5760"/>
        </w:tabs>
        <w:ind w:left="5760" w:hanging="360"/>
      </w:pPr>
      <w:rPr>
        <w:rFonts w:ascii="Arial" w:hAnsi="Arial" w:hint="default"/>
      </w:rPr>
    </w:lvl>
    <w:lvl w:ilvl="8" w:tplc="7B3ABE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83EB0"/>
    <w:multiLevelType w:val="hybridMultilevel"/>
    <w:tmpl w:val="327E8A20"/>
    <w:lvl w:ilvl="0" w:tplc="5804FBDC">
      <w:start w:val="1"/>
      <w:numFmt w:val="bullet"/>
      <w:lvlText w:val="•"/>
      <w:lvlJc w:val="left"/>
      <w:pPr>
        <w:tabs>
          <w:tab w:val="num" w:pos="720"/>
        </w:tabs>
        <w:ind w:left="720" w:hanging="360"/>
      </w:pPr>
      <w:rPr>
        <w:rFonts w:ascii="Arial" w:hAnsi="Arial" w:hint="default"/>
      </w:rPr>
    </w:lvl>
    <w:lvl w:ilvl="1" w:tplc="BAF6EF30">
      <w:numFmt w:val="bullet"/>
      <w:lvlText w:val="–"/>
      <w:lvlJc w:val="left"/>
      <w:pPr>
        <w:tabs>
          <w:tab w:val="num" w:pos="1440"/>
        </w:tabs>
        <w:ind w:left="1440" w:hanging="360"/>
      </w:pPr>
      <w:rPr>
        <w:rFonts w:ascii="Arial" w:hAnsi="Arial" w:hint="default"/>
      </w:rPr>
    </w:lvl>
    <w:lvl w:ilvl="2" w:tplc="978A3486">
      <w:numFmt w:val="bullet"/>
      <w:lvlText w:val="•"/>
      <w:lvlJc w:val="left"/>
      <w:pPr>
        <w:tabs>
          <w:tab w:val="num" w:pos="2160"/>
        </w:tabs>
        <w:ind w:left="2160" w:hanging="360"/>
      </w:pPr>
      <w:rPr>
        <w:rFonts w:ascii="Arial" w:hAnsi="Arial" w:hint="default"/>
      </w:rPr>
    </w:lvl>
    <w:lvl w:ilvl="3" w:tplc="701EA07A">
      <w:start w:val="1"/>
      <w:numFmt w:val="bullet"/>
      <w:lvlText w:val="•"/>
      <w:lvlJc w:val="left"/>
      <w:pPr>
        <w:tabs>
          <w:tab w:val="num" w:pos="2880"/>
        </w:tabs>
        <w:ind w:left="2880" w:hanging="360"/>
      </w:pPr>
      <w:rPr>
        <w:rFonts w:ascii="Arial" w:hAnsi="Arial" w:hint="default"/>
      </w:rPr>
    </w:lvl>
    <w:lvl w:ilvl="4" w:tplc="09E63AFA" w:tentative="1">
      <w:start w:val="1"/>
      <w:numFmt w:val="bullet"/>
      <w:lvlText w:val="•"/>
      <w:lvlJc w:val="left"/>
      <w:pPr>
        <w:tabs>
          <w:tab w:val="num" w:pos="3600"/>
        </w:tabs>
        <w:ind w:left="3600" w:hanging="360"/>
      </w:pPr>
      <w:rPr>
        <w:rFonts w:ascii="Arial" w:hAnsi="Arial" w:hint="default"/>
      </w:rPr>
    </w:lvl>
    <w:lvl w:ilvl="5" w:tplc="FF9EDC52" w:tentative="1">
      <w:start w:val="1"/>
      <w:numFmt w:val="bullet"/>
      <w:lvlText w:val="•"/>
      <w:lvlJc w:val="left"/>
      <w:pPr>
        <w:tabs>
          <w:tab w:val="num" w:pos="4320"/>
        </w:tabs>
        <w:ind w:left="4320" w:hanging="360"/>
      </w:pPr>
      <w:rPr>
        <w:rFonts w:ascii="Arial" w:hAnsi="Arial" w:hint="default"/>
      </w:rPr>
    </w:lvl>
    <w:lvl w:ilvl="6" w:tplc="F90AA7BA" w:tentative="1">
      <w:start w:val="1"/>
      <w:numFmt w:val="bullet"/>
      <w:lvlText w:val="•"/>
      <w:lvlJc w:val="left"/>
      <w:pPr>
        <w:tabs>
          <w:tab w:val="num" w:pos="5040"/>
        </w:tabs>
        <w:ind w:left="5040" w:hanging="360"/>
      </w:pPr>
      <w:rPr>
        <w:rFonts w:ascii="Arial" w:hAnsi="Arial" w:hint="default"/>
      </w:rPr>
    </w:lvl>
    <w:lvl w:ilvl="7" w:tplc="0CEC389E" w:tentative="1">
      <w:start w:val="1"/>
      <w:numFmt w:val="bullet"/>
      <w:lvlText w:val="•"/>
      <w:lvlJc w:val="left"/>
      <w:pPr>
        <w:tabs>
          <w:tab w:val="num" w:pos="5760"/>
        </w:tabs>
        <w:ind w:left="5760" w:hanging="360"/>
      </w:pPr>
      <w:rPr>
        <w:rFonts w:ascii="Arial" w:hAnsi="Arial" w:hint="default"/>
      </w:rPr>
    </w:lvl>
    <w:lvl w:ilvl="8" w:tplc="89143D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A239C"/>
    <w:multiLevelType w:val="hybridMultilevel"/>
    <w:tmpl w:val="5AD2B63C"/>
    <w:lvl w:ilvl="0" w:tplc="F6F83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9"/>
  </w:num>
  <w:num w:numId="4">
    <w:abstractNumId w:val="27"/>
  </w:num>
  <w:num w:numId="5">
    <w:abstractNumId w:val="1"/>
  </w:num>
  <w:num w:numId="6">
    <w:abstractNumId w:val="16"/>
  </w:num>
  <w:num w:numId="7">
    <w:abstractNumId w:val="5"/>
  </w:num>
  <w:num w:numId="8">
    <w:abstractNumId w:val="20"/>
  </w:num>
  <w:num w:numId="9">
    <w:abstractNumId w:val="21"/>
  </w:num>
  <w:num w:numId="10">
    <w:abstractNumId w:val="17"/>
  </w:num>
  <w:num w:numId="11">
    <w:abstractNumId w:val="18"/>
  </w:num>
  <w:num w:numId="12">
    <w:abstractNumId w:val="4"/>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5"/>
  </w:num>
  <w:num w:numId="17">
    <w:abstractNumId w:val="24"/>
  </w:num>
  <w:num w:numId="18">
    <w:abstractNumId w:val="14"/>
  </w:num>
  <w:num w:numId="19">
    <w:abstractNumId w:val="2"/>
  </w:num>
  <w:num w:numId="20">
    <w:abstractNumId w:val="12"/>
  </w:num>
  <w:num w:numId="21">
    <w:abstractNumId w:val="22"/>
  </w:num>
  <w:num w:numId="22">
    <w:abstractNumId w:val="19"/>
  </w:num>
  <w:num w:numId="23">
    <w:abstractNumId w:val="0"/>
  </w:num>
  <w:num w:numId="24">
    <w:abstractNumId w:val="8"/>
  </w:num>
  <w:num w:numId="25">
    <w:abstractNumId w:val="13"/>
  </w:num>
  <w:num w:numId="26">
    <w:abstractNumId w:val="6"/>
  </w:num>
  <w:num w:numId="27">
    <w:abstractNumId w:val="10"/>
  </w:num>
  <w:num w:numId="28">
    <w:abstractNumId w:val="3"/>
  </w:num>
  <w:num w:numId="29">
    <w:abstractNumId w:val="28"/>
  </w:num>
  <w:num w:numId="30">
    <w:abstractNumId w:val="9"/>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356AC"/>
    <w:rsid w:val="00040649"/>
    <w:rsid w:val="00043FCE"/>
    <w:rsid w:val="0004558E"/>
    <w:rsid w:val="00055B5D"/>
    <w:rsid w:val="00063E08"/>
    <w:rsid w:val="00067A48"/>
    <w:rsid w:val="00067B89"/>
    <w:rsid w:val="00076C0A"/>
    <w:rsid w:val="00080428"/>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0F46B5"/>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7747E"/>
    <w:rsid w:val="0018314E"/>
    <w:rsid w:val="00184719"/>
    <w:rsid w:val="00197964"/>
    <w:rsid w:val="001A1E7C"/>
    <w:rsid w:val="001C4240"/>
    <w:rsid w:val="001D3006"/>
    <w:rsid w:val="001E7174"/>
    <w:rsid w:val="001E7305"/>
    <w:rsid w:val="001F221F"/>
    <w:rsid w:val="0020033A"/>
    <w:rsid w:val="0021118F"/>
    <w:rsid w:val="00216AAB"/>
    <w:rsid w:val="00217770"/>
    <w:rsid w:val="002204E2"/>
    <w:rsid w:val="002221AC"/>
    <w:rsid w:val="00222A85"/>
    <w:rsid w:val="00222AF7"/>
    <w:rsid w:val="00226DC7"/>
    <w:rsid w:val="00232120"/>
    <w:rsid w:val="002328DD"/>
    <w:rsid w:val="00234AA1"/>
    <w:rsid w:val="00243552"/>
    <w:rsid w:val="00243BFC"/>
    <w:rsid w:val="0024482C"/>
    <w:rsid w:val="00245810"/>
    <w:rsid w:val="00254F38"/>
    <w:rsid w:val="00267D3F"/>
    <w:rsid w:val="00272F1F"/>
    <w:rsid w:val="0027365E"/>
    <w:rsid w:val="002736F0"/>
    <w:rsid w:val="00282D3C"/>
    <w:rsid w:val="00294B79"/>
    <w:rsid w:val="002A0042"/>
    <w:rsid w:val="002A235C"/>
    <w:rsid w:val="002A2EF8"/>
    <w:rsid w:val="002A5E54"/>
    <w:rsid w:val="002B45C3"/>
    <w:rsid w:val="002D3C68"/>
    <w:rsid w:val="002E3A74"/>
    <w:rsid w:val="002E668C"/>
    <w:rsid w:val="002F00F2"/>
    <w:rsid w:val="002F579F"/>
    <w:rsid w:val="00311CF9"/>
    <w:rsid w:val="003126BC"/>
    <w:rsid w:val="003158EC"/>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0502"/>
    <w:rsid w:val="003D6F09"/>
    <w:rsid w:val="003E7C96"/>
    <w:rsid w:val="003F762D"/>
    <w:rsid w:val="00401473"/>
    <w:rsid w:val="00415933"/>
    <w:rsid w:val="00430F24"/>
    <w:rsid w:val="00435D65"/>
    <w:rsid w:val="00435EBD"/>
    <w:rsid w:val="00451B80"/>
    <w:rsid w:val="00455FD0"/>
    <w:rsid w:val="00462EC3"/>
    <w:rsid w:val="00466D02"/>
    <w:rsid w:val="00477263"/>
    <w:rsid w:val="0049501A"/>
    <w:rsid w:val="004A0F19"/>
    <w:rsid w:val="004A29B2"/>
    <w:rsid w:val="004A678E"/>
    <w:rsid w:val="004A7CF2"/>
    <w:rsid w:val="004B1ECE"/>
    <w:rsid w:val="004B4633"/>
    <w:rsid w:val="004B7872"/>
    <w:rsid w:val="004C11F4"/>
    <w:rsid w:val="004C4868"/>
    <w:rsid w:val="004D3C97"/>
    <w:rsid w:val="004E3732"/>
    <w:rsid w:val="004E5D51"/>
    <w:rsid w:val="004F0167"/>
    <w:rsid w:val="004F344B"/>
    <w:rsid w:val="00502991"/>
    <w:rsid w:val="00514A5F"/>
    <w:rsid w:val="005235DB"/>
    <w:rsid w:val="00527DD4"/>
    <w:rsid w:val="00530EB0"/>
    <w:rsid w:val="00533D78"/>
    <w:rsid w:val="005375AA"/>
    <w:rsid w:val="005409B9"/>
    <w:rsid w:val="00545EC2"/>
    <w:rsid w:val="0054734A"/>
    <w:rsid w:val="005546D8"/>
    <w:rsid w:val="00557527"/>
    <w:rsid w:val="005755A4"/>
    <w:rsid w:val="005763DF"/>
    <w:rsid w:val="00582652"/>
    <w:rsid w:val="00585EFA"/>
    <w:rsid w:val="005906DB"/>
    <w:rsid w:val="005A2C70"/>
    <w:rsid w:val="005A456B"/>
    <w:rsid w:val="005B0D68"/>
    <w:rsid w:val="005B6053"/>
    <w:rsid w:val="005C337F"/>
    <w:rsid w:val="005D15A2"/>
    <w:rsid w:val="005D231A"/>
    <w:rsid w:val="005D34DF"/>
    <w:rsid w:val="005D3DC0"/>
    <w:rsid w:val="005D6BEF"/>
    <w:rsid w:val="005E29AA"/>
    <w:rsid w:val="005E4CCD"/>
    <w:rsid w:val="005E6B09"/>
    <w:rsid w:val="005F5231"/>
    <w:rsid w:val="00604490"/>
    <w:rsid w:val="0060650F"/>
    <w:rsid w:val="00607CE8"/>
    <w:rsid w:val="0061679F"/>
    <w:rsid w:val="00625728"/>
    <w:rsid w:val="00637A49"/>
    <w:rsid w:val="00643D4B"/>
    <w:rsid w:val="0066186B"/>
    <w:rsid w:val="0066448F"/>
    <w:rsid w:val="0067038D"/>
    <w:rsid w:val="00672FCE"/>
    <w:rsid w:val="00681F59"/>
    <w:rsid w:val="006A68E5"/>
    <w:rsid w:val="006C3D21"/>
    <w:rsid w:val="006C4BDB"/>
    <w:rsid w:val="006D43CD"/>
    <w:rsid w:val="006D7325"/>
    <w:rsid w:val="006F1BAF"/>
    <w:rsid w:val="006F27CD"/>
    <w:rsid w:val="006F541E"/>
    <w:rsid w:val="006F5874"/>
    <w:rsid w:val="00701598"/>
    <w:rsid w:val="00702FA5"/>
    <w:rsid w:val="00712608"/>
    <w:rsid w:val="00714064"/>
    <w:rsid w:val="007200C7"/>
    <w:rsid w:val="00723883"/>
    <w:rsid w:val="00732D90"/>
    <w:rsid w:val="007334B6"/>
    <w:rsid w:val="00734B34"/>
    <w:rsid w:val="00734CF6"/>
    <w:rsid w:val="00736D84"/>
    <w:rsid w:val="00751897"/>
    <w:rsid w:val="00763EF7"/>
    <w:rsid w:val="00766048"/>
    <w:rsid w:val="007711B8"/>
    <w:rsid w:val="0077159B"/>
    <w:rsid w:val="00782C5D"/>
    <w:rsid w:val="00784099"/>
    <w:rsid w:val="00785347"/>
    <w:rsid w:val="00786C50"/>
    <w:rsid w:val="007902A8"/>
    <w:rsid w:val="007973F8"/>
    <w:rsid w:val="007A336E"/>
    <w:rsid w:val="007A37DA"/>
    <w:rsid w:val="007A52D1"/>
    <w:rsid w:val="007A6ED4"/>
    <w:rsid w:val="007B119C"/>
    <w:rsid w:val="007B3DC0"/>
    <w:rsid w:val="007B57F3"/>
    <w:rsid w:val="007B7B6A"/>
    <w:rsid w:val="007C0D2E"/>
    <w:rsid w:val="007C5B24"/>
    <w:rsid w:val="007D0DF7"/>
    <w:rsid w:val="007D1095"/>
    <w:rsid w:val="007D3409"/>
    <w:rsid w:val="007D58F5"/>
    <w:rsid w:val="007E2057"/>
    <w:rsid w:val="007E2E8A"/>
    <w:rsid w:val="007E4578"/>
    <w:rsid w:val="007E5868"/>
    <w:rsid w:val="007E5F97"/>
    <w:rsid w:val="007E67EC"/>
    <w:rsid w:val="007F045C"/>
    <w:rsid w:val="007F2371"/>
    <w:rsid w:val="007F2E6A"/>
    <w:rsid w:val="007F7E14"/>
    <w:rsid w:val="008001CA"/>
    <w:rsid w:val="00804945"/>
    <w:rsid w:val="00814B83"/>
    <w:rsid w:val="00816A25"/>
    <w:rsid w:val="00821B76"/>
    <w:rsid w:val="00822F90"/>
    <w:rsid w:val="008300DE"/>
    <w:rsid w:val="00836C28"/>
    <w:rsid w:val="008408E7"/>
    <w:rsid w:val="00840E09"/>
    <w:rsid w:val="00841386"/>
    <w:rsid w:val="008446CE"/>
    <w:rsid w:val="00852630"/>
    <w:rsid w:val="00861B71"/>
    <w:rsid w:val="008708B9"/>
    <w:rsid w:val="0087326D"/>
    <w:rsid w:val="00873C1C"/>
    <w:rsid w:val="00873F55"/>
    <w:rsid w:val="00874D51"/>
    <w:rsid w:val="008766C3"/>
    <w:rsid w:val="00876BCC"/>
    <w:rsid w:val="00885469"/>
    <w:rsid w:val="008921D4"/>
    <w:rsid w:val="008924AB"/>
    <w:rsid w:val="008924F2"/>
    <w:rsid w:val="00892EAE"/>
    <w:rsid w:val="00893C66"/>
    <w:rsid w:val="008A1C4E"/>
    <w:rsid w:val="008A2B76"/>
    <w:rsid w:val="008A4FA1"/>
    <w:rsid w:val="008B3970"/>
    <w:rsid w:val="008B4A2C"/>
    <w:rsid w:val="008B4F73"/>
    <w:rsid w:val="008B7660"/>
    <w:rsid w:val="008C31D2"/>
    <w:rsid w:val="008C398B"/>
    <w:rsid w:val="008C42D0"/>
    <w:rsid w:val="008D2D3D"/>
    <w:rsid w:val="008D55C5"/>
    <w:rsid w:val="008E2591"/>
    <w:rsid w:val="008E79C6"/>
    <w:rsid w:val="008F37CA"/>
    <w:rsid w:val="008F67CF"/>
    <w:rsid w:val="00904C87"/>
    <w:rsid w:val="00906E80"/>
    <w:rsid w:val="009118FA"/>
    <w:rsid w:val="00914A03"/>
    <w:rsid w:val="00915DEA"/>
    <w:rsid w:val="0092386A"/>
    <w:rsid w:val="00923CC3"/>
    <w:rsid w:val="00925831"/>
    <w:rsid w:val="00931830"/>
    <w:rsid w:val="009333B5"/>
    <w:rsid w:val="009450D8"/>
    <w:rsid w:val="009524AD"/>
    <w:rsid w:val="00957098"/>
    <w:rsid w:val="00964C32"/>
    <w:rsid w:val="009708D0"/>
    <w:rsid w:val="00972D26"/>
    <w:rsid w:val="00973C4C"/>
    <w:rsid w:val="009779FE"/>
    <w:rsid w:val="009814D6"/>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27A27"/>
    <w:rsid w:val="00A34913"/>
    <w:rsid w:val="00A35F07"/>
    <w:rsid w:val="00A42E3A"/>
    <w:rsid w:val="00A7739E"/>
    <w:rsid w:val="00A824A6"/>
    <w:rsid w:val="00A848D0"/>
    <w:rsid w:val="00A87084"/>
    <w:rsid w:val="00A93E0D"/>
    <w:rsid w:val="00AA24AB"/>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45FA3"/>
    <w:rsid w:val="00B51BD5"/>
    <w:rsid w:val="00B51F58"/>
    <w:rsid w:val="00B55463"/>
    <w:rsid w:val="00B60998"/>
    <w:rsid w:val="00B719AB"/>
    <w:rsid w:val="00B71C35"/>
    <w:rsid w:val="00B72BEC"/>
    <w:rsid w:val="00B73A82"/>
    <w:rsid w:val="00B76F4D"/>
    <w:rsid w:val="00B77412"/>
    <w:rsid w:val="00B77752"/>
    <w:rsid w:val="00B83BC0"/>
    <w:rsid w:val="00B87A6F"/>
    <w:rsid w:val="00BA3B24"/>
    <w:rsid w:val="00BA4C0A"/>
    <w:rsid w:val="00BB2A32"/>
    <w:rsid w:val="00BB5F3E"/>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454B2"/>
    <w:rsid w:val="00C50A0A"/>
    <w:rsid w:val="00C572D7"/>
    <w:rsid w:val="00C60016"/>
    <w:rsid w:val="00C638D8"/>
    <w:rsid w:val="00C63D6B"/>
    <w:rsid w:val="00C64128"/>
    <w:rsid w:val="00C6561A"/>
    <w:rsid w:val="00C72E37"/>
    <w:rsid w:val="00C74442"/>
    <w:rsid w:val="00C76E52"/>
    <w:rsid w:val="00C83525"/>
    <w:rsid w:val="00C83628"/>
    <w:rsid w:val="00CA1729"/>
    <w:rsid w:val="00CA1984"/>
    <w:rsid w:val="00CA1DAE"/>
    <w:rsid w:val="00CA234E"/>
    <w:rsid w:val="00CA7429"/>
    <w:rsid w:val="00CB6216"/>
    <w:rsid w:val="00CC4578"/>
    <w:rsid w:val="00CD0284"/>
    <w:rsid w:val="00CD160F"/>
    <w:rsid w:val="00CD226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67ABE"/>
    <w:rsid w:val="00D73373"/>
    <w:rsid w:val="00D828E1"/>
    <w:rsid w:val="00D94E39"/>
    <w:rsid w:val="00DB10D2"/>
    <w:rsid w:val="00DB1DD4"/>
    <w:rsid w:val="00DB61B3"/>
    <w:rsid w:val="00DC7A9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406F2"/>
    <w:rsid w:val="00E415BA"/>
    <w:rsid w:val="00E470EC"/>
    <w:rsid w:val="00E5666B"/>
    <w:rsid w:val="00E577DD"/>
    <w:rsid w:val="00E70106"/>
    <w:rsid w:val="00E72064"/>
    <w:rsid w:val="00E7338B"/>
    <w:rsid w:val="00E76A71"/>
    <w:rsid w:val="00E82294"/>
    <w:rsid w:val="00E85BF2"/>
    <w:rsid w:val="00E91110"/>
    <w:rsid w:val="00E9184C"/>
    <w:rsid w:val="00E94DD3"/>
    <w:rsid w:val="00EA49BA"/>
    <w:rsid w:val="00EA4E79"/>
    <w:rsid w:val="00EA514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790A"/>
    <w:rsid w:val="00F609CD"/>
    <w:rsid w:val="00F673AE"/>
    <w:rsid w:val="00F76B81"/>
    <w:rsid w:val="00F9366B"/>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a"/>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334499436">
          <w:marLeft w:val="1166"/>
          <w:marRight w:val="0"/>
          <w:marTop w:val="58"/>
          <w:marBottom w:val="0"/>
          <w:divBdr>
            <w:top w:val="none" w:sz="0" w:space="0" w:color="auto"/>
            <w:left w:val="none" w:sz="0" w:space="0" w:color="auto"/>
            <w:bottom w:val="none" w:sz="0" w:space="0" w:color="auto"/>
            <w:right w:val="none" w:sz="0" w:space="0" w:color="auto"/>
          </w:divBdr>
        </w:div>
        <w:div w:id="116335958">
          <w:marLeft w:val="1800"/>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48400176">
      <w:bodyDiv w:val="1"/>
      <w:marLeft w:val="0"/>
      <w:marRight w:val="0"/>
      <w:marTop w:val="0"/>
      <w:marBottom w:val="0"/>
      <w:divBdr>
        <w:top w:val="none" w:sz="0" w:space="0" w:color="auto"/>
        <w:left w:val="none" w:sz="0" w:space="0" w:color="auto"/>
        <w:bottom w:val="none" w:sz="0" w:space="0" w:color="auto"/>
        <w:right w:val="none" w:sz="0" w:space="0" w:color="auto"/>
      </w:divBdr>
      <w:divsChild>
        <w:div w:id="1981306978">
          <w:marLeft w:val="547"/>
          <w:marRight w:val="0"/>
          <w:marTop w:val="96"/>
          <w:marBottom w:val="0"/>
          <w:divBdr>
            <w:top w:val="none" w:sz="0" w:space="0" w:color="auto"/>
            <w:left w:val="none" w:sz="0" w:space="0" w:color="auto"/>
            <w:bottom w:val="none" w:sz="0" w:space="0" w:color="auto"/>
            <w:right w:val="none" w:sz="0" w:space="0" w:color="auto"/>
          </w:divBdr>
        </w:div>
        <w:div w:id="1234506315">
          <w:marLeft w:val="1166"/>
          <w:marRight w:val="0"/>
          <w:marTop w:val="96"/>
          <w:marBottom w:val="0"/>
          <w:divBdr>
            <w:top w:val="none" w:sz="0" w:space="0" w:color="auto"/>
            <w:left w:val="none" w:sz="0" w:space="0" w:color="auto"/>
            <w:bottom w:val="none" w:sz="0" w:space="0" w:color="auto"/>
            <w:right w:val="none" w:sz="0" w:space="0" w:color="auto"/>
          </w:divBdr>
        </w:div>
        <w:div w:id="380591815">
          <w:marLeft w:val="1800"/>
          <w:marRight w:val="0"/>
          <w:marTop w:val="77"/>
          <w:marBottom w:val="0"/>
          <w:divBdr>
            <w:top w:val="none" w:sz="0" w:space="0" w:color="auto"/>
            <w:left w:val="none" w:sz="0" w:space="0" w:color="auto"/>
            <w:bottom w:val="none" w:sz="0" w:space="0" w:color="auto"/>
            <w:right w:val="none" w:sz="0" w:space="0" w:color="auto"/>
          </w:divBdr>
        </w:div>
        <w:div w:id="1635212136">
          <w:marLeft w:val="2520"/>
          <w:marRight w:val="0"/>
          <w:marTop w:val="77"/>
          <w:marBottom w:val="0"/>
          <w:divBdr>
            <w:top w:val="none" w:sz="0" w:space="0" w:color="auto"/>
            <w:left w:val="none" w:sz="0" w:space="0" w:color="auto"/>
            <w:bottom w:val="none" w:sz="0" w:space="0" w:color="auto"/>
            <w:right w:val="none" w:sz="0" w:space="0" w:color="auto"/>
          </w:divBdr>
        </w:div>
        <w:div w:id="361051938">
          <w:marLeft w:val="3240"/>
          <w:marRight w:val="0"/>
          <w:marTop w:val="77"/>
          <w:marBottom w:val="0"/>
          <w:divBdr>
            <w:top w:val="none" w:sz="0" w:space="0" w:color="auto"/>
            <w:left w:val="none" w:sz="0" w:space="0" w:color="auto"/>
            <w:bottom w:val="none" w:sz="0" w:space="0" w:color="auto"/>
            <w:right w:val="none" w:sz="0" w:space="0" w:color="auto"/>
          </w:divBdr>
        </w:div>
        <w:div w:id="1082872930">
          <w:marLeft w:val="3240"/>
          <w:marRight w:val="0"/>
          <w:marTop w:val="77"/>
          <w:marBottom w:val="0"/>
          <w:divBdr>
            <w:top w:val="none" w:sz="0" w:space="0" w:color="auto"/>
            <w:left w:val="none" w:sz="0" w:space="0" w:color="auto"/>
            <w:bottom w:val="none" w:sz="0" w:space="0" w:color="auto"/>
            <w:right w:val="none" w:sz="0" w:space="0" w:color="auto"/>
          </w:divBdr>
        </w:div>
        <w:div w:id="1909731558">
          <w:marLeft w:val="1800"/>
          <w:marRight w:val="0"/>
          <w:marTop w:val="77"/>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7893326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259711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577397296">
      <w:bodyDiv w:val="1"/>
      <w:marLeft w:val="0"/>
      <w:marRight w:val="0"/>
      <w:marTop w:val="0"/>
      <w:marBottom w:val="0"/>
      <w:divBdr>
        <w:top w:val="none" w:sz="0" w:space="0" w:color="auto"/>
        <w:left w:val="none" w:sz="0" w:space="0" w:color="auto"/>
        <w:bottom w:val="none" w:sz="0" w:space="0" w:color="auto"/>
        <w:right w:val="none" w:sz="0" w:space="0" w:color="auto"/>
      </w:divBdr>
      <w:divsChild>
        <w:div w:id="855385578">
          <w:marLeft w:val="1800"/>
          <w:marRight w:val="0"/>
          <w:marTop w:val="58"/>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42466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27349617">
      <w:bodyDiv w:val="1"/>
      <w:marLeft w:val="0"/>
      <w:marRight w:val="0"/>
      <w:marTop w:val="0"/>
      <w:marBottom w:val="0"/>
      <w:divBdr>
        <w:top w:val="none" w:sz="0" w:space="0" w:color="auto"/>
        <w:left w:val="none" w:sz="0" w:space="0" w:color="auto"/>
        <w:bottom w:val="none" w:sz="0" w:space="0" w:color="auto"/>
        <w:right w:val="none" w:sz="0" w:space="0" w:color="auto"/>
      </w:divBdr>
      <w:divsChild>
        <w:div w:id="127015899">
          <w:marLeft w:val="1800"/>
          <w:marRight w:val="0"/>
          <w:marTop w:val="6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36747532">
      <w:bodyDiv w:val="1"/>
      <w:marLeft w:val="0"/>
      <w:marRight w:val="0"/>
      <w:marTop w:val="0"/>
      <w:marBottom w:val="0"/>
      <w:divBdr>
        <w:top w:val="none" w:sz="0" w:space="0" w:color="auto"/>
        <w:left w:val="none" w:sz="0" w:space="0" w:color="auto"/>
        <w:bottom w:val="none" w:sz="0" w:space="0" w:color="auto"/>
        <w:right w:val="none" w:sz="0" w:space="0" w:color="auto"/>
      </w:divBdr>
      <w:divsChild>
        <w:div w:id="1727871976">
          <w:marLeft w:val="1800"/>
          <w:marRight w:val="0"/>
          <w:marTop w:val="67"/>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98056969">
      <w:bodyDiv w:val="1"/>
      <w:marLeft w:val="0"/>
      <w:marRight w:val="0"/>
      <w:marTop w:val="0"/>
      <w:marBottom w:val="0"/>
      <w:divBdr>
        <w:top w:val="none" w:sz="0" w:space="0" w:color="auto"/>
        <w:left w:val="none" w:sz="0" w:space="0" w:color="auto"/>
        <w:bottom w:val="none" w:sz="0" w:space="0" w:color="auto"/>
        <w:right w:val="none" w:sz="0" w:space="0" w:color="auto"/>
      </w:divBdr>
      <w:divsChild>
        <w:div w:id="1947233624">
          <w:marLeft w:val="547"/>
          <w:marRight w:val="0"/>
          <w:marTop w:val="77"/>
          <w:marBottom w:val="0"/>
          <w:divBdr>
            <w:top w:val="none" w:sz="0" w:space="0" w:color="auto"/>
            <w:left w:val="none" w:sz="0" w:space="0" w:color="auto"/>
            <w:bottom w:val="none" w:sz="0" w:space="0" w:color="auto"/>
            <w:right w:val="none" w:sz="0" w:space="0" w:color="auto"/>
          </w:divBdr>
        </w:div>
        <w:div w:id="899098327">
          <w:marLeft w:val="1166"/>
          <w:marRight w:val="0"/>
          <w:marTop w:val="62"/>
          <w:marBottom w:val="0"/>
          <w:divBdr>
            <w:top w:val="none" w:sz="0" w:space="0" w:color="auto"/>
            <w:left w:val="none" w:sz="0" w:space="0" w:color="auto"/>
            <w:bottom w:val="none" w:sz="0" w:space="0" w:color="auto"/>
            <w:right w:val="none" w:sz="0" w:space="0" w:color="auto"/>
          </w:divBdr>
        </w:div>
        <w:div w:id="785344648">
          <w:marLeft w:val="1800"/>
          <w:marRight w:val="0"/>
          <w:marTop w:val="53"/>
          <w:marBottom w:val="0"/>
          <w:divBdr>
            <w:top w:val="none" w:sz="0" w:space="0" w:color="auto"/>
            <w:left w:val="none" w:sz="0" w:space="0" w:color="auto"/>
            <w:bottom w:val="none" w:sz="0" w:space="0" w:color="auto"/>
            <w:right w:val="none" w:sz="0" w:space="0" w:color="auto"/>
          </w:divBdr>
        </w:div>
        <w:div w:id="399988875">
          <w:marLeft w:val="1166"/>
          <w:marRight w:val="0"/>
          <w:marTop w:val="62"/>
          <w:marBottom w:val="0"/>
          <w:divBdr>
            <w:top w:val="none" w:sz="0" w:space="0" w:color="auto"/>
            <w:left w:val="none" w:sz="0" w:space="0" w:color="auto"/>
            <w:bottom w:val="none" w:sz="0" w:space="0" w:color="auto"/>
            <w:right w:val="none" w:sz="0" w:space="0" w:color="auto"/>
          </w:divBdr>
        </w:div>
        <w:div w:id="1467429726">
          <w:marLeft w:val="1800"/>
          <w:marRight w:val="0"/>
          <w:marTop w:val="53"/>
          <w:marBottom w:val="0"/>
          <w:divBdr>
            <w:top w:val="none" w:sz="0" w:space="0" w:color="auto"/>
            <w:left w:val="none" w:sz="0" w:space="0" w:color="auto"/>
            <w:bottom w:val="none" w:sz="0" w:space="0" w:color="auto"/>
            <w:right w:val="none" w:sz="0" w:space="0" w:color="auto"/>
          </w:divBdr>
        </w:div>
        <w:div w:id="2122145687">
          <w:marLeft w:val="1166"/>
          <w:marRight w:val="0"/>
          <w:marTop w:val="62"/>
          <w:marBottom w:val="0"/>
          <w:divBdr>
            <w:top w:val="none" w:sz="0" w:space="0" w:color="auto"/>
            <w:left w:val="none" w:sz="0" w:space="0" w:color="auto"/>
            <w:bottom w:val="none" w:sz="0" w:space="0" w:color="auto"/>
            <w:right w:val="none" w:sz="0" w:space="0" w:color="auto"/>
          </w:divBdr>
        </w:div>
        <w:div w:id="1402094785">
          <w:marLeft w:val="1800"/>
          <w:marRight w:val="0"/>
          <w:marTop w:val="53"/>
          <w:marBottom w:val="0"/>
          <w:divBdr>
            <w:top w:val="none" w:sz="0" w:space="0" w:color="auto"/>
            <w:left w:val="none" w:sz="0" w:space="0" w:color="auto"/>
            <w:bottom w:val="none" w:sz="0" w:space="0" w:color="auto"/>
            <w:right w:val="none" w:sz="0" w:space="0" w:color="auto"/>
          </w:divBdr>
        </w:div>
        <w:div w:id="1663312674">
          <w:marLeft w:val="1166"/>
          <w:marRight w:val="0"/>
          <w:marTop w:val="62"/>
          <w:marBottom w:val="0"/>
          <w:divBdr>
            <w:top w:val="none" w:sz="0" w:space="0" w:color="auto"/>
            <w:left w:val="none" w:sz="0" w:space="0" w:color="auto"/>
            <w:bottom w:val="none" w:sz="0" w:space="0" w:color="auto"/>
            <w:right w:val="none" w:sz="0" w:space="0" w:color="auto"/>
          </w:divBdr>
        </w:div>
        <w:div w:id="498010271">
          <w:marLeft w:val="1800"/>
          <w:marRight w:val="0"/>
          <w:marTop w:val="53"/>
          <w:marBottom w:val="0"/>
          <w:divBdr>
            <w:top w:val="none" w:sz="0" w:space="0" w:color="auto"/>
            <w:left w:val="none" w:sz="0" w:space="0" w:color="auto"/>
            <w:bottom w:val="none" w:sz="0" w:space="0" w:color="auto"/>
            <w:right w:val="none" w:sz="0" w:space="0" w:color="auto"/>
          </w:divBdr>
        </w:div>
        <w:div w:id="1977099355">
          <w:marLeft w:val="1166"/>
          <w:marRight w:val="0"/>
          <w:marTop w:val="62"/>
          <w:marBottom w:val="0"/>
          <w:divBdr>
            <w:top w:val="none" w:sz="0" w:space="0" w:color="auto"/>
            <w:left w:val="none" w:sz="0" w:space="0" w:color="auto"/>
            <w:bottom w:val="none" w:sz="0" w:space="0" w:color="auto"/>
            <w:right w:val="none" w:sz="0" w:space="0" w:color="auto"/>
          </w:divBdr>
        </w:div>
        <w:div w:id="1906067752">
          <w:marLeft w:val="1800"/>
          <w:marRight w:val="0"/>
          <w:marTop w:val="53"/>
          <w:marBottom w:val="0"/>
          <w:divBdr>
            <w:top w:val="none" w:sz="0" w:space="0" w:color="auto"/>
            <w:left w:val="none" w:sz="0" w:space="0" w:color="auto"/>
            <w:bottom w:val="none" w:sz="0" w:space="0" w:color="auto"/>
            <w:right w:val="none" w:sz="0" w:space="0" w:color="auto"/>
          </w:divBdr>
        </w:div>
        <w:div w:id="1781103302">
          <w:marLeft w:val="1166"/>
          <w:marRight w:val="0"/>
          <w:marTop w:val="62"/>
          <w:marBottom w:val="0"/>
          <w:divBdr>
            <w:top w:val="none" w:sz="0" w:space="0" w:color="auto"/>
            <w:left w:val="none" w:sz="0" w:space="0" w:color="auto"/>
            <w:bottom w:val="none" w:sz="0" w:space="0" w:color="auto"/>
            <w:right w:val="none" w:sz="0" w:space="0" w:color="auto"/>
          </w:divBdr>
        </w:div>
        <w:div w:id="342629662">
          <w:marLeft w:val="1800"/>
          <w:marRight w:val="0"/>
          <w:marTop w:val="53"/>
          <w:marBottom w:val="0"/>
          <w:divBdr>
            <w:top w:val="none" w:sz="0" w:space="0" w:color="auto"/>
            <w:left w:val="none" w:sz="0" w:space="0" w:color="auto"/>
            <w:bottom w:val="none" w:sz="0" w:space="0" w:color="auto"/>
            <w:right w:val="none" w:sz="0" w:space="0" w:color="auto"/>
          </w:divBdr>
        </w:div>
        <w:div w:id="1457216321">
          <w:marLeft w:val="2520"/>
          <w:marRight w:val="0"/>
          <w:marTop w:val="48"/>
          <w:marBottom w:val="0"/>
          <w:divBdr>
            <w:top w:val="none" w:sz="0" w:space="0" w:color="auto"/>
            <w:left w:val="none" w:sz="0" w:space="0" w:color="auto"/>
            <w:bottom w:val="none" w:sz="0" w:space="0" w:color="auto"/>
            <w:right w:val="none" w:sz="0" w:space="0" w:color="auto"/>
          </w:divBdr>
        </w:div>
        <w:div w:id="918444820">
          <w:marLeft w:val="2520"/>
          <w:marRight w:val="0"/>
          <w:marTop w:val="48"/>
          <w:marBottom w:val="0"/>
          <w:divBdr>
            <w:top w:val="none" w:sz="0" w:space="0" w:color="auto"/>
            <w:left w:val="none" w:sz="0" w:space="0" w:color="auto"/>
            <w:bottom w:val="none" w:sz="0" w:space="0" w:color="auto"/>
            <w:right w:val="none" w:sz="0" w:space="0" w:color="auto"/>
          </w:divBdr>
        </w:div>
        <w:div w:id="832716750">
          <w:marLeft w:val="2520"/>
          <w:marRight w:val="0"/>
          <w:marTop w:val="48"/>
          <w:marBottom w:val="0"/>
          <w:divBdr>
            <w:top w:val="none" w:sz="0" w:space="0" w:color="auto"/>
            <w:left w:val="none" w:sz="0" w:space="0" w:color="auto"/>
            <w:bottom w:val="none" w:sz="0" w:space="0" w:color="auto"/>
            <w:right w:val="none" w:sz="0" w:space="0" w:color="auto"/>
          </w:divBdr>
        </w:div>
      </w:divsChild>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88691860">
      <w:bodyDiv w:val="1"/>
      <w:marLeft w:val="0"/>
      <w:marRight w:val="0"/>
      <w:marTop w:val="0"/>
      <w:marBottom w:val="0"/>
      <w:divBdr>
        <w:top w:val="none" w:sz="0" w:space="0" w:color="auto"/>
        <w:left w:val="none" w:sz="0" w:space="0" w:color="auto"/>
        <w:bottom w:val="none" w:sz="0" w:space="0" w:color="auto"/>
        <w:right w:val="none" w:sz="0" w:space="0" w:color="auto"/>
      </w:divBdr>
      <w:divsChild>
        <w:div w:id="1818567944">
          <w:marLeft w:val="547"/>
          <w:marRight w:val="0"/>
          <w:marTop w:val="110"/>
          <w:marBottom w:val="0"/>
          <w:divBdr>
            <w:top w:val="none" w:sz="0" w:space="0" w:color="auto"/>
            <w:left w:val="none" w:sz="0" w:space="0" w:color="auto"/>
            <w:bottom w:val="none" w:sz="0" w:space="0" w:color="auto"/>
            <w:right w:val="none" w:sz="0" w:space="0" w:color="auto"/>
          </w:divBdr>
        </w:div>
        <w:div w:id="175266900">
          <w:marLeft w:val="1166"/>
          <w:marRight w:val="0"/>
          <w:marTop w:val="106"/>
          <w:marBottom w:val="0"/>
          <w:divBdr>
            <w:top w:val="none" w:sz="0" w:space="0" w:color="auto"/>
            <w:left w:val="none" w:sz="0" w:space="0" w:color="auto"/>
            <w:bottom w:val="none" w:sz="0" w:space="0" w:color="auto"/>
            <w:right w:val="none" w:sz="0" w:space="0" w:color="auto"/>
          </w:divBdr>
        </w:div>
        <w:div w:id="1238784765">
          <w:marLeft w:val="1800"/>
          <w:marRight w:val="0"/>
          <w:marTop w:val="91"/>
          <w:marBottom w:val="0"/>
          <w:divBdr>
            <w:top w:val="none" w:sz="0" w:space="0" w:color="auto"/>
            <w:left w:val="none" w:sz="0" w:space="0" w:color="auto"/>
            <w:bottom w:val="none" w:sz="0" w:space="0" w:color="auto"/>
            <w:right w:val="none" w:sz="0" w:space="0" w:color="auto"/>
          </w:divBdr>
        </w:div>
        <w:div w:id="126122899">
          <w:marLeft w:val="1800"/>
          <w:marRight w:val="0"/>
          <w:marTop w:val="91"/>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2036868">
      <w:bodyDiv w:val="1"/>
      <w:marLeft w:val="0"/>
      <w:marRight w:val="0"/>
      <w:marTop w:val="0"/>
      <w:marBottom w:val="0"/>
      <w:divBdr>
        <w:top w:val="none" w:sz="0" w:space="0" w:color="auto"/>
        <w:left w:val="none" w:sz="0" w:space="0" w:color="auto"/>
        <w:bottom w:val="none" w:sz="0" w:space="0" w:color="auto"/>
        <w:right w:val="none" w:sz="0" w:space="0" w:color="auto"/>
      </w:divBdr>
      <w:divsChild>
        <w:div w:id="729184160">
          <w:marLeft w:val="547"/>
          <w:marRight w:val="0"/>
          <w:marTop w:val="96"/>
          <w:marBottom w:val="0"/>
          <w:divBdr>
            <w:top w:val="none" w:sz="0" w:space="0" w:color="auto"/>
            <w:left w:val="none" w:sz="0" w:space="0" w:color="auto"/>
            <w:bottom w:val="none" w:sz="0" w:space="0" w:color="auto"/>
            <w:right w:val="none" w:sz="0" w:space="0" w:color="auto"/>
          </w:divBdr>
        </w:div>
        <w:div w:id="281613589">
          <w:marLeft w:val="1166"/>
          <w:marRight w:val="0"/>
          <w:marTop w:val="96"/>
          <w:marBottom w:val="0"/>
          <w:divBdr>
            <w:top w:val="none" w:sz="0" w:space="0" w:color="auto"/>
            <w:left w:val="none" w:sz="0" w:space="0" w:color="auto"/>
            <w:bottom w:val="none" w:sz="0" w:space="0" w:color="auto"/>
            <w:right w:val="none" w:sz="0" w:space="0" w:color="auto"/>
          </w:divBdr>
        </w:div>
        <w:div w:id="1263534930">
          <w:marLeft w:val="1800"/>
          <w:marRight w:val="0"/>
          <w:marTop w:val="77"/>
          <w:marBottom w:val="0"/>
          <w:divBdr>
            <w:top w:val="none" w:sz="0" w:space="0" w:color="auto"/>
            <w:left w:val="none" w:sz="0" w:space="0" w:color="auto"/>
            <w:bottom w:val="none" w:sz="0" w:space="0" w:color="auto"/>
            <w:right w:val="none" w:sz="0" w:space="0" w:color="auto"/>
          </w:divBdr>
        </w:div>
        <w:div w:id="842015223">
          <w:marLeft w:val="2520"/>
          <w:marRight w:val="0"/>
          <w:marTop w:val="77"/>
          <w:marBottom w:val="0"/>
          <w:divBdr>
            <w:top w:val="none" w:sz="0" w:space="0" w:color="auto"/>
            <w:left w:val="none" w:sz="0" w:space="0" w:color="auto"/>
            <w:bottom w:val="none" w:sz="0" w:space="0" w:color="auto"/>
            <w:right w:val="none" w:sz="0" w:space="0" w:color="auto"/>
          </w:divBdr>
        </w:div>
        <w:div w:id="1421753624">
          <w:marLeft w:val="3240"/>
          <w:marRight w:val="0"/>
          <w:marTop w:val="77"/>
          <w:marBottom w:val="0"/>
          <w:divBdr>
            <w:top w:val="none" w:sz="0" w:space="0" w:color="auto"/>
            <w:left w:val="none" w:sz="0" w:space="0" w:color="auto"/>
            <w:bottom w:val="none" w:sz="0" w:space="0" w:color="auto"/>
            <w:right w:val="none" w:sz="0" w:space="0" w:color="auto"/>
          </w:divBdr>
        </w:div>
        <w:div w:id="1942839796">
          <w:marLeft w:val="3240"/>
          <w:marRight w:val="0"/>
          <w:marTop w:val="77"/>
          <w:marBottom w:val="0"/>
          <w:divBdr>
            <w:top w:val="none" w:sz="0" w:space="0" w:color="auto"/>
            <w:left w:val="none" w:sz="0" w:space="0" w:color="auto"/>
            <w:bottom w:val="none" w:sz="0" w:space="0" w:color="auto"/>
            <w:right w:val="none" w:sz="0" w:space="0" w:color="auto"/>
          </w:divBdr>
        </w:div>
        <w:div w:id="1462768864">
          <w:marLeft w:val="1800"/>
          <w:marRight w:val="0"/>
          <w:marTop w:val="77"/>
          <w:marBottom w:val="0"/>
          <w:divBdr>
            <w:top w:val="none" w:sz="0" w:space="0" w:color="auto"/>
            <w:left w:val="none" w:sz="0" w:space="0" w:color="auto"/>
            <w:bottom w:val="none" w:sz="0" w:space="0" w:color="auto"/>
            <w:right w:val="none" w:sz="0" w:space="0" w:color="auto"/>
          </w:divBdr>
        </w:div>
      </w:divsChild>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7626886">
      <w:bodyDiv w:val="1"/>
      <w:marLeft w:val="0"/>
      <w:marRight w:val="0"/>
      <w:marTop w:val="0"/>
      <w:marBottom w:val="0"/>
      <w:divBdr>
        <w:top w:val="none" w:sz="0" w:space="0" w:color="auto"/>
        <w:left w:val="none" w:sz="0" w:space="0" w:color="auto"/>
        <w:bottom w:val="none" w:sz="0" w:space="0" w:color="auto"/>
        <w:right w:val="none" w:sz="0" w:space="0" w:color="auto"/>
      </w:divBdr>
      <w:divsChild>
        <w:div w:id="2095861800">
          <w:marLeft w:val="547"/>
          <w:marRight w:val="0"/>
          <w:marTop w:val="96"/>
          <w:marBottom w:val="0"/>
          <w:divBdr>
            <w:top w:val="none" w:sz="0" w:space="0" w:color="auto"/>
            <w:left w:val="none" w:sz="0" w:space="0" w:color="auto"/>
            <w:bottom w:val="none" w:sz="0" w:space="0" w:color="auto"/>
            <w:right w:val="none" w:sz="0" w:space="0" w:color="auto"/>
          </w:divBdr>
        </w:div>
        <w:div w:id="2140679980">
          <w:marLeft w:val="1166"/>
          <w:marRight w:val="0"/>
          <w:marTop w:val="96"/>
          <w:marBottom w:val="0"/>
          <w:divBdr>
            <w:top w:val="none" w:sz="0" w:space="0" w:color="auto"/>
            <w:left w:val="none" w:sz="0" w:space="0" w:color="auto"/>
            <w:bottom w:val="none" w:sz="0" w:space="0" w:color="auto"/>
            <w:right w:val="none" w:sz="0" w:space="0" w:color="auto"/>
          </w:divBdr>
        </w:div>
        <w:div w:id="827021800">
          <w:marLeft w:val="1800"/>
          <w:marRight w:val="0"/>
          <w:marTop w:val="77"/>
          <w:marBottom w:val="0"/>
          <w:divBdr>
            <w:top w:val="none" w:sz="0" w:space="0" w:color="auto"/>
            <w:left w:val="none" w:sz="0" w:space="0" w:color="auto"/>
            <w:bottom w:val="none" w:sz="0" w:space="0" w:color="auto"/>
            <w:right w:val="none" w:sz="0" w:space="0" w:color="auto"/>
          </w:divBdr>
        </w:div>
        <w:div w:id="2102483750">
          <w:marLeft w:val="2520"/>
          <w:marRight w:val="0"/>
          <w:marTop w:val="77"/>
          <w:marBottom w:val="0"/>
          <w:divBdr>
            <w:top w:val="none" w:sz="0" w:space="0" w:color="auto"/>
            <w:left w:val="none" w:sz="0" w:space="0" w:color="auto"/>
            <w:bottom w:val="none" w:sz="0" w:space="0" w:color="auto"/>
            <w:right w:val="none" w:sz="0" w:space="0" w:color="auto"/>
          </w:divBdr>
        </w:div>
        <w:div w:id="544368110">
          <w:marLeft w:val="3240"/>
          <w:marRight w:val="0"/>
          <w:marTop w:val="77"/>
          <w:marBottom w:val="0"/>
          <w:divBdr>
            <w:top w:val="none" w:sz="0" w:space="0" w:color="auto"/>
            <w:left w:val="none" w:sz="0" w:space="0" w:color="auto"/>
            <w:bottom w:val="none" w:sz="0" w:space="0" w:color="auto"/>
            <w:right w:val="none" w:sz="0" w:space="0" w:color="auto"/>
          </w:divBdr>
        </w:div>
        <w:div w:id="1319073897">
          <w:marLeft w:val="3240"/>
          <w:marRight w:val="0"/>
          <w:marTop w:val="77"/>
          <w:marBottom w:val="0"/>
          <w:divBdr>
            <w:top w:val="none" w:sz="0" w:space="0" w:color="auto"/>
            <w:left w:val="none" w:sz="0" w:space="0" w:color="auto"/>
            <w:bottom w:val="none" w:sz="0" w:space="0" w:color="auto"/>
            <w:right w:val="none" w:sz="0" w:space="0" w:color="auto"/>
          </w:divBdr>
        </w:div>
        <w:div w:id="257563500">
          <w:marLeft w:val="1800"/>
          <w:marRight w:val="0"/>
          <w:marTop w:val="77"/>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FAEB2-7A14-41B9-B6F2-86E8AB1B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14897</TotalTime>
  <Pages>1</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177</cp:revision>
  <dcterms:created xsi:type="dcterms:W3CDTF">2019-09-18T02:52:00Z</dcterms:created>
  <dcterms:modified xsi:type="dcterms:W3CDTF">2021-08-06T15:55:00Z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(3)7XXODpWeNp+bfSfy6KmUGyOCW4PhNJOqTh8w2y8RsfYSj9EKQJLogiDXDvacNZvvbTdI4zvF
yGSmjf7vJgA4Zx5B5GYpY2sy8XpgB5fLeJnJiJsFvFYLKKLHrGU6m0rWyq1F9eFblO9RjiZO
1VIE3xrMBNaEx34kKTb39dh5Lel84U3btJ3nFmcc0maI1QUejbqzfnfVvVI1IHh3h8tvGycJ
DfYsMQ9FqAUTQTa6zj</vt:lpwstr>
  </property>
  <property fmtid="{D5CDD505-2E9C-101B-9397-08002B2CF9AE}" pid="3" name="_2015_ms_pID_7253431">
    <vt:lpwstr>hDKsLs9TApGCiy4ZMHcHF5Zuh4OFq4tI4vNChGzJ3v7O78jqSpfwMJ
1y2fPTUGs5yTlb+zg7Lb4NTZA59UGX2/fQsZ/7gQ6hP9AiaHXQgHLgnN9+biBsEJHKvP/Zzo
S2nrNCEsqtwGTEMiy2k/+dY6QAlVaGORjtwun/9f5hBvxb+S+MnqsBJPF3jKqFLR7zDce3Z5
Mbuy/BsCXmkcB8jY6jhoxfxjigarCH/QzCpP</vt:lpwstr>
  </property>
  <property fmtid="{D5CDD505-2E9C-101B-9397-08002B2CF9AE}" pid="4" name="_2015_ms_pID_7253432">
    <vt:lpwstr>+Hz72GqdVvsBYHSHj5GhPkQ=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