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FBD0" w14:textId="0EAD2881" w:rsidR="00EF5850" w:rsidRPr="00C4644C" w:rsidRDefault="00EF5850" w:rsidP="00EF5850">
      <w:pPr>
        <w:pStyle w:val="CRCoverPage"/>
        <w:tabs>
          <w:tab w:val="right" w:pos="9639"/>
        </w:tabs>
        <w:rPr>
          <w:b/>
          <w:noProof/>
          <w:sz w:val="24"/>
          <w:lang w:val="en-CN"/>
        </w:rPr>
      </w:pPr>
      <w:r>
        <w:rPr>
          <w:b/>
          <w:noProof/>
          <w:sz w:val="24"/>
        </w:rPr>
        <w:t>3GPP TSG-</w:t>
      </w:r>
      <w:r w:rsidR="00B31CB4">
        <w:fldChar w:fldCharType="begin"/>
      </w:r>
      <w:r w:rsidR="00B31CB4">
        <w:instrText xml:space="preserve"> DOCPROPERTY  TSG/WGRef  \* MERGEFORMAT </w:instrText>
      </w:r>
      <w:r w:rsidR="00B31CB4">
        <w:fldChar w:fldCharType="separate"/>
      </w:r>
      <w:r>
        <w:rPr>
          <w:b/>
          <w:noProof/>
          <w:sz w:val="24"/>
        </w:rPr>
        <w:t>RAN4</w:t>
      </w:r>
      <w:r w:rsidR="00B31CB4">
        <w:rPr>
          <w:b/>
          <w:noProof/>
          <w:sz w:val="24"/>
        </w:rPr>
        <w:fldChar w:fldCharType="end"/>
      </w:r>
      <w:r>
        <w:rPr>
          <w:b/>
          <w:noProof/>
          <w:sz w:val="24"/>
        </w:rPr>
        <w:t xml:space="preserve"> Meeting #100</w:t>
      </w:r>
      <w:r w:rsidR="00B31CB4">
        <w:fldChar w:fldCharType="begin"/>
      </w:r>
      <w:r w:rsidR="00B31CB4">
        <w:instrText xml:space="preserve"> DOCPROPERTY  MtgTitle  \* MERGEFORMAT </w:instrText>
      </w:r>
      <w:r w:rsidR="00B31CB4">
        <w:fldChar w:fldCharType="separate"/>
      </w:r>
      <w:r>
        <w:rPr>
          <w:b/>
          <w:noProof/>
          <w:sz w:val="24"/>
        </w:rPr>
        <w:t>-e</w:t>
      </w:r>
      <w:r w:rsidR="00B31CB4">
        <w:rPr>
          <w:b/>
          <w:noProof/>
          <w:sz w:val="24"/>
        </w:rPr>
        <w:fldChar w:fldCharType="end"/>
      </w:r>
      <w:r>
        <w:rPr>
          <w:b/>
          <w:i/>
          <w:noProof/>
          <w:sz w:val="28"/>
        </w:rPr>
        <w:tab/>
      </w:r>
      <w:r w:rsidR="00C4644C" w:rsidRPr="00C4644C">
        <w:rPr>
          <w:b/>
          <w:noProof/>
          <w:sz w:val="24"/>
          <w:lang w:val="en-CN"/>
        </w:rPr>
        <w:t>R4-2112074</w:t>
      </w:r>
    </w:p>
    <w:p w14:paraId="2A685034" w14:textId="77777777" w:rsidR="00EF5850" w:rsidRDefault="00B31CB4" w:rsidP="00EF5850">
      <w:pPr>
        <w:pStyle w:val="CRCoverPage"/>
        <w:outlineLvl w:val="0"/>
        <w:rPr>
          <w:b/>
          <w:noProof/>
          <w:sz w:val="24"/>
        </w:rPr>
      </w:pPr>
      <w:r>
        <w:fldChar w:fldCharType="begin"/>
      </w:r>
      <w:r>
        <w:instrText xml:space="preserve"> DOCPROPERTY  Location  \* MERGEFORMAT </w:instrText>
      </w:r>
      <w:r>
        <w:fldChar w:fldCharType="separate"/>
      </w:r>
      <w:r w:rsidR="00EF5850" w:rsidRPr="00BA51D9">
        <w:rPr>
          <w:b/>
          <w:noProof/>
          <w:sz w:val="24"/>
        </w:rPr>
        <w:t>Online</w:t>
      </w:r>
      <w:r>
        <w:rPr>
          <w:b/>
          <w:noProof/>
          <w:sz w:val="24"/>
        </w:rPr>
        <w:fldChar w:fldCharType="end"/>
      </w:r>
      <w:r w:rsidR="00EF5850">
        <w:rPr>
          <w:b/>
          <w:noProof/>
          <w:sz w:val="24"/>
        </w:rPr>
        <w:t xml:space="preserve">, </w:t>
      </w:r>
      <w:r w:rsidR="00EF5850" w:rsidRPr="00D52283">
        <w:rPr>
          <w:b/>
          <w:sz w:val="24"/>
          <w:szCs w:val="24"/>
          <w:lang w:eastAsia="zh-CN"/>
        </w:rPr>
        <w:fldChar w:fldCharType="begin"/>
      </w:r>
      <w:r w:rsidR="00EF5850" w:rsidRPr="00D52283">
        <w:rPr>
          <w:b/>
          <w:sz w:val="24"/>
          <w:szCs w:val="24"/>
          <w:lang w:eastAsia="zh-CN"/>
        </w:rPr>
        <w:instrText xml:space="preserve"> DOCPROPERTY  Country  \* MERGEFORMAT </w:instrText>
      </w:r>
      <w:r w:rsidR="00EF5850" w:rsidRPr="00D52283">
        <w:rPr>
          <w:b/>
          <w:sz w:val="24"/>
          <w:szCs w:val="24"/>
          <w:lang w:eastAsia="zh-CN"/>
        </w:rPr>
        <w:fldChar w:fldCharType="end"/>
      </w:r>
      <w:r w:rsidR="00EF5850">
        <w:rPr>
          <w:b/>
          <w:sz w:val="24"/>
          <w:szCs w:val="24"/>
          <w:lang w:eastAsia="zh-CN"/>
        </w:rPr>
        <w:t>16</w:t>
      </w:r>
      <w:r w:rsidR="00EF5850" w:rsidRPr="00BF1228">
        <w:rPr>
          <w:b/>
          <w:sz w:val="24"/>
          <w:szCs w:val="24"/>
          <w:lang w:eastAsia="zh-CN"/>
        </w:rPr>
        <w:t xml:space="preserve"> </w:t>
      </w:r>
      <w:r w:rsidR="00EF5850">
        <w:rPr>
          <w:b/>
          <w:sz w:val="24"/>
          <w:szCs w:val="24"/>
          <w:lang w:eastAsia="zh-CN"/>
        </w:rPr>
        <w:t>– 27 August</w:t>
      </w:r>
      <w:r w:rsidR="00EF5850" w:rsidRPr="00BF1228">
        <w:rPr>
          <w:b/>
          <w:sz w:val="24"/>
          <w:szCs w:val="24"/>
          <w:lang w:eastAsia="zh-CN"/>
        </w:rPr>
        <w:t>, 202</w:t>
      </w:r>
      <w:r w:rsidR="00EF5850">
        <w:rPr>
          <w:b/>
          <w:sz w:val="24"/>
          <w:szCs w:val="24"/>
          <w:lang w:eastAsia="zh-CN"/>
        </w:rPr>
        <w:t>1</w:t>
      </w:r>
    </w:p>
    <w:p w14:paraId="038E9536" w14:textId="1778D3C9"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EB271D" w:rsidRPr="00EB271D">
        <w:rPr>
          <w:rFonts w:ascii="Arial" w:hAnsi="Arial" w:cs="Arial"/>
          <w:b/>
          <w:sz w:val="22"/>
          <w:szCs w:val="22"/>
        </w:rPr>
        <w:t>9.</w:t>
      </w:r>
      <w:r w:rsidR="00F640FA">
        <w:rPr>
          <w:rFonts w:ascii="Arial" w:hAnsi="Arial" w:cs="Arial"/>
          <w:b/>
          <w:sz w:val="22"/>
          <w:szCs w:val="22"/>
        </w:rPr>
        <w:t>8.2.1.</w:t>
      </w:r>
      <w:r w:rsidR="00475CF7">
        <w:rPr>
          <w:rFonts w:ascii="Arial" w:hAnsi="Arial" w:cs="Arial"/>
          <w:b/>
          <w:sz w:val="22"/>
          <w:szCs w:val="22"/>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FF571E6"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475CF7" w:rsidRPr="00475CF7">
        <w:rPr>
          <w:rFonts w:ascii="Arial" w:hAnsi="Arial" w:cs="Arial"/>
          <w:b/>
          <w:sz w:val="22"/>
          <w:szCs w:val="22"/>
          <w:lang w:val="en-CN"/>
        </w:rPr>
        <w:t>On remaining issues for R17 FR1 HST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7CC82843" w:rsidR="000D5DC6" w:rsidRPr="000D5DC6" w:rsidRDefault="00DF5A14" w:rsidP="00CA0B7B">
      <w:r w:rsidRPr="00DF5A14">
        <w:t>In RAN4#</w:t>
      </w:r>
      <w:r w:rsidR="006E4942">
        <w:t>99</w:t>
      </w:r>
      <w:r w:rsidRPr="00DF5A14">
        <w:t xml:space="preserve">e </w:t>
      </w:r>
      <w:r w:rsidR="003A05F4" w:rsidRPr="003A05F4">
        <w:rPr>
          <w:bCs/>
          <w:lang w:val="en-CN"/>
        </w:rPr>
        <w:t>R17 FR1 HST</w:t>
      </w:r>
      <w:r w:rsidR="003A05F4" w:rsidRPr="003A05F4">
        <w:t xml:space="preserve"> </w:t>
      </w:r>
      <w:r w:rsidR="003A05F4">
        <w:rPr>
          <w:lang w:eastAsia="zh-CN"/>
        </w:rPr>
        <w:t>enhancement</w:t>
      </w:r>
      <w:r w:rsidR="003A05F4">
        <w:rPr>
          <w:lang w:val="en-US" w:eastAsia="zh-CN"/>
        </w:rPr>
        <w:t xml:space="preserve"> </w:t>
      </w:r>
      <w:r w:rsidR="00415B84">
        <w:t>was widely discussed. Corresponding agreement and open items are captured in the approved WF [1]</w:t>
      </w:r>
      <w:r w:rsidR="0006054E">
        <w:t>.</w:t>
      </w:r>
      <w:r w:rsidR="00354E97">
        <w:t xml:space="preserve"> In </w:t>
      </w:r>
      <w:r w:rsidR="0069699A">
        <w:t>our companion</w:t>
      </w:r>
      <w:r w:rsidR="00354E97">
        <w:t xml:space="preserve"> contribution</w:t>
      </w:r>
      <w:r w:rsidR="0069699A">
        <w:t>s [2~3] intra-frequency and inter-frequency measurement enhancement are discussed. In this contribution,</w:t>
      </w:r>
      <w:r w:rsidR="00354E97">
        <w:t xml:space="preserve"> we </w:t>
      </w:r>
      <w:r w:rsidR="0069699A">
        <w:t>provide our views on the other remaining</w:t>
      </w:r>
      <w:r w:rsidR="00B04A69">
        <w:t xml:space="preserve"> </w:t>
      </w:r>
      <w:r w:rsidR="0069699A">
        <w:t>issues according to [1]</w:t>
      </w:r>
      <w:r w:rsidR="00354E97">
        <w: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CF9DE49" w14:textId="58BA8704" w:rsidR="005C597E" w:rsidRPr="00E74F41" w:rsidRDefault="00D0471F" w:rsidP="00E74F41">
      <w:pPr>
        <w:pStyle w:val="Caption"/>
        <w:rPr>
          <w:b w:val="0"/>
          <w:bCs w:val="0"/>
        </w:rPr>
      </w:pPr>
      <w:r>
        <w:rPr>
          <w:b w:val="0"/>
          <w:bCs w:val="0"/>
        </w:rPr>
        <w:t xml:space="preserve">The first issue we would like to discuss is </w:t>
      </w:r>
      <w:r w:rsidR="00E74F41">
        <w:rPr>
          <w:b w:val="0"/>
          <w:bCs w:val="0"/>
          <w:lang w:val="en-US"/>
        </w:rPr>
        <w:t>r</w:t>
      </w:r>
      <w:r w:rsidR="005C597E" w:rsidRPr="00E74F41">
        <w:rPr>
          <w:b w:val="0"/>
          <w:bCs w:val="0"/>
          <w:lang w:val="en-US"/>
        </w:rPr>
        <w:t>egarding SCell link recovery:</w:t>
      </w:r>
    </w:p>
    <w:p w14:paraId="4D3441FA" w14:textId="77777777" w:rsidR="005C597E" w:rsidRPr="005C597E" w:rsidRDefault="005C597E" w:rsidP="00E844DC">
      <w:pPr>
        <w:numPr>
          <w:ilvl w:val="0"/>
          <w:numId w:val="27"/>
        </w:numPr>
        <w:rPr>
          <w:lang w:val="en-CN" w:eastAsia="x-none"/>
        </w:rPr>
      </w:pPr>
      <w:r w:rsidRPr="005C597E">
        <w:rPr>
          <w:lang w:val="en-US" w:eastAsia="x-none"/>
        </w:rPr>
        <w:t>Scell link recovery</w:t>
      </w:r>
    </w:p>
    <w:p w14:paraId="68D3F41A" w14:textId="77777777" w:rsidR="005C597E" w:rsidRPr="005C597E" w:rsidRDefault="005C597E" w:rsidP="00E844DC">
      <w:pPr>
        <w:numPr>
          <w:ilvl w:val="1"/>
          <w:numId w:val="27"/>
        </w:numPr>
        <w:rPr>
          <w:lang w:val="en-CN" w:eastAsia="x-none"/>
        </w:rPr>
      </w:pPr>
      <w:r w:rsidRPr="005C597E">
        <w:rPr>
          <w:lang w:val="en-US" w:eastAsia="x-none"/>
        </w:rPr>
        <w:t>Option 1 (CATT, CMCC, vivo, Nokia): For SCell link recovery, it depends on network. There is no need to have the limitation on the number of band(s)in the spec</w:t>
      </w:r>
    </w:p>
    <w:p w14:paraId="264872F2" w14:textId="77777777" w:rsidR="005C597E" w:rsidRPr="005C597E" w:rsidRDefault="005C597E" w:rsidP="00E844DC">
      <w:pPr>
        <w:numPr>
          <w:ilvl w:val="1"/>
          <w:numId w:val="27"/>
        </w:numPr>
        <w:rPr>
          <w:lang w:val="en-CN" w:eastAsia="x-none"/>
        </w:rPr>
      </w:pPr>
      <w:r w:rsidRPr="005C597E">
        <w:rPr>
          <w:lang w:val="en-US" w:eastAsia="x-none"/>
        </w:rPr>
        <w:t>Option 2 (MTK): For SCell link recovery, RAN4 needs to study how many band(s) is supported in R17 HST in FR1</w:t>
      </w:r>
    </w:p>
    <w:p w14:paraId="446E7E2A" w14:textId="77777777" w:rsidR="005C597E" w:rsidRPr="005C597E" w:rsidRDefault="005C597E" w:rsidP="00E844DC">
      <w:pPr>
        <w:numPr>
          <w:ilvl w:val="1"/>
          <w:numId w:val="27"/>
        </w:numPr>
        <w:rPr>
          <w:lang w:val="en-CN" w:eastAsia="x-none"/>
        </w:rPr>
      </w:pPr>
      <w:r w:rsidRPr="005C597E">
        <w:rPr>
          <w:lang w:val="en-US" w:eastAsia="x-none"/>
        </w:rPr>
        <w:t>Option 3 (OPPO, HW, Nokia, vivo): The same limitation on the number of band(s) on which UE is performing beam failure detection for SCell in R16 can be reused in R17 HST</w:t>
      </w:r>
    </w:p>
    <w:p w14:paraId="3012D99E" w14:textId="4C8112C3" w:rsidR="00D0471F" w:rsidRDefault="006E62D3" w:rsidP="00D0471F">
      <w:pPr>
        <w:rPr>
          <w:lang w:val="en-US" w:eastAsia="zh-CN"/>
        </w:rPr>
      </w:pPr>
      <w:r>
        <w:rPr>
          <w:lang w:val="en-US" w:eastAsia="x-none"/>
        </w:rPr>
        <w:t xml:space="preserve">We believe option 1 is straightforward. For option 3, we think some clarification is needed. Because we didn’t explicitly define any limitation on the number of bands in R16. For SSB based </w:t>
      </w:r>
      <w:r w:rsidR="00AA7F3F">
        <w:rPr>
          <w:lang w:val="en-US" w:eastAsia="x-none"/>
        </w:rPr>
        <w:t>link recovery</w:t>
      </w:r>
      <w:r>
        <w:rPr>
          <w:lang w:val="en-US" w:eastAsia="x-none"/>
        </w:rPr>
        <w:t xml:space="preserve">, since only PCell and PSCell can support SSB based </w:t>
      </w:r>
      <w:r w:rsidR="00AA7F3F">
        <w:rPr>
          <w:lang w:val="en-US" w:eastAsia="x-none"/>
        </w:rPr>
        <w:t>link recovery</w:t>
      </w:r>
      <w:r>
        <w:rPr>
          <w:lang w:val="en-US" w:eastAsia="x-none"/>
        </w:rPr>
        <w:t xml:space="preserve">, </w:t>
      </w:r>
      <w:r w:rsidR="00AA7F3F">
        <w:rPr>
          <w:lang w:val="en-US" w:eastAsia="zh-CN"/>
        </w:rPr>
        <w:t xml:space="preserve">naturally the limitation on the number of bands would be 1 in SA, EN-DC and NE-DC, or 2 in NR-DC. As for CSI-RS based </w:t>
      </w:r>
      <w:r w:rsidR="00AA7F3F">
        <w:rPr>
          <w:lang w:val="en-US" w:eastAsia="x-none"/>
        </w:rPr>
        <w:t>link recovery</w:t>
      </w:r>
      <w:r w:rsidR="00AA7F3F">
        <w:rPr>
          <w:lang w:val="en-US" w:eastAsia="zh-CN"/>
        </w:rPr>
        <w:t>, the maximum number of bands depends on the supported band combination of CA by UE. Therefore, we don’t see the necessity to define the limitation on number of bands for SCell link recovery.</w:t>
      </w:r>
    </w:p>
    <w:p w14:paraId="0EB99EC8" w14:textId="1F036A2B" w:rsidR="0030063C" w:rsidRDefault="0030063C" w:rsidP="0030063C">
      <w:pPr>
        <w:pStyle w:val="Caption"/>
        <w:rPr>
          <w:lang w:val="en-US"/>
        </w:rPr>
      </w:pPr>
      <w:bookmarkStart w:id="2" w:name="_Ref78812700"/>
      <w:r>
        <w:t xml:space="preserve">Proposal </w:t>
      </w:r>
      <w:r>
        <w:fldChar w:fldCharType="begin"/>
      </w:r>
      <w:r>
        <w:instrText xml:space="preserve"> SEQ Proposal \* ARABIC </w:instrText>
      </w:r>
      <w:r>
        <w:fldChar w:fldCharType="separate"/>
      </w:r>
      <w:r w:rsidR="00C93697">
        <w:rPr>
          <w:noProof/>
        </w:rPr>
        <w:t>1</w:t>
      </w:r>
      <w:r>
        <w:fldChar w:fldCharType="end"/>
      </w:r>
      <w:r>
        <w:t>:</w:t>
      </w:r>
      <w:r w:rsidR="00794DA9" w:rsidRPr="00794DA9">
        <w:rPr>
          <w:lang w:val="en-US"/>
        </w:rPr>
        <w:t xml:space="preserve"> </w:t>
      </w:r>
      <w:r w:rsidR="005C597E" w:rsidRPr="005C597E">
        <w:rPr>
          <w:lang w:val="en-US"/>
        </w:rPr>
        <w:t>For SCell link recovery, it depends on network. There is no need to have the limitation on the number of band(s)in the spec</w:t>
      </w:r>
      <w:r w:rsidR="00794DA9">
        <w:rPr>
          <w:lang w:val="en-US"/>
        </w:rPr>
        <w:t>.</w:t>
      </w:r>
      <w:bookmarkEnd w:id="2"/>
    </w:p>
    <w:p w14:paraId="4FB3A392" w14:textId="77777777" w:rsidR="00AA7F3F" w:rsidRDefault="00AA7F3F" w:rsidP="00D0471F">
      <w:pPr>
        <w:rPr>
          <w:lang w:val="en-US" w:eastAsia="zh-CN"/>
        </w:rPr>
      </w:pPr>
    </w:p>
    <w:p w14:paraId="1DC26B84" w14:textId="5F332D0A" w:rsidR="00E844DC" w:rsidRDefault="00E844DC" w:rsidP="00D0471F">
      <w:pPr>
        <w:rPr>
          <w:lang w:val="en-US" w:eastAsia="x-none"/>
        </w:rPr>
      </w:pPr>
      <w:r>
        <w:rPr>
          <w:lang w:val="en-US" w:eastAsia="x-none"/>
        </w:rPr>
        <w:t>The next issue is about CSSF:</w:t>
      </w:r>
    </w:p>
    <w:p w14:paraId="4546A8AA" w14:textId="77777777" w:rsidR="00E844DC" w:rsidRPr="00E844DC" w:rsidRDefault="00E844DC" w:rsidP="00E62303">
      <w:pPr>
        <w:numPr>
          <w:ilvl w:val="0"/>
          <w:numId w:val="28"/>
        </w:numPr>
        <w:rPr>
          <w:lang w:val="en-CN" w:eastAsia="x-none"/>
        </w:rPr>
      </w:pPr>
      <w:r w:rsidRPr="00E844DC">
        <w:rPr>
          <w:lang w:val="en-US" w:eastAsia="x-none"/>
        </w:rPr>
        <w:t>CSSF</w:t>
      </w:r>
    </w:p>
    <w:p w14:paraId="42C1500F" w14:textId="77777777" w:rsidR="00E844DC" w:rsidRPr="00E844DC" w:rsidRDefault="00E844DC" w:rsidP="00E62303">
      <w:pPr>
        <w:numPr>
          <w:ilvl w:val="1"/>
          <w:numId w:val="28"/>
        </w:numPr>
        <w:rPr>
          <w:lang w:val="en-CN" w:eastAsia="x-none"/>
        </w:rPr>
      </w:pPr>
      <w:r w:rsidRPr="00E844DC">
        <w:rPr>
          <w:lang w:val="en-US" w:eastAsia="x-none"/>
        </w:rPr>
        <w:t>Option 1(HW, OPPO, QC, CATT, CMCC, Ericsson, Nokia, vivo): For CSSF, it depends on network. There is no need to have the limitation on the number of Scell (s) in the spec</w:t>
      </w:r>
    </w:p>
    <w:p w14:paraId="0D29222C" w14:textId="77777777" w:rsidR="00E844DC" w:rsidRPr="00E844DC" w:rsidRDefault="00E844DC" w:rsidP="00E62303">
      <w:pPr>
        <w:numPr>
          <w:ilvl w:val="1"/>
          <w:numId w:val="28"/>
        </w:numPr>
        <w:rPr>
          <w:lang w:val="en-CN" w:eastAsia="x-none"/>
        </w:rPr>
      </w:pPr>
      <w:r w:rsidRPr="00E844DC">
        <w:rPr>
          <w:lang w:val="en-US" w:eastAsia="x-none"/>
        </w:rPr>
        <w:t>Option 2 (MTK): For CSSF, RAN4 needs to study how many SCell(s) is supported in R17 HST in FR1</w:t>
      </w:r>
    </w:p>
    <w:p w14:paraId="4953CBCC" w14:textId="30674A2E" w:rsidR="00E844DC" w:rsidRDefault="00E62303" w:rsidP="00D0471F">
      <w:pPr>
        <w:rPr>
          <w:lang w:val="en-US" w:eastAsia="x-none"/>
        </w:rPr>
      </w:pPr>
      <w:r>
        <w:rPr>
          <w:lang w:val="en-US" w:eastAsia="x-none"/>
        </w:rPr>
        <w:t>According to TS38.133, RAN4 has specified the applicability requirements for the supported number of serving carriers in section 3.6.2:</w:t>
      </w:r>
    </w:p>
    <w:tbl>
      <w:tblPr>
        <w:tblStyle w:val="TableGrid"/>
        <w:tblW w:w="0" w:type="auto"/>
        <w:tblLook w:val="04A0" w:firstRow="1" w:lastRow="0" w:firstColumn="1" w:lastColumn="0" w:noHBand="0" w:noVBand="1"/>
      </w:tblPr>
      <w:tblGrid>
        <w:gridCol w:w="9629"/>
      </w:tblGrid>
      <w:tr w:rsidR="00E62303" w14:paraId="2CABB3C3" w14:textId="77777777" w:rsidTr="00E62303">
        <w:tc>
          <w:tcPr>
            <w:tcW w:w="9629" w:type="dxa"/>
          </w:tcPr>
          <w:p w14:paraId="37A7AB88" w14:textId="77777777" w:rsidR="00002854" w:rsidRPr="009C5807" w:rsidRDefault="00002854" w:rsidP="00002854">
            <w:pPr>
              <w:pStyle w:val="Heading3"/>
              <w:outlineLvl w:val="2"/>
              <w:rPr>
                <w:lang w:val="en-US"/>
              </w:rPr>
            </w:pPr>
            <w:bookmarkStart w:id="3" w:name="_Toc5952526"/>
            <w:r w:rsidRPr="009C5807">
              <w:rPr>
                <w:lang w:val="en-US"/>
              </w:rPr>
              <w:lastRenderedPageBreak/>
              <w:t>3.6.2</w:t>
            </w:r>
            <w:r w:rsidRPr="009C5807">
              <w:rPr>
                <w:lang w:val="en-US"/>
              </w:rPr>
              <w:tab/>
              <w:t>Number of serving carriers</w:t>
            </w:r>
          </w:p>
          <w:p w14:paraId="7670A6AE" w14:textId="77777777" w:rsidR="000D7F06" w:rsidRPr="009C5807" w:rsidRDefault="000D7F06" w:rsidP="000D7F06">
            <w:pPr>
              <w:pStyle w:val="Heading4"/>
              <w:outlineLvl w:val="3"/>
              <w:rPr>
                <w:lang w:val="en-US"/>
              </w:rPr>
            </w:pPr>
            <w:r w:rsidRPr="009C5807">
              <w:rPr>
                <w:lang w:val="en-US"/>
              </w:rPr>
              <w:t>3.6.2.1</w:t>
            </w:r>
            <w:r w:rsidRPr="009C5807">
              <w:rPr>
                <w:lang w:val="en-US"/>
              </w:rPr>
              <w:tab/>
              <w:t>Number of serving carriers for SA</w:t>
            </w:r>
            <w:bookmarkEnd w:id="3"/>
          </w:p>
          <w:p w14:paraId="5AB74803" w14:textId="77777777" w:rsidR="000D7F06" w:rsidRPr="009C5807" w:rsidRDefault="000D7F06" w:rsidP="000D7F06">
            <w:r w:rsidRPr="009C5807">
              <w:t>Requirements for standalone NR with NR PCell are applicable for the UE configured with the following number of serving NR CCs:</w:t>
            </w:r>
          </w:p>
          <w:p w14:paraId="44527D05" w14:textId="77777777" w:rsidR="000D7F06" w:rsidRPr="009C5807" w:rsidRDefault="000D7F06" w:rsidP="000D7F06">
            <w:pPr>
              <w:pStyle w:val="B1"/>
            </w:pPr>
            <w:r w:rsidRPr="009C5807">
              <w:t>-</w:t>
            </w:r>
            <w:r w:rsidRPr="009C5807">
              <w:tab/>
              <w:t>up to 8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2B93122B" w14:textId="77777777" w:rsidR="000D7F06" w:rsidRPr="009C5807" w:rsidRDefault="000D7F06" w:rsidP="000D7F06">
            <w:pPr>
              <w:pStyle w:val="B1"/>
            </w:pPr>
            <w:r w:rsidRPr="009C5807">
              <w:t>-</w:t>
            </w:r>
            <w:r w:rsidRPr="009C5807">
              <w:tab/>
              <w:t>SUL may be configured together with one of the UL</w:t>
            </w:r>
          </w:p>
          <w:p w14:paraId="442CBDEF" w14:textId="77777777" w:rsidR="000D7F06" w:rsidRPr="009C5807" w:rsidRDefault="000D7F06" w:rsidP="000D7F06">
            <w:pPr>
              <w:pStyle w:val="Heading4"/>
              <w:outlineLvl w:val="3"/>
              <w:rPr>
                <w:lang w:val="en-US"/>
              </w:rPr>
            </w:pPr>
            <w:bookmarkStart w:id="4" w:name="_Toc526331583"/>
            <w:bookmarkStart w:id="5" w:name="_Toc5952528"/>
            <w:r w:rsidRPr="009C5807">
              <w:rPr>
                <w:lang w:val="en-US"/>
              </w:rPr>
              <w:t>3.6.2.2</w:t>
            </w:r>
            <w:r w:rsidRPr="009C5807">
              <w:rPr>
                <w:lang w:val="en-US"/>
              </w:rPr>
              <w:tab/>
              <w:t>Number of serving carriers for EN-DC</w:t>
            </w:r>
            <w:bookmarkEnd w:id="4"/>
          </w:p>
          <w:p w14:paraId="037F4A27" w14:textId="77777777" w:rsidR="000D7F06" w:rsidRPr="009C5807" w:rsidRDefault="000D7F06" w:rsidP="000D7F06">
            <w:r w:rsidRPr="009C5807">
              <w:t>Requirements for EN-DC operation of E-UTRA and NR with E-UTRA PCell and NR PSCell are applicable for the UE configured with the following number of serving NR CCs:</w:t>
            </w:r>
          </w:p>
          <w:p w14:paraId="454C62DB" w14:textId="77777777" w:rsidR="000D7F06" w:rsidRPr="009C5807" w:rsidRDefault="000D7F06" w:rsidP="000D7F06">
            <w:pPr>
              <w:pStyle w:val="B1"/>
            </w:pPr>
            <w:r w:rsidRPr="009C5807">
              <w:t>-</w:t>
            </w:r>
            <w:r w:rsidRPr="009C5807">
              <w:tab/>
              <w:t>up to 7 NR DL CCs in total, with 1 UL (</w:t>
            </w:r>
            <w:r w:rsidRPr="009C5807">
              <w:rPr>
                <w:lang w:eastAsia="zh-CN"/>
              </w:rPr>
              <w:t xml:space="preserve">or 2 UL if SUL is configured) in </w:t>
            </w:r>
            <w:r w:rsidRPr="009C5807">
              <w:t>PSCell and up to 1 UL</w:t>
            </w:r>
            <w:r w:rsidRPr="009C5807">
              <w:rPr>
                <w:lang w:eastAsia="zh-CN"/>
              </w:rPr>
              <w:t xml:space="preserve"> (or 2 UL if SUL is configured) in</w:t>
            </w:r>
            <w:r w:rsidRPr="009C5807">
              <w:t xml:space="preserve"> SCell in different FR with PSCell.</w:t>
            </w:r>
          </w:p>
          <w:p w14:paraId="1E79373D" w14:textId="77777777" w:rsidR="000D7F06" w:rsidRPr="009C5807" w:rsidRDefault="000D7F06" w:rsidP="000D7F06">
            <w:pPr>
              <w:pStyle w:val="B1"/>
            </w:pPr>
            <w:r w:rsidRPr="009C5807">
              <w:t>-</w:t>
            </w:r>
            <w:r w:rsidRPr="009C5807">
              <w:tab/>
              <w:t>SUL may be configured together with one of the UL</w:t>
            </w:r>
          </w:p>
          <w:p w14:paraId="2B48E42C" w14:textId="77777777" w:rsidR="000D7F06" w:rsidRPr="009C5807" w:rsidRDefault="000D7F06" w:rsidP="000D7F06">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26662AA0" w14:textId="77777777" w:rsidR="000D7F06" w:rsidRPr="009C5807" w:rsidRDefault="000D7F06" w:rsidP="000D7F06">
            <w:pPr>
              <w:pStyle w:val="Heading4"/>
              <w:outlineLvl w:val="3"/>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5"/>
          </w:p>
          <w:p w14:paraId="387E1045" w14:textId="77777777" w:rsidR="000D7F06" w:rsidRPr="009C5807" w:rsidRDefault="000D7F06" w:rsidP="000D7F06">
            <w:r w:rsidRPr="009C5807">
              <w:t>Requirements for NE-DC operation of NR and E-UTRA with NR PCell and E-UTRA PSCell are applicable for the UE configured with the following number of serving NR CCs:</w:t>
            </w:r>
          </w:p>
          <w:p w14:paraId="5743003B" w14:textId="77777777" w:rsidR="000D7F06" w:rsidRPr="009C5807" w:rsidRDefault="000D7F06" w:rsidP="000D7F06">
            <w:pPr>
              <w:pStyle w:val="B1"/>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406CB71E" w14:textId="77777777" w:rsidR="000D7F06" w:rsidRPr="009C5807" w:rsidRDefault="000D7F06" w:rsidP="000D7F06">
            <w:pPr>
              <w:pStyle w:val="B1"/>
            </w:pPr>
            <w:r w:rsidRPr="009C5807">
              <w:t>-</w:t>
            </w:r>
            <w:r w:rsidRPr="009C5807">
              <w:tab/>
              <w:t>SUL may be configured together with one of the UL</w:t>
            </w:r>
          </w:p>
          <w:p w14:paraId="25B9D204" w14:textId="77777777" w:rsidR="000D7F06" w:rsidRPr="009C5807" w:rsidRDefault="000D7F06" w:rsidP="000D7F06">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64BAAE4E" w14:textId="77777777" w:rsidR="000D7F06" w:rsidRPr="009C5807" w:rsidRDefault="000D7F06" w:rsidP="000D7F06">
            <w:pPr>
              <w:pStyle w:val="Heading4"/>
              <w:outlineLvl w:val="3"/>
              <w:rPr>
                <w:lang w:eastAsia="ko-KR"/>
              </w:rPr>
            </w:pPr>
            <w:bookmarkStart w:id="6" w:name="_Toc5952530"/>
            <w:r w:rsidRPr="009C5807">
              <w:rPr>
                <w:lang w:val="en-US"/>
              </w:rPr>
              <w:t>3.6.2.4</w:t>
            </w:r>
            <w:r w:rsidRPr="009C5807">
              <w:rPr>
                <w:lang w:val="en-US"/>
              </w:rPr>
              <w:tab/>
              <w:t xml:space="preserve">Number of serving carriers for </w:t>
            </w:r>
            <w:r w:rsidRPr="009C5807">
              <w:rPr>
                <w:lang w:val="en-US" w:eastAsia="ko-KR"/>
              </w:rPr>
              <w:t>NR-DC</w:t>
            </w:r>
          </w:p>
          <w:p w14:paraId="68BDD1C8" w14:textId="77777777" w:rsidR="000D7F06" w:rsidRPr="009C5807" w:rsidRDefault="000D7F06" w:rsidP="000D7F06">
            <w:r w:rsidRPr="009C5807">
              <w:t>Requirements for NR-DC are applicable for the UE configured with the following number of serving NR CCs:</w:t>
            </w:r>
          </w:p>
          <w:bookmarkEnd w:id="6"/>
          <w:p w14:paraId="23B688D2" w14:textId="5525D1A0" w:rsidR="00E62303" w:rsidRDefault="000D7F06" w:rsidP="000D7F06">
            <w:pPr>
              <w:pStyle w:val="B1"/>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tc>
      </w:tr>
    </w:tbl>
    <w:p w14:paraId="3FA8D52A" w14:textId="2F9D55AE" w:rsidR="00E62303" w:rsidRDefault="00E62303" w:rsidP="00D0471F">
      <w:pPr>
        <w:rPr>
          <w:lang w:eastAsia="x-none"/>
        </w:rPr>
      </w:pPr>
    </w:p>
    <w:p w14:paraId="41ECC0F0" w14:textId="369680B5" w:rsidR="000D7F06" w:rsidRDefault="000D7F06" w:rsidP="00D0471F">
      <w:pPr>
        <w:rPr>
          <w:lang w:eastAsia="x-none"/>
        </w:rPr>
      </w:pPr>
      <w:r>
        <w:rPr>
          <w:lang w:eastAsia="x-none"/>
        </w:rPr>
        <w:t>The above applicability covers all the scenarios, including HST. Network can configure any number of carriers for the UE as long as the number doesn’t exceed above and can be supported by the UE. The more carriers network configures, the longer latency, including cell search and measurement, can be expected</w:t>
      </w:r>
      <w:r w:rsidR="00F17ABF">
        <w:rPr>
          <w:lang w:eastAsia="x-none"/>
        </w:rPr>
        <w:t>, which is determined by CSSF.</w:t>
      </w:r>
    </w:p>
    <w:p w14:paraId="46D46B5B" w14:textId="33FB6381" w:rsidR="00002854" w:rsidRDefault="00002854" w:rsidP="00002854">
      <w:pPr>
        <w:pStyle w:val="Caption"/>
      </w:pPr>
      <w:bookmarkStart w:id="7" w:name="_Ref78812691"/>
      <w:r>
        <w:t xml:space="preserve">Observation </w:t>
      </w:r>
      <w:r>
        <w:fldChar w:fldCharType="begin"/>
      </w:r>
      <w:r>
        <w:instrText xml:space="preserve"> SEQ Observation \* ARABIC </w:instrText>
      </w:r>
      <w:r>
        <w:fldChar w:fldCharType="separate"/>
      </w:r>
      <w:r w:rsidR="002F2871">
        <w:rPr>
          <w:noProof/>
        </w:rPr>
        <w:t>1</w:t>
      </w:r>
      <w:r>
        <w:fldChar w:fldCharType="end"/>
      </w:r>
      <w:r>
        <w:t>: applicability requirements regarding n</w:t>
      </w:r>
      <w:r w:rsidRPr="009C5807">
        <w:rPr>
          <w:lang w:val="en-US"/>
        </w:rPr>
        <w:t>umber of serving carriers</w:t>
      </w:r>
      <w:r>
        <w:t xml:space="preserve"> defined in section 3.6.2 also apply for R17 FR1 HST.</w:t>
      </w:r>
      <w:bookmarkEnd w:id="7"/>
    </w:p>
    <w:p w14:paraId="5FB34119" w14:textId="5D147BCE" w:rsidR="00F17ABF" w:rsidRDefault="00F17ABF" w:rsidP="00F17ABF">
      <w:pPr>
        <w:pStyle w:val="Caption"/>
        <w:rPr>
          <w:lang w:val="en-US"/>
        </w:rPr>
      </w:pPr>
      <w:bookmarkStart w:id="8" w:name="_Ref78812703"/>
      <w:r>
        <w:t xml:space="preserve">Proposal </w:t>
      </w:r>
      <w:r>
        <w:fldChar w:fldCharType="begin"/>
      </w:r>
      <w:r>
        <w:instrText xml:space="preserve"> SEQ Proposal \* ARABIC </w:instrText>
      </w:r>
      <w:r>
        <w:fldChar w:fldCharType="separate"/>
      </w:r>
      <w:r w:rsidR="00C93697">
        <w:rPr>
          <w:noProof/>
        </w:rPr>
        <w:t>2</w:t>
      </w:r>
      <w:r>
        <w:fldChar w:fldCharType="end"/>
      </w:r>
      <w:r>
        <w:t xml:space="preserve">: </w:t>
      </w:r>
      <w:r w:rsidR="00E844DC" w:rsidRPr="00E844DC">
        <w:rPr>
          <w:lang w:val="en-US"/>
        </w:rPr>
        <w:t>For CSSF, it depends on network. There is no need to have the limitation on the number of Scell (s) in the spec</w:t>
      </w:r>
      <w:r>
        <w:rPr>
          <w:lang w:val="en-US"/>
        </w:rPr>
        <w:t>.</w:t>
      </w:r>
      <w:bookmarkEnd w:id="8"/>
    </w:p>
    <w:p w14:paraId="130A1D02" w14:textId="4F1B3E9D" w:rsidR="00D43E5E" w:rsidRDefault="004B43C5" w:rsidP="00D43E5E">
      <w:pPr>
        <w:rPr>
          <w:lang w:val="en-US" w:eastAsia="x-none"/>
        </w:rPr>
      </w:pPr>
      <w:r>
        <w:rPr>
          <w:lang w:val="en-US" w:eastAsia="x-none"/>
        </w:rPr>
        <w:t>Regarding signaling design:</w:t>
      </w:r>
    </w:p>
    <w:p w14:paraId="0153D171" w14:textId="77777777" w:rsidR="004B43C5" w:rsidRPr="004B43C5" w:rsidRDefault="004B43C5" w:rsidP="002A1EBC">
      <w:pPr>
        <w:numPr>
          <w:ilvl w:val="0"/>
          <w:numId w:val="29"/>
        </w:numPr>
        <w:rPr>
          <w:lang w:val="en-CN" w:eastAsia="x-none"/>
        </w:rPr>
      </w:pPr>
      <w:r w:rsidRPr="004B43C5">
        <w:rPr>
          <w:lang w:val="en-US" w:eastAsia="x-none"/>
        </w:rPr>
        <w:t>Signaling</w:t>
      </w:r>
    </w:p>
    <w:p w14:paraId="079698BF" w14:textId="77777777" w:rsidR="004B43C5" w:rsidRPr="004B43C5" w:rsidRDefault="004B43C5" w:rsidP="002A1EBC">
      <w:pPr>
        <w:numPr>
          <w:ilvl w:val="1"/>
          <w:numId w:val="29"/>
        </w:numPr>
        <w:rPr>
          <w:lang w:val="en-CN" w:eastAsia="x-none"/>
        </w:rPr>
      </w:pPr>
      <w:r w:rsidRPr="004B43C5">
        <w:rPr>
          <w:lang w:val="en-US" w:eastAsia="x-none"/>
        </w:rPr>
        <w:t>FFS whether highSpeedMeasFlag-r16 can be reused for the indication of application of enhanced RRM requirements for HST CA</w:t>
      </w:r>
    </w:p>
    <w:p w14:paraId="376E8FCF" w14:textId="77777777" w:rsidR="004B43C5" w:rsidRPr="004B43C5" w:rsidRDefault="004B43C5" w:rsidP="002A1EBC">
      <w:pPr>
        <w:numPr>
          <w:ilvl w:val="2"/>
          <w:numId w:val="29"/>
        </w:numPr>
        <w:rPr>
          <w:lang w:val="en-CN" w:eastAsia="x-none"/>
        </w:rPr>
      </w:pPr>
      <w:r w:rsidRPr="004B43C5">
        <w:rPr>
          <w:lang w:val="en-US" w:eastAsia="x-none"/>
        </w:rPr>
        <w:lastRenderedPageBreak/>
        <w:t>Option 1 (CMCC, HW, OPPO, MTK, Nokia, Ericsson, CATT, vivo): Yes, the highSpeedMeasFlag-r16 can be reused for the indication of application of enhanced RRM requirements for HST CA</w:t>
      </w:r>
    </w:p>
    <w:p w14:paraId="278FD4ED" w14:textId="77777777" w:rsidR="004B43C5" w:rsidRPr="004B43C5" w:rsidRDefault="004B43C5" w:rsidP="002A1EBC">
      <w:pPr>
        <w:numPr>
          <w:ilvl w:val="2"/>
          <w:numId w:val="29"/>
        </w:numPr>
        <w:rPr>
          <w:lang w:val="en-CN" w:eastAsia="x-none"/>
        </w:rPr>
      </w:pPr>
      <w:r w:rsidRPr="004B43C5">
        <w:rPr>
          <w:lang w:val="en-US" w:eastAsia="x-none"/>
        </w:rPr>
        <w:t>Other option is not precluded</w:t>
      </w:r>
    </w:p>
    <w:p w14:paraId="53E8464A" w14:textId="77777777" w:rsidR="004B43C5" w:rsidRPr="004B43C5" w:rsidRDefault="004B43C5" w:rsidP="002A1EBC">
      <w:pPr>
        <w:numPr>
          <w:ilvl w:val="1"/>
          <w:numId w:val="29"/>
        </w:numPr>
        <w:rPr>
          <w:lang w:val="en-CN" w:eastAsia="x-none"/>
        </w:rPr>
      </w:pPr>
      <w:r w:rsidRPr="004B43C5">
        <w:rPr>
          <w:lang w:val="en-US" w:eastAsia="x-none"/>
        </w:rPr>
        <w:t>FFS whether NW shall indicate which inter-frequency layers need to be measured more often, for which enhanced inter-frequency measurement requirements shall apply</w:t>
      </w:r>
    </w:p>
    <w:p w14:paraId="10DD5595" w14:textId="77777777" w:rsidR="004B43C5" w:rsidRPr="004B43C5" w:rsidRDefault="004B43C5" w:rsidP="002A1EBC">
      <w:pPr>
        <w:numPr>
          <w:ilvl w:val="2"/>
          <w:numId w:val="29"/>
        </w:numPr>
        <w:rPr>
          <w:lang w:val="en-CN" w:eastAsia="x-none"/>
        </w:rPr>
      </w:pPr>
      <w:r w:rsidRPr="004B43C5">
        <w:rPr>
          <w:lang w:val="en-US" w:eastAsia="x-none"/>
        </w:rPr>
        <w:t>Option 1 (Apple, vivo): NW shall indicate which inter-frequency layers need to be measured more often, for which enhanced inter-frequency measurement requirements shall apply</w:t>
      </w:r>
    </w:p>
    <w:p w14:paraId="162900A9" w14:textId="77777777" w:rsidR="004B43C5" w:rsidRPr="004B43C5" w:rsidRDefault="004B43C5" w:rsidP="002A1EBC">
      <w:pPr>
        <w:numPr>
          <w:ilvl w:val="2"/>
          <w:numId w:val="29"/>
        </w:numPr>
        <w:rPr>
          <w:lang w:val="en-CN" w:eastAsia="x-none"/>
        </w:rPr>
      </w:pPr>
      <w:r w:rsidRPr="004B43C5">
        <w:rPr>
          <w:lang w:val="en-US" w:eastAsia="x-none"/>
        </w:rPr>
        <w:t>Other option is not precluded</w:t>
      </w:r>
    </w:p>
    <w:p w14:paraId="633DE9F2" w14:textId="27554229" w:rsidR="004B43C5" w:rsidRDefault="001F6056" w:rsidP="00D43E5E">
      <w:pPr>
        <w:rPr>
          <w:lang w:val="en-US" w:eastAsia="x-none"/>
        </w:rPr>
      </w:pPr>
      <w:r>
        <w:rPr>
          <w:lang w:val="en-US" w:eastAsia="x-none"/>
        </w:rPr>
        <w:t>In R17 FR1 HST, the following RRM requirements are (potentially) to be enhanced:</w:t>
      </w:r>
    </w:p>
    <w:p w14:paraId="0CD7F07F" w14:textId="466277B0" w:rsidR="001F6056" w:rsidRPr="00FF44F8" w:rsidRDefault="00FF44F8" w:rsidP="00C10539">
      <w:pPr>
        <w:pStyle w:val="ListParagraph"/>
        <w:numPr>
          <w:ilvl w:val="0"/>
          <w:numId w:val="31"/>
        </w:numPr>
        <w:ind w:firstLineChars="0"/>
        <w:rPr>
          <w:lang w:val="en-US" w:eastAsia="zh-CN"/>
        </w:rPr>
      </w:pPr>
      <w:r w:rsidRPr="00FF44F8">
        <w:rPr>
          <w:lang w:val="en-GB" w:eastAsia="zh-CN"/>
        </w:rPr>
        <w:t>PSS/SSS detection, time index detection, and measurement period for deactivated SCell</w:t>
      </w:r>
    </w:p>
    <w:p w14:paraId="4A966D35" w14:textId="655B4B5D" w:rsidR="00FF44F8" w:rsidRPr="00FF44F8" w:rsidRDefault="00FF44F8" w:rsidP="00C10539">
      <w:pPr>
        <w:pStyle w:val="ListParagraph"/>
        <w:numPr>
          <w:ilvl w:val="0"/>
          <w:numId w:val="31"/>
        </w:numPr>
        <w:ind w:firstLineChars="0"/>
        <w:rPr>
          <w:lang w:val="en-US" w:eastAsia="zh-CN"/>
        </w:rPr>
      </w:pPr>
      <w:r w:rsidRPr="00FF44F8">
        <w:rPr>
          <w:lang w:val="en-GB" w:eastAsia="zh-CN"/>
        </w:rPr>
        <w:t>PSS/SSS detection, time index detection, and measurement period for activated SCell</w:t>
      </w:r>
    </w:p>
    <w:p w14:paraId="7A6718BB" w14:textId="6C136B35" w:rsidR="00FF44F8" w:rsidRPr="00FF44F8" w:rsidRDefault="00FF44F8" w:rsidP="00C10539">
      <w:pPr>
        <w:pStyle w:val="ListParagraph"/>
        <w:numPr>
          <w:ilvl w:val="0"/>
          <w:numId w:val="31"/>
        </w:numPr>
        <w:ind w:firstLineChars="0"/>
        <w:rPr>
          <w:lang w:val="en-US" w:eastAsia="zh-CN"/>
        </w:rPr>
      </w:pPr>
      <w:r w:rsidRPr="0026275D">
        <w:rPr>
          <w:color w:val="000000"/>
          <w:lang w:eastAsia="zh-CN"/>
        </w:rPr>
        <w:t xml:space="preserve">PSS/SSS detection, time index detection, and measurement period for </w:t>
      </w:r>
      <w:r>
        <w:rPr>
          <w:color w:val="000000"/>
          <w:lang w:val="en-US" w:eastAsia="zh-CN"/>
        </w:rPr>
        <w:t>inter-frequency without gap measurement in connected mode</w:t>
      </w:r>
    </w:p>
    <w:p w14:paraId="3DA02C32" w14:textId="0719829F" w:rsidR="00FF44F8" w:rsidRPr="00FF44F8" w:rsidRDefault="00FF44F8" w:rsidP="00C10539">
      <w:pPr>
        <w:pStyle w:val="ListParagraph"/>
        <w:numPr>
          <w:ilvl w:val="0"/>
          <w:numId w:val="31"/>
        </w:numPr>
        <w:ind w:firstLineChars="0"/>
        <w:rPr>
          <w:lang w:val="en-US" w:eastAsia="zh-CN"/>
        </w:rPr>
      </w:pPr>
      <w:r w:rsidRPr="0026275D">
        <w:rPr>
          <w:color w:val="000000"/>
          <w:lang w:eastAsia="zh-CN"/>
        </w:rPr>
        <w:t xml:space="preserve">PSS/SSS detection, time index detection, and measurement period for </w:t>
      </w:r>
      <w:r>
        <w:rPr>
          <w:color w:val="000000"/>
          <w:lang w:val="en-US" w:eastAsia="zh-CN"/>
        </w:rPr>
        <w:t>inter-frequency with gap measurement</w:t>
      </w:r>
      <w:r w:rsidRPr="00FF44F8">
        <w:rPr>
          <w:color w:val="000000"/>
          <w:lang w:val="en-US" w:eastAsia="zh-CN"/>
        </w:rPr>
        <w:t xml:space="preserve"> </w:t>
      </w:r>
      <w:r>
        <w:rPr>
          <w:color w:val="000000"/>
          <w:lang w:val="en-US" w:eastAsia="zh-CN"/>
        </w:rPr>
        <w:t>in connected mode</w:t>
      </w:r>
    </w:p>
    <w:p w14:paraId="78B4B805" w14:textId="712932B6" w:rsidR="00FF44F8" w:rsidRPr="002C0E18" w:rsidRDefault="00FF44F8" w:rsidP="00C10539">
      <w:pPr>
        <w:pStyle w:val="ListParagraph"/>
        <w:numPr>
          <w:ilvl w:val="0"/>
          <w:numId w:val="31"/>
        </w:numPr>
        <w:ind w:firstLineChars="0"/>
        <w:rPr>
          <w:lang w:val="en-US" w:eastAsia="zh-CN"/>
        </w:rPr>
      </w:pPr>
      <w:r>
        <w:rPr>
          <w:color w:val="000000"/>
          <w:lang w:val="en-US" w:eastAsia="zh-CN"/>
        </w:rPr>
        <w:t>Inter-frequency cell reselection enhancement in idle/inactive mode</w:t>
      </w:r>
    </w:p>
    <w:p w14:paraId="548B5592" w14:textId="446B75C3" w:rsidR="002C0E18" w:rsidRDefault="00C10539" w:rsidP="002C0E18">
      <w:pPr>
        <w:rPr>
          <w:lang w:val="en-US" w:eastAsia="x-none"/>
        </w:rPr>
      </w:pPr>
      <w:r>
        <w:rPr>
          <w:lang w:val="en-US" w:eastAsia="zh-CN"/>
        </w:rPr>
        <w:t>We need to be very careful to use</w:t>
      </w:r>
      <w:r w:rsidR="001C47AF">
        <w:rPr>
          <w:lang w:val="en-US" w:eastAsia="zh-CN"/>
        </w:rPr>
        <w:t xml:space="preserve"> </w:t>
      </w:r>
      <w:r>
        <w:rPr>
          <w:lang w:val="en-US" w:eastAsia="x-none"/>
        </w:rPr>
        <w:t xml:space="preserve">the R16 flag </w:t>
      </w:r>
      <w:r w:rsidR="001C47AF">
        <w:rPr>
          <w:lang w:val="en-US" w:eastAsia="x-none"/>
        </w:rPr>
        <w:t xml:space="preserve">to </w:t>
      </w:r>
      <w:r>
        <w:rPr>
          <w:lang w:val="en-US" w:eastAsia="x-none"/>
        </w:rPr>
        <w:t>indicate the application of all the above enhanced RRM requirements which are (potentially) to be defined in R17.</w:t>
      </w:r>
      <w:r w:rsidR="00031385">
        <w:rPr>
          <w:lang w:val="en-US" w:eastAsia="x-none"/>
        </w:rPr>
        <w:t xml:space="preserve"> </w:t>
      </w:r>
      <w:r w:rsidR="004B43C5" w:rsidRPr="004B43C5">
        <w:rPr>
          <w:lang w:val="en-US" w:eastAsia="x-none"/>
        </w:rPr>
        <w:t>highSpeedMeasFlag-r16</w:t>
      </w:r>
      <w:r w:rsidR="00031385">
        <w:rPr>
          <w:lang w:val="en-US" w:eastAsia="x-none"/>
        </w:rPr>
        <w:t xml:space="preserve"> is used to indicate the application of intra-frequency measurement enhancement as defined in R16. Probably it can be extended to 1) and 2) as well from deployment perspective. However, for 3), 4) and 5), they don’t have to be necessarily enabled along with intra-frequency enhancement. Enabling inter-frequency will introduce extra power consumption. If there is no any other inter-frequency carriers dedicated deployed for HST, network can disable or not enable the inter-frequency measurement enhancement.</w:t>
      </w:r>
    </w:p>
    <w:p w14:paraId="699185F7" w14:textId="20B2FED9" w:rsidR="002F2871" w:rsidRDefault="002F2871" w:rsidP="002F2871">
      <w:pPr>
        <w:pStyle w:val="Caption"/>
        <w:rPr>
          <w:lang w:val="en-US"/>
        </w:rPr>
      </w:pPr>
      <w:bookmarkStart w:id="9" w:name="_Ref78812693"/>
      <w:r>
        <w:t xml:space="preserve">Observation </w:t>
      </w:r>
      <w:r>
        <w:fldChar w:fldCharType="begin"/>
      </w:r>
      <w:r>
        <w:instrText xml:space="preserve"> SEQ Observation \* ARABIC </w:instrText>
      </w:r>
      <w:r>
        <w:fldChar w:fldCharType="separate"/>
      </w:r>
      <w:r>
        <w:rPr>
          <w:noProof/>
        </w:rPr>
        <w:t>2</w:t>
      </w:r>
      <w:r>
        <w:fldChar w:fldCharType="end"/>
      </w:r>
      <w:r>
        <w:t xml:space="preserve">: if </w:t>
      </w:r>
      <w:r w:rsidR="004B43C5" w:rsidRPr="004B43C5">
        <w:rPr>
          <w:lang w:val="en-US"/>
        </w:rPr>
        <w:t xml:space="preserve">highSpeedMeasFlag-r16 </w:t>
      </w:r>
      <w:r>
        <w:rPr>
          <w:lang w:val="en-US"/>
        </w:rPr>
        <w:t>is</w:t>
      </w:r>
      <w:r w:rsidR="004B43C5" w:rsidRPr="004B43C5">
        <w:rPr>
          <w:lang w:val="en-US"/>
        </w:rPr>
        <w:t xml:space="preserve"> reused for the indication of application of enhanced RRM requirements for HST CA</w:t>
      </w:r>
      <w:r>
        <w:rPr>
          <w:lang w:val="en-US"/>
        </w:rPr>
        <w:t xml:space="preserve">, RAN4 may end up with one flag to indicate the </w:t>
      </w:r>
      <w:r w:rsidR="00965EED">
        <w:rPr>
          <w:lang w:val="en-US"/>
        </w:rPr>
        <w:t>application of all the enhanced RRM requirement introduced in R17.</w:t>
      </w:r>
      <w:bookmarkEnd w:id="9"/>
    </w:p>
    <w:p w14:paraId="0DE79923" w14:textId="3D347120" w:rsidR="00965EED" w:rsidRPr="00965EED" w:rsidRDefault="00C93697" w:rsidP="00C93697">
      <w:pPr>
        <w:pStyle w:val="Caption"/>
        <w:rPr>
          <w:lang w:val="en-US"/>
        </w:rPr>
      </w:pPr>
      <w:bookmarkStart w:id="10" w:name="_Ref78812705"/>
      <w:r>
        <w:t xml:space="preserve">Proposal </w:t>
      </w:r>
      <w:r>
        <w:fldChar w:fldCharType="begin"/>
      </w:r>
      <w:r>
        <w:instrText xml:space="preserve"> SEQ Proposal \* ARABIC </w:instrText>
      </w:r>
      <w:r>
        <w:fldChar w:fldCharType="separate"/>
      </w:r>
      <w:r>
        <w:rPr>
          <w:noProof/>
        </w:rPr>
        <w:t>3</w:t>
      </w:r>
      <w:r>
        <w:fldChar w:fldCharType="end"/>
      </w:r>
      <w:r>
        <w:t>: 3GPP shall introduce new flags in R17 HST to allow network to enable a subset of R17 enhancement.</w:t>
      </w:r>
      <w:bookmarkEnd w:id="10"/>
    </w:p>
    <w:p w14:paraId="3C0C2483" w14:textId="77777777" w:rsidR="001F6056" w:rsidRPr="00D43E5E" w:rsidRDefault="001F6056" w:rsidP="00D43E5E">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6D239EF" w14:textId="3C32E245" w:rsidR="00F367D9" w:rsidRDefault="005D4A3C" w:rsidP="00F367D9">
      <w:pPr>
        <w:jc w:val="both"/>
        <w:rPr>
          <w:rFonts w:cs="v4.2.0"/>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 xml:space="preserve">we further discuss </w:t>
      </w:r>
      <w:r w:rsidR="00661C7B">
        <w:rPr>
          <w:rFonts w:cs="v4.2.0"/>
          <w:lang w:val="en-US" w:eastAsia="zh-CN"/>
        </w:rPr>
        <w:t>the remaining issues for HST. After discussion the following conclusions are provided:</w:t>
      </w:r>
    </w:p>
    <w:p w14:paraId="00A4604E" w14:textId="3A809D01" w:rsidR="00BD1413" w:rsidRPr="00BD1413" w:rsidRDefault="00BD1413" w:rsidP="00F367D9">
      <w:pPr>
        <w:jc w:val="both"/>
        <w:rPr>
          <w:rFonts w:cs="v4.2.0"/>
          <w:b/>
          <w:bCs/>
          <w:lang w:val="en-US" w:eastAsia="zh-CN"/>
        </w:rPr>
      </w:pPr>
      <w:r w:rsidRPr="00BD1413">
        <w:rPr>
          <w:rFonts w:cs="v4.2.0"/>
          <w:b/>
          <w:bCs/>
          <w:lang w:val="en-US" w:eastAsia="zh-CN"/>
        </w:rPr>
        <w:fldChar w:fldCharType="begin"/>
      </w:r>
      <w:r w:rsidRPr="00BD1413">
        <w:rPr>
          <w:rFonts w:cs="v4.2.0"/>
          <w:b/>
          <w:bCs/>
          <w:lang w:val="en-US" w:eastAsia="zh-CN"/>
        </w:rPr>
        <w:instrText xml:space="preserve"> REF _Ref78812700 \h </w:instrText>
      </w:r>
      <w:r>
        <w:rPr>
          <w:rFonts w:cs="v4.2.0"/>
          <w:b/>
          <w:bCs/>
          <w:lang w:val="en-US" w:eastAsia="zh-CN"/>
        </w:rPr>
        <w:instrText xml:space="preserve"> \* MERGEFORMAT </w:instrText>
      </w:r>
      <w:r w:rsidRPr="00BD1413">
        <w:rPr>
          <w:rFonts w:cs="v4.2.0"/>
          <w:b/>
          <w:bCs/>
          <w:lang w:val="en-US" w:eastAsia="zh-CN"/>
        </w:rPr>
      </w:r>
      <w:r w:rsidRPr="00BD1413">
        <w:rPr>
          <w:rFonts w:cs="v4.2.0"/>
          <w:b/>
          <w:bCs/>
          <w:lang w:val="en-US" w:eastAsia="zh-CN"/>
        </w:rPr>
        <w:fldChar w:fldCharType="separate"/>
      </w:r>
      <w:r w:rsidRPr="00BD1413">
        <w:rPr>
          <w:b/>
          <w:bCs/>
        </w:rPr>
        <w:t xml:space="preserve">Proposal </w:t>
      </w:r>
      <w:r w:rsidRPr="00BD1413">
        <w:rPr>
          <w:b/>
          <w:bCs/>
          <w:noProof/>
        </w:rPr>
        <w:t>1</w:t>
      </w:r>
      <w:r w:rsidRPr="00BD1413">
        <w:rPr>
          <w:b/>
          <w:bCs/>
        </w:rPr>
        <w:t>:</w:t>
      </w:r>
      <w:r w:rsidRPr="00BD1413">
        <w:rPr>
          <w:b/>
          <w:bCs/>
          <w:lang w:val="en-US"/>
        </w:rPr>
        <w:t xml:space="preserve"> </w:t>
      </w:r>
      <w:r w:rsidR="005C597E" w:rsidRPr="005C597E">
        <w:rPr>
          <w:b/>
          <w:bCs/>
          <w:lang w:val="en-US" w:eastAsia="x-none"/>
        </w:rPr>
        <w:t>For SCell link recovery, it depends on network. There is no need to have the limitation on the number of band(s)in the spec</w:t>
      </w:r>
      <w:r w:rsidRPr="00BD1413">
        <w:rPr>
          <w:b/>
          <w:bCs/>
          <w:lang w:val="en-US"/>
        </w:rPr>
        <w:t>.</w:t>
      </w:r>
      <w:r w:rsidRPr="00BD1413">
        <w:rPr>
          <w:rFonts w:cs="v4.2.0"/>
          <w:b/>
          <w:bCs/>
          <w:lang w:val="en-US" w:eastAsia="zh-CN"/>
        </w:rPr>
        <w:fldChar w:fldCharType="end"/>
      </w:r>
    </w:p>
    <w:p w14:paraId="0430D86B" w14:textId="7313F857" w:rsidR="00BD1413" w:rsidRPr="00BD1413" w:rsidRDefault="00BD1413" w:rsidP="00BD1413">
      <w:pPr>
        <w:jc w:val="both"/>
        <w:rPr>
          <w:rFonts w:cs="v4.2.0"/>
          <w:b/>
          <w:bCs/>
          <w:lang w:val="en-US" w:eastAsia="zh-CN"/>
        </w:rPr>
      </w:pPr>
      <w:r w:rsidRPr="00BD1413">
        <w:rPr>
          <w:rFonts w:cs="v4.2.0"/>
          <w:b/>
          <w:bCs/>
          <w:lang w:val="en-US" w:eastAsia="zh-CN"/>
        </w:rPr>
        <w:fldChar w:fldCharType="begin"/>
      </w:r>
      <w:r w:rsidRPr="00BD1413">
        <w:rPr>
          <w:rFonts w:cs="v4.2.0"/>
          <w:b/>
          <w:bCs/>
          <w:lang w:val="en-US" w:eastAsia="zh-CN"/>
        </w:rPr>
        <w:instrText xml:space="preserve"> REF _Ref78812691 \h </w:instrText>
      </w:r>
      <w:r>
        <w:rPr>
          <w:rFonts w:cs="v4.2.0"/>
          <w:b/>
          <w:bCs/>
          <w:lang w:val="en-US" w:eastAsia="zh-CN"/>
        </w:rPr>
        <w:instrText xml:space="preserve"> \* MERGEFORMAT </w:instrText>
      </w:r>
      <w:r w:rsidRPr="00BD1413">
        <w:rPr>
          <w:rFonts w:cs="v4.2.0"/>
          <w:b/>
          <w:bCs/>
          <w:lang w:val="en-US" w:eastAsia="zh-CN"/>
        </w:rPr>
      </w:r>
      <w:r w:rsidRPr="00BD1413">
        <w:rPr>
          <w:rFonts w:cs="v4.2.0"/>
          <w:b/>
          <w:bCs/>
          <w:lang w:val="en-US" w:eastAsia="zh-CN"/>
        </w:rPr>
        <w:fldChar w:fldCharType="separate"/>
      </w:r>
      <w:r w:rsidRPr="00BD1413">
        <w:rPr>
          <w:b/>
          <w:bCs/>
        </w:rPr>
        <w:t xml:space="preserve">Observation </w:t>
      </w:r>
      <w:r w:rsidRPr="00BD1413">
        <w:rPr>
          <w:b/>
          <w:bCs/>
          <w:noProof/>
        </w:rPr>
        <w:t>1</w:t>
      </w:r>
      <w:r w:rsidRPr="00BD1413">
        <w:rPr>
          <w:b/>
          <w:bCs/>
        </w:rPr>
        <w:t>: applicability requirements regarding n</w:t>
      </w:r>
      <w:r w:rsidRPr="00BD1413">
        <w:rPr>
          <w:b/>
          <w:bCs/>
          <w:lang w:val="en-US"/>
        </w:rPr>
        <w:t>umber of serving carriers</w:t>
      </w:r>
      <w:r w:rsidRPr="00BD1413">
        <w:rPr>
          <w:b/>
          <w:bCs/>
        </w:rPr>
        <w:t xml:space="preserve"> defined in section 3.6.2 also apply for R17 FR1 HST.</w:t>
      </w:r>
      <w:r w:rsidRPr="00BD1413">
        <w:rPr>
          <w:rFonts w:cs="v4.2.0"/>
          <w:b/>
          <w:bCs/>
          <w:lang w:val="en-US" w:eastAsia="zh-CN"/>
        </w:rPr>
        <w:fldChar w:fldCharType="end"/>
      </w:r>
    </w:p>
    <w:p w14:paraId="0FD56494" w14:textId="602B1EA9" w:rsidR="00BD1413" w:rsidRPr="00BD1413" w:rsidRDefault="00BD1413" w:rsidP="00F367D9">
      <w:pPr>
        <w:jc w:val="both"/>
        <w:rPr>
          <w:rFonts w:cs="v4.2.0"/>
          <w:b/>
          <w:bCs/>
          <w:lang w:val="en-US" w:eastAsia="zh-CN"/>
        </w:rPr>
      </w:pPr>
      <w:r w:rsidRPr="00BD1413">
        <w:rPr>
          <w:rFonts w:cs="v4.2.0"/>
          <w:b/>
          <w:bCs/>
          <w:lang w:val="en-US" w:eastAsia="zh-CN"/>
        </w:rPr>
        <w:fldChar w:fldCharType="begin"/>
      </w:r>
      <w:r w:rsidRPr="00BD1413">
        <w:rPr>
          <w:rFonts w:cs="v4.2.0"/>
          <w:b/>
          <w:bCs/>
          <w:lang w:val="en-US" w:eastAsia="zh-CN"/>
        </w:rPr>
        <w:instrText xml:space="preserve"> REF _Ref78812703 \h </w:instrText>
      </w:r>
      <w:r>
        <w:rPr>
          <w:rFonts w:cs="v4.2.0"/>
          <w:b/>
          <w:bCs/>
          <w:lang w:val="en-US" w:eastAsia="zh-CN"/>
        </w:rPr>
        <w:instrText xml:space="preserve"> \* MERGEFORMAT </w:instrText>
      </w:r>
      <w:r w:rsidRPr="00BD1413">
        <w:rPr>
          <w:rFonts w:cs="v4.2.0"/>
          <w:b/>
          <w:bCs/>
          <w:lang w:val="en-US" w:eastAsia="zh-CN"/>
        </w:rPr>
      </w:r>
      <w:r w:rsidRPr="00BD1413">
        <w:rPr>
          <w:rFonts w:cs="v4.2.0"/>
          <w:b/>
          <w:bCs/>
          <w:lang w:val="en-US" w:eastAsia="zh-CN"/>
        </w:rPr>
        <w:fldChar w:fldCharType="separate"/>
      </w:r>
      <w:r w:rsidRPr="00BD1413">
        <w:rPr>
          <w:b/>
          <w:bCs/>
        </w:rPr>
        <w:t xml:space="preserve">Proposal </w:t>
      </w:r>
      <w:r w:rsidRPr="00BD1413">
        <w:rPr>
          <w:b/>
          <w:bCs/>
          <w:noProof/>
        </w:rPr>
        <w:t>2</w:t>
      </w:r>
      <w:r w:rsidRPr="00BD1413">
        <w:rPr>
          <w:b/>
          <w:bCs/>
        </w:rPr>
        <w:t xml:space="preserve">: </w:t>
      </w:r>
      <w:r w:rsidR="00E844DC" w:rsidRPr="00E844DC">
        <w:rPr>
          <w:b/>
          <w:bCs/>
          <w:lang w:val="en-US" w:eastAsia="x-none"/>
        </w:rPr>
        <w:t>For CSSF, it depends on network. There is no need to have the limitation on the number of Scell (s) in the spec</w:t>
      </w:r>
      <w:r w:rsidRPr="00BD1413">
        <w:rPr>
          <w:b/>
          <w:bCs/>
          <w:lang w:val="en-US"/>
        </w:rPr>
        <w:t>.</w:t>
      </w:r>
      <w:r w:rsidRPr="00BD1413">
        <w:rPr>
          <w:rFonts w:cs="v4.2.0"/>
          <w:b/>
          <w:bCs/>
          <w:lang w:val="en-US" w:eastAsia="zh-CN"/>
        </w:rPr>
        <w:fldChar w:fldCharType="end"/>
      </w:r>
    </w:p>
    <w:p w14:paraId="53535D44" w14:textId="71441960" w:rsidR="00BD1413" w:rsidRPr="00BD1413" w:rsidRDefault="00BD1413" w:rsidP="00BD1413">
      <w:pPr>
        <w:jc w:val="both"/>
        <w:rPr>
          <w:rFonts w:cs="v4.2.0"/>
          <w:b/>
          <w:bCs/>
          <w:lang w:val="en-US" w:eastAsia="zh-CN"/>
        </w:rPr>
      </w:pPr>
      <w:r w:rsidRPr="00BD1413">
        <w:rPr>
          <w:rFonts w:cs="v4.2.0"/>
          <w:b/>
          <w:bCs/>
          <w:lang w:val="en-US" w:eastAsia="zh-CN"/>
        </w:rPr>
        <w:fldChar w:fldCharType="begin"/>
      </w:r>
      <w:r w:rsidRPr="00BD1413">
        <w:rPr>
          <w:rFonts w:cs="v4.2.0"/>
          <w:b/>
          <w:bCs/>
          <w:lang w:val="en-US" w:eastAsia="zh-CN"/>
        </w:rPr>
        <w:instrText xml:space="preserve"> REF _Ref78812693 \h </w:instrText>
      </w:r>
      <w:r>
        <w:rPr>
          <w:rFonts w:cs="v4.2.0"/>
          <w:b/>
          <w:bCs/>
          <w:lang w:val="en-US" w:eastAsia="zh-CN"/>
        </w:rPr>
        <w:instrText xml:space="preserve"> \* MERGEFORMAT </w:instrText>
      </w:r>
      <w:r w:rsidRPr="00BD1413">
        <w:rPr>
          <w:rFonts w:cs="v4.2.0"/>
          <w:b/>
          <w:bCs/>
          <w:lang w:val="en-US" w:eastAsia="zh-CN"/>
        </w:rPr>
      </w:r>
      <w:r w:rsidRPr="00BD1413">
        <w:rPr>
          <w:rFonts w:cs="v4.2.0"/>
          <w:b/>
          <w:bCs/>
          <w:lang w:val="en-US" w:eastAsia="zh-CN"/>
        </w:rPr>
        <w:fldChar w:fldCharType="separate"/>
      </w:r>
      <w:r w:rsidRPr="00BD1413">
        <w:rPr>
          <w:b/>
          <w:bCs/>
        </w:rPr>
        <w:t xml:space="preserve">Observation </w:t>
      </w:r>
      <w:r w:rsidRPr="00BD1413">
        <w:rPr>
          <w:b/>
          <w:bCs/>
          <w:noProof/>
        </w:rPr>
        <w:t>2</w:t>
      </w:r>
      <w:r w:rsidRPr="00BD1413">
        <w:rPr>
          <w:b/>
          <w:bCs/>
        </w:rPr>
        <w:t xml:space="preserve">: if </w:t>
      </w:r>
      <w:r w:rsidR="004B43C5" w:rsidRPr="004B43C5">
        <w:rPr>
          <w:b/>
          <w:bCs/>
          <w:lang w:val="en-US" w:eastAsia="x-none"/>
        </w:rPr>
        <w:t xml:space="preserve">highSpeedMeasFlag-r16 </w:t>
      </w:r>
      <w:r w:rsidRPr="00BD1413">
        <w:rPr>
          <w:b/>
          <w:bCs/>
          <w:lang w:val="en-US"/>
        </w:rPr>
        <w:t>is</w:t>
      </w:r>
      <w:r w:rsidR="004B43C5" w:rsidRPr="004B43C5">
        <w:rPr>
          <w:b/>
          <w:bCs/>
          <w:lang w:val="en-US" w:eastAsia="x-none"/>
        </w:rPr>
        <w:t xml:space="preserve"> reused for the indication of application of enhanced RRM requirements for HST CA</w:t>
      </w:r>
      <w:r w:rsidRPr="00BD1413">
        <w:rPr>
          <w:b/>
          <w:bCs/>
          <w:lang w:val="en-US"/>
        </w:rPr>
        <w:t>, RAN4 may end up with one flag to indicate the application of all the enhanced RRM requirement introduced in R17.</w:t>
      </w:r>
      <w:r w:rsidRPr="00BD1413">
        <w:rPr>
          <w:rFonts w:cs="v4.2.0"/>
          <w:b/>
          <w:bCs/>
          <w:lang w:val="en-US" w:eastAsia="zh-CN"/>
        </w:rPr>
        <w:fldChar w:fldCharType="end"/>
      </w:r>
    </w:p>
    <w:p w14:paraId="0B95C595" w14:textId="5C8E6BDD" w:rsidR="00BD1413" w:rsidRPr="00BD1413" w:rsidRDefault="00BD1413" w:rsidP="00F367D9">
      <w:pPr>
        <w:jc w:val="both"/>
        <w:rPr>
          <w:rFonts w:cs="v4.2.0"/>
          <w:b/>
          <w:bCs/>
          <w:lang w:val="en-US" w:eastAsia="zh-CN"/>
        </w:rPr>
      </w:pPr>
      <w:r w:rsidRPr="00BD1413">
        <w:rPr>
          <w:rFonts w:cs="v4.2.0"/>
          <w:b/>
          <w:bCs/>
          <w:lang w:val="en-US" w:eastAsia="zh-CN"/>
        </w:rPr>
        <w:fldChar w:fldCharType="begin"/>
      </w:r>
      <w:r w:rsidRPr="00BD1413">
        <w:rPr>
          <w:rFonts w:cs="v4.2.0"/>
          <w:b/>
          <w:bCs/>
          <w:lang w:val="en-US" w:eastAsia="zh-CN"/>
        </w:rPr>
        <w:instrText xml:space="preserve"> REF _Ref78812705 \h </w:instrText>
      </w:r>
      <w:r>
        <w:rPr>
          <w:rFonts w:cs="v4.2.0"/>
          <w:b/>
          <w:bCs/>
          <w:lang w:val="en-US" w:eastAsia="zh-CN"/>
        </w:rPr>
        <w:instrText xml:space="preserve"> \* MERGEFORMAT </w:instrText>
      </w:r>
      <w:r w:rsidRPr="00BD1413">
        <w:rPr>
          <w:rFonts w:cs="v4.2.0"/>
          <w:b/>
          <w:bCs/>
          <w:lang w:val="en-US" w:eastAsia="zh-CN"/>
        </w:rPr>
      </w:r>
      <w:r w:rsidRPr="00BD1413">
        <w:rPr>
          <w:rFonts w:cs="v4.2.0"/>
          <w:b/>
          <w:bCs/>
          <w:lang w:val="en-US" w:eastAsia="zh-CN"/>
        </w:rPr>
        <w:fldChar w:fldCharType="separate"/>
      </w:r>
      <w:r w:rsidRPr="00BD1413">
        <w:rPr>
          <w:b/>
          <w:bCs/>
        </w:rPr>
        <w:t xml:space="preserve">Proposal </w:t>
      </w:r>
      <w:r w:rsidRPr="00BD1413">
        <w:rPr>
          <w:b/>
          <w:bCs/>
          <w:noProof/>
        </w:rPr>
        <w:t>3</w:t>
      </w:r>
      <w:r w:rsidRPr="00BD1413">
        <w:rPr>
          <w:b/>
          <w:bCs/>
        </w:rPr>
        <w:t>: 3GPP shall introduce new flags in R17 HST to allow network to enable a subset of R17 enhancement.</w:t>
      </w:r>
      <w:r w:rsidRPr="00BD1413">
        <w:rPr>
          <w:rFonts w:cs="v4.2.0"/>
          <w:b/>
          <w:bCs/>
          <w:lang w:val="en-US" w:eastAsia="zh-CN"/>
        </w:rPr>
        <w:fldChar w:fldCharType="end"/>
      </w:r>
    </w:p>
    <w:p w14:paraId="0206A588" w14:textId="0BE93D5B" w:rsidR="0017117A" w:rsidRPr="0017117A" w:rsidRDefault="0017117A" w:rsidP="007B5020">
      <w:pPr>
        <w:jc w:val="both"/>
        <w:rPr>
          <w:rFonts w:cs="v4.2.0"/>
          <w:b/>
          <w:bCs/>
          <w:lang w:val="en-US" w:eastAsia="zh-CN"/>
        </w:rPr>
      </w:pP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1BFE87FC" w14:textId="4221830C" w:rsidR="00E81FA7" w:rsidRPr="00354E97" w:rsidRDefault="001042E6" w:rsidP="009D7DDB">
      <w:pPr>
        <w:pStyle w:val="Reference"/>
        <w:keepLines/>
        <w:numPr>
          <w:ilvl w:val="0"/>
          <w:numId w:val="12"/>
        </w:numPr>
        <w:rPr>
          <w:bCs/>
          <w:lang w:val="en-CN"/>
        </w:rPr>
      </w:pPr>
      <w:r w:rsidRPr="001042E6">
        <w:t>R4-2108341</w:t>
      </w:r>
      <w:r w:rsidR="00354E97">
        <w:rPr>
          <w:bCs/>
          <w:lang w:val="en-US"/>
        </w:rPr>
        <w:t xml:space="preserve">, </w:t>
      </w:r>
      <w:r w:rsidR="003B5265" w:rsidRPr="003B5265">
        <w:rPr>
          <w:bCs/>
          <w:lang w:val="en-US"/>
        </w:rPr>
        <w:t>WF on FR1 HST RRM</w:t>
      </w:r>
      <w:r w:rsidR="00354E97">
        <w:rPr>
          <w:bCs/>
          <w:lang w:val="en-US"/>
        </w:rPr>
        <w:t xml:space="preserve">, </w:t>
      </w:r>
      <w:r w:rsidR="003B5265">
        <w:rPr>
          <w:bCs/>
          <w:lang w:val="en-US"/>
        </w:rPr>
        <w:t>CMCC</w:t>
      </w:r>
    </w:p>
    <w:sectPr w:rsidR="00E81FA7" w:rsidRPr="00354E97"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A3797" w14:textId="77777777" w:rsidR="00B31CB4" w:rsidRDefault="00B31CB4">
      <w:pPr>
        <w:spacing w:after="0"/>
      </w:pPr>
      <w:r>
        <w:separator/>
      </w:r>
    </w:p>
  </w:endnote>
  <w:endnote w:type="continuationSeparator" w:id="0">
    <w:p w14:paraId="03E65D9A" w14:textId="77777777" w:rsidR="00B31CB4" w:rsidRDefault="00B31CB4">
      <w:pPr>
        <w:spacing w:after="0"/>
      </w:pPr>
      <w:r>
        <w:continuationSeparator/>
      </w:r>
    </w:p>
  </w:endnote>
  <w:endnote w:type="continuationNotice" w:id="1">
    <w:p w14:paraId="4CE648A1" w14:textId="77777777" w:rsidR="00B31CB4" w:rsidRDefault="00B31C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ĝኀ"/>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B2F27" w14:textId="77777777" w:rsidR="00B31CB4" w:rsidRDefault="00B31CB4">
      <w:pPr>
        <w:spacing w:after="0"/>
      </w:pPr>
      <w:r>
        <w:separator/>
      </w:r>
    </w:p>
  </w:footnote>
  <w:footnote w:type="continuationSeparator" w:id="0">
    <w:p w14:paraId="2F8DCB72" w14:textId="77777777" w:rsidR="00B31CB4" w:rsidRDefault="00B31CB4">
      <w:pPr>
        <w:spacing w:after="0"/>
      </w:pPr>
      <w:r>
        <w:continuationSeparator/>
      </w:r>
    </w:p>
  </w:footnote>
  <w:footnote w:type="continuationNotice" w:id="1">
    <w:p w14:paraId="615BBD02" w14:textId="77777777" w:rsidR="00B31CB4" w:rsidRDefault="00B31C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6308"/>
    <w:multiLevelType w:val="hybridMultilevel"/>
    <w:tmpl w:val="EB18BD38"/>
    <w:lvl w:ilvl="0" w:tplc="AB7C53EA">
      <w:start w:val="1"/>
      <w:numFmt w:val="bullet"/>
      <w:lvlText w:val="•"/>
      <w:lvlJc w:val="left"/>
      <w:pPr>
        <w:tabs>
          <w:tab w:val="num" w:pos="360"/>
        </w:tabs>
        <w:ind w:left="360" w:hanging="360"/>
      </w:pPr>
      <w:rPr>
        <w:rFonts w:ascii="Arial" w:hAnsi="Arial" w:hint="default"/>
      </w:rPr>
    </w:lvl>
    <w:lvl w:ilvl="1" w:tplc="8D1868F4">
      <w:start w:val="1"/>
      <w:numFmt w:val="bullet"/>
      <w:lvlText w:val="•"/>
      <w:lvlJc w:val="left"/>
      <w:pPr>
        <w:tabs>
          <w:tab w:val="num" w:pos="1080"/>
        </w:tabs>
        <w:ind w:left="1080" w:hanging="360"/>
      </w:pPr>
      <w:rPr>
        <w:rFonts w:ascii="Arial" w:hAnsi="Arial"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6E5165A"/>
    <w:multiLevelType w:val="hybridMultilevel"/>
    <w:tmpl w:val="56243656"/>
    <w:lvl w:ilvl="0" w:tplc="46A474B4">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3A1074"/>
    <w:multiLevelType w:val="hybridMultilevel"/>
    <w:tmpl w:val="DFE877A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AD299C"/>
    <w:multiLevelType w:val="hybridMultilevel"/>
    <w:tmpl w:val="231C675E"/>
    <w:lvl w:ilvl="0" w:tplc="1332EC8E">
      <w:start w:val="1"/>
      <w:numFmt w:val="bullet"/>
      <w:lvlText w:val="•"/>
      <w:lvlJc w:val="left"/>
      <w:pPr>
        <w:tabs>
          <w:tab w:val="num" w:pos="360"/>
        </w:tabs>
        <w:ind w:left="360" w:hanging="360"/>
      </w:pPr>
      <w:rPr>
        <w:rFonts w:ascii="Arial" w:hAnsi="Arial" w:hint="default"/>
      </w:rPr>
    </w:lvl>
    <w:lvl w:ilvl="1" w:tplc="9376B474">
      <w:start w:val="1"/>
      <w:numFmt w:val="bullet"/>
      <w:lvlText w:val="•"/>
      <w:lvlJc w:val="left"/>
      <w:pPr>
        <w:tabs>
          <w:tab w:val="num" w:pos="1080"/>
        </w:tabs>
        <w:ind w:left="1080" w:hanging="360"/>
      </w:pPr>
      <w:rPr>
        <w:rFonts w:ascii="Arial" w:hAnsi="Arial" w:hint="default"/>
      </w:rPr>
    </w:lvl>
    <w:lvl w:ilvl="2" w:tplc="5A3C0F1A">
      <w:numFmt w:val="bullet"/>
      <w:lvlText w:val="ü"/>
      <w:lvlJc w:val="left"/>
      <w:pPr>
        <w:tabs>
          <w:tab w:val="num" w:pos="1800"/>
        </w:tabs>
        <w:ind w:left="1800" w:hanging="360"/>
      </w:pPr>
      <w:rPr>
        <w:rFonts w:ascii="Wingdings" w:hAnsi="Wingdings" w:hint="default"/>
      </w:rPr>
    </w:lvl>
    <w:lvl w:ilvl="3" w:tplc="AA4242E2" w:tentative="1">
      <w:start w:val="1"/>
      <w:numFmt w:val="bullet"/>
      <w:lvlText w:val="•"/>
      <w:lvlJc w:val="left"/>
      <w:pPr>
        <w:tabs>
          <w:tab w:val="num" w:pos="2520"/>
        </w:tabs>
        <w:ind w:left="2520" w:hanging="360"/>
      </w:pPr>
      <w:rPr>
        <w:rFonts w:ascii="Arial" w:hAnsi="Arial" w:hint="default"/>
      </w:rPr>
    </w:lvl>
    <w:lvl w:ilvl="4" w:tplc="6046B1C6" w:tentative="1">
      <w:start w:val="1"/>
      <w:numFmt w:val="bullet"/>
      <w:lvlText w:val="•"/>
      <w:lvlJc w:val="left"/>
      <w:pPr>
        <w:tabs>
          <w:tab w:val="num" w:pos="3240"/>
        </w:tabs>
        <w:ind w:left="3240" w:hanging="360"/>
      </w:pPr>
      <w:rPr>
        <w:rFonts w:ascii="Arial" w:hAnsi="Arial" w:hint="default"/>
      </w:rPr>
    </w:lvl>
    <w:lvl w:ilvl="5" w:tplc="79F42346" w:tentative="1">
      <w:start w:val="1"/>
      <w:numFmt w:val="bullet"/>
      <w:lvlText w:val="•"/>
      <w:lvlJc w:val="left"/>
      <w:pPr>
        <w:tabs>
          <w:tab w:val="num" w:pos="3960"/>
        </w:tabs>
        <w:ind w:left="3960" w:hanging="360"/>
      </w:pPr>
      <w:rPr>
        <w:rFonts w:ascii="Arial" w:hAnsi="Arial" w:hint="default"/>
      </w:rPr>
    </w:lvl>
    <w:lvl w:ilvl="6" w:tplc="8670DA70" w:tentative="1">
      <w:start w:val="1"/>
      <w:numFmt w:val="bullet"/>
      <w:lvlText w:val="•"/>
      <w:lvlJc w:val="left"/>
      <w:pPr>
        <w:tabs>
          <w:tab w:val="num" w:pos="4680"/>
        </w:tabs>
        <w:ind w:left="4680" w:hanging="360"/>
      </w:pPr>
      <w:rPr>
        <w:rFonts w:ascii="Arial" w:hAnsi="Arial" w:hint="default"/>
      </w:rPr>
    </w:lvl>
    <w:lvl w:ilvl="7" w:tplc="A0742098" w:tentative="1">
      <w:start w:val="1"/>
      <w:numFmt w:val="bullet"/>
      <w:lvlText w:val="•"/>
      <w:lvlJc w:val="left"/>
      <w:pPr>
        <w:tabs>
          <w:tab w:val="num" w:pos="5400"/>
        </w:tabs>
        <w:ind w:left="5400" w:hanging="360"/>
      </w:pPr>
      <w:rPr>
        <w:rFonts w:ascii="Arial" w:hAnsi="Arial" w:hint="default"/>
      </w:rPr>
    </w:lvl>
    <w:lvl w:ilvl="8" w:tplc="C2DAD9C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8BA4E73"/>
    <w:multiLevelType w:val="hybridMultilevel"/>
    <w:tmpl w:val="AA54F886"/>
    <w:lvl w:ilvl="0" w:tplc="D4240FF8">
      <w:start w:val="1"/>
      <w:numFmt w:val="bullet"/>
      <w:lvlText w:val="•"/>
      <w:lvlJc w:val="left"/>
      <w:pPr>
        <w:tabs>
          <w:tab w:val="num" w:pos="360"/>
        </w:tabs>
        <w:ind w:left="360" w:hanging="360"/>
      </w:pPr>
      <w:rPr>
        <w:rFonts w:ascii="Arial" w:hAnsi="Arial" w:hint="default"/>
      </w:rPr>
    </w:lvl>
    <w:lvl w:ilvl="1" w:tplc="FA40EF1E">
      <w:start w:val="1"/>
      <w:numFmt w:val="bullet"/>
      <w:lvlText w:val="•"/>
      <w:lvlJc w:val="left"/>
      <w:pPr>
        <w:tabs>
          <w:tab w:val="num" w:pos="1080"/>
        </w:tabs>
        <w:ind w:left="1080" w:hanging="360"/>
      </w:pPr>
      <w:rPr>
        <w:rFonts w:ascii="Arial" w:hAnsi="Arial" w:hint="default"/>
      </w:rPr>
    </w:lvl>
    <w:lvl w:ilvl="2" w:tplc="09DEE85E">
      <w:numFmt w:val="bullet"/>
      <w:lvlText w:val="ü"/>
      <w:lvlJc w:val="left"/>
      <w:pPr>
        <w:tabs>
          <w:tab w:val="num" w:pos="1800"/>
        </w:tabs>
        <w:ind w:left="1800" w:hanging="360"/>
      </w:pPr>
      <w:rPr>
        <w:rFonts w:ascii="Wingdings" w:hAnsi="Wingdings" w:hint="default"/>
      </w:rPr>
    </w:lvl>
    <w:lvl w:ilvl="3" w:tplc="F28C7E12" w:tentative="1">
      <w:start w:val="1"/>
      <w:numFmt w:val="bullet"/>
      <w:lvlText w:val="•"/>
      <w:lvlJc w:val="left"/>
      <w:pPr>
        <w:tabs>
          <w:tab w:val="num" w:pos="2520"/>
        </w:tabs>
        <w:ind w:left="2520" w:hanging="360"/>
      </w:pPr>
      <w:rPr>
        <w:rFonts w:ascii="Arial" w:hAnsi="Arial" w:hint="default"/>
      </w:rPr>
    </w:lvl>
    <w:lvl w:ilvl="4" w:tplc="D4988A14" w:tentative="1">
      <w:start w:val="1"/>
      <w:numFmt w:val="bullet"/>
      <w:lvlText w:val="•"/>
      <w:lvlJc w:val="left"/>
      <w:pPr>
        <w:tabs>
          <w:tab w:val="num" w:pos="3240"/>
        </w:tabs>
        <w:ind w:left="3240" w:hanging="360"/>
      </w:pPr>
      <w:rPr>
        <w:rFonts w:ascii="Arial" w:hAnsi="Arial" w:hint="default"/>
      </w:rPr>
    </w:lvl>
    <w:lvl w:ilvl="5" w:tplc="AFACEBE4" w:tentative="1">
      <w:start w:val="1"/>
      <w:numFmt w:val="bullet"/>
      <w:lvlText w:val="•"/>
      <w:lvlJc w:val="left"/>
      <w:pPr>
        <w:tabs>
          <w:tab w:val="num" w:pos="3960"/>
        </w:tabs>
        <w:ind w:left="3960" w:hanging="360"/>
      </w:pPr>
      <w:rPr>
        <w:rFonts w:ascii="Arial" w:hAnsi="Arial" w:hint="default"/>
      </w:rPr>
    </w:lvl>
    <w:lvl w:ilvl="6" w:tplc="4EB85020" w:tentative="1">
      <w:start w:val="1"/>
      <w:numFmt w:val="bullet"/>
      <w:lvlText w:val="•"/>
      <w:lvlJc w:val="left"/>
      <w:pPr>
        <w:tabs>
          <w:tab w:val="num" w:pos="4680"/>
        </w:tabs>
        <w:ind w:left="4680" w:hanging="360"/>
      </w:pPr>
      <w:rPr>
        <w:rFonts w:ascii="Arial" w:hAnsi="Arial" w:hint="default"/>
      </w:rPr>
    </w:lvl>
    <w:lvl w:ilvl="7" w:tplc="3758B774" w:tentative="1">
      <w:start w:val="1"/>
      <w:numFmt w:val="bullet"/>
      <w:lvlText w:val="•"/>
      <w:lvlJc w:val="left"/>
      <w:pPr>
        <w:tabs>
          <w:tab w:val="num" w:pos="5400"/>
        </w:tabs>
        <w:ind w:left="5400" w:hanging="360"/>
      </w:pPr>
      <w:rPr>
        <w:rFonts w:ascii="Arial" w:hAnsi="Arial" w:hint="default"/>
      </w:rPr>
    </w:lvl>
    <w:lvl w:ilvl="8" w:tplc="69B6CE4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B373428"/>
    <w:multiLevelType w:val="hybridMultilevel"/>
    <w:tmpl w:val="36E679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8203BD"/>
    <w:multiLevelType w:val="hybridMultilevel"/>
    <w:tmpl w:val="20CC9FBA"/>
    <w:lvl w:ilvl="0" w:tplc="8A988F2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4996983"/>
    <w:multiLevelType w:val="hybridMultilevel"/>
    <w:tmpl w:val="2FAEA24C"/>
    <w:lvl w:ilvl="0" w:tplc="DB8ABB0C">
      <w:start w:val="1"/>
      <w:numFmt w:val="bullet"/>
      <w:lvlText w:val="•"/>
      <w:lvlJc w:val="left"/>
      <w:pPr>
        <w:tabs>
          <w:tab w:val="num" w:pos="360"/>
        </w:tabs>
        <w:ind w:left="360" w:hanging="360"/>
      </w:pPr>
      <w:rPr>
        <w:rFonts w:ascii="Arial" w:hAnsi="Arial" w:hint="default"/>
      </w:rPr>
    </w:lvl>
    <w:lvl w:ilvl="1" w:tplc="2C809ECC">
      <w:start w:val="1"/>
      <w:numFmt w:val="bullet"/>
      <w:lvlText w:val="•"/>
      <w:lvlJc w:val="left"/>
      <w:pPr>
        <w:tabs>
          <w:tab w:val="num" w:pos="1080"/>
        </w:tabs>
        <w:ind w:left="1080" w:hanging="360"/>
      </w:pPr>
      <w:rPr>
        <w:rFonts w:ascii="Arial" w:hAnsi="Arial" w:hint="default"/>
      </w:rPr>
    </w:lvl>
    <w:lvl w:ilvl="2" w:tplc="70BA1982">
      <w:numFmt w:val="bullet"/>
      <w:lvlText w:val="ü"/>
      <w:lvlJc w:val="left"/>
      <w:pPr>
        <w:tabs>
          <w:tab w:val="num" w:pos="1800"/>
        </w:tabs>
        <w:ind w:left="1800" w:hanging="360"/>
      </w:pPr>
      <w:rPr>
        <w:rFonts w:ascii="Wingdings" w:hAnsi="Wingdings" w:hint="default"/>
      </w:rPr>
    </w:lvl>
    <w:lvl w:ilvl="3" w:tplc="E16226EA">
      <w:numFmt w:val="bullet"/>
      <w:lvlText w:val="Ø"/>
      <w:lvlJc w:val="left"/>
      <w:pPr>
        <w:tabs>
          <w:tab w:val="num" w:pos="2520"/>
        </w:tabs>
        <w:ind w:left="2520" w:hanging="360"/>
      </w:pPr>
      <w:rPr>
        <w:rFonts w:ascii="Wingdings" w:hAnsi="Wingdings" w:hint="default"/>
      </w:rPr>
    </w:lvl>
    <w:lvl w:ilvl="4" w:tplc="631EF602" w:tentative="1">
      <w:start w:val="1"/>
      <w:numFmt w:val="bullet"/>
      <w:lvlText w:val="•"/>
      <w:lvlJc w:val="left"/>
      <w:pPr>
        <w:tabs>
          <w:tab w:val="num" w:pos="3240"/>
        </w:tabs>
        <w:ind w:left="3240" w:hanging="360"/>
      </w:pPr>
      <w:rPr>
        <w:rFonts w:ascii="Arial" w:hAnsi="Arial" w:hint="default"/>
      </w:rPr>
    </w:lvl>
    <w:lvl w:ilvl="5" w:tplc="716A5610" w:tentative="1">
      <w:start w:val="1"/>
      <w:numFmt w:val="bullet"/>
      <w:lvlText w:val="•"/>
      <w:lvlJc w:val="left"/>
      <w:pPr>
        <w:tabs>
          <w:tab w:val="num" w:pos="3960"/>
        </w:tabs>
        <w:ind w:left="3960" w:hanging="360"/>
      </w:pPr>
      <w:rPr>
        <w:rFonts w:ascii="Arial" w:hAnsi="Arial" w:hint="default"/>
      </w:rPr>
    </w:lvl>
    <w:lvl w:ilvl="6" w:tplc="3BF0EBAA" w:tentative="1">
      <w:start w:val="1"/>
      <w:numFmt w:val="bullet"/>
      <w:lvlText w:val="•"/>
      <w:lvlJc w:val="left"/>
      <w:pPr>
        <w:tabs>
          <w:tab w:val="num" w:pos="4680"/>
        </w:tabs>
        <w:ind w:left="4680" w:hanging="360"/>
      </w:pPr>
      <w:rPr>
        <w:rFonts w:ascii="Arial" w:hAnsi="Arial" w:hint="default"/>
      </w:rPr>
    </w:lvl>
    <w:lvl w:ilvl="7" w:tplc="8C980CDE" w:tentative="1">
      <w:start w:val="1"/>
      <w:numFmt w:val="bullet"/>
      <w:lvlText w:val="•"/>
      <w:lvlJc w:val="left"/>
      <w:pPr>
        <w:tabs>
          <w:tab w:val="num" w:pos="5400"/>
        </w:tabs>
        <w:ind w:left="5400" w:hanging="360"/>
      </w:pPr>
      <w:rPr>
        <w:rFonts w:ascii="Arial" w:hAnsi="Arial" w:hint="default"/>
      </w:rPr>
    </w:lvl>
    <w:lvl w:ilvl="8" w:tplc="1C94B07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9D1137E"/>
    <w:multiLevelType w:val="hybridMultilevel"/>
    <w:tmpl w:val="FDBA7F8C"/>
    <w:lvl w:ilvl="0" w:tplc="AB7C53EA">
      <w:start w:val="1"/>
      <w:numFmt w:val="bullet"/>
      <w:lvlText w:val="•"/>
      <w:lvlJc w:val="left"/>
      <w:pPr>
        <w:tabs>
          <w:tab w:val="num" w:pos="360"/>
        </w:tabs>
        <w:ind w:left="360" w:hanging="360"/>
      </w:pPr>
      <w:rPr>
        <w:rFonts w:ascii="Arial" w:hAnsi="Arial" w:hint="default"/>
      </w:rPr>
    </w:lvl>
    <w:lvl w:ilvl="1" w:tplc="46FED138">
      <w:numFmt w:val="bullet"/>
      <w:lvlText w:val="ü"/>
      <w:lvlJc w:val="left"/>
      <w:pPr>
        <w:ind w:left="1080" w:hanging="360"/>
      </w:pPr>
      <w:rPr>
        <w:rFonts w:ascii="Wingdings" w:hAnsi="Wingdings"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23"/>
  </w:num>
  <w:num w:numId="12">
    <w:abstractNumId w:val="11"/>
  </w:num>
  <w:num w:numId="13">
    <w:abstractNumId w:val="19"/>
  </w:num>
  <w:num w:numId="14">
    <w:abstractNumId w:val="21"/>
  </w:num>
  <w:num w:numId="15">
    <w:abstractNumId w:val="7"/>
  </w:num>
  <w:num w:numId="16">
    <w:abstractNumId w:val="17"/>
  </w:num>
  <w:num w:numId="17">
    <w:abstractNumId w:val="20"/>
  </w:num>
  <w:num w:numId="18">
    <w:abstractNumId w:val="10"/>
  </w:num>
  <w:num w:numId="19">
    <w:abstractNumId w:val="5"/>
  </w:num>
  <w:num w:numId="20">
    <w:abstractNumId w:val="0"/>
  </w:num>
  <w:num w:numId="21">
    <w:abstractNumId w:val="9"/>
  </w:num>
  <w:num w:numId="22">
    <w:abstractNumId w:val="18"/>
  </w:num>
  <w:num w:numId="23">
    <w:abstractNumId w:val="8"/>
  </w:num>
  <w:num w:numId="24">
    <w:abstractNumId w:val="25"/>
  </w:num>
  <w:num w:numId="25">
    <w:abstractNumId w:val="15"/>
  </w:num>
  <w:num w:numId="26">
    <w:abstractNumId w:val="4"/>
  </w:num>
  <w:num w:numId="27">
    <w:abstractNumId w:val="12"/>
  </w:num>
  <w:num w:numId="28">
    <w:abstractNumId w:val="13"/>
  </w:num>
  <w:num w:numId="29">
    <w:abstractNumId w:val="24"/>
  </w:num>
  <w:num w:numId="30">
    <w:abstractNumId w:val="6"/>
  </w:num>
  <w:num w:numId="3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854"/>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385"/>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F72"/>
    <w:rsid w:val="000C51C6"/>
    <w:rsid w:val="000C51EA"/>
    <w:rsid w:val="000C5BE0"/>
    <w:rsid w:val="000C7506"/>
    <w:rsid w:val="000D050B"/>
    <w:rsid w:val="000D45C9"/>
    <w:rsid w:val="000D5C69"/>
    <w:rsid w:val="000D5DC6"/>
    <w:rsid w:val="000D6AA9"/>
    <w:rsid w:val="000D6E60"/>
    <w:rsid w:val="000D7462"/>
    <w:rsid w:val="000D794F"/>
    <w:rsid w:val="000D7973"/>
    <w:rsid w:val="000D7F06"/>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17A"/>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7AF"/>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9"/>
    <w:rsid w:val="001E552C"/>
    <w:rsid w:val="001E6177"/>
    <w:rsid w:val="001E62B5"/>
    <w:rsid w:val="001E69EF"/>
    <w:rsid w:val="001E6A41"/>
    <w:rsid w:val="001E7419"/>
    <w:rsid w:val="001E7C2D"/>
    <w:rsid w:val="001E7E0F"/>
    <w:rsid w:val="001F076A"/>
    <w:rsid w:val="001F0A60"/>
    <w:rsid w:val="001F179C"/>
    <w:rsid w:val="001F479A"/>
    <w:rsid w:val="001F59EF"/>
    <w:rsid w:val="001F6056"/>
    <w:rsid w:val="001F715B"/>
    <w:rsid w:val="002018D3"/>
    <w:rsid w:val="00201E08"/>
    <w:rsid w:val="00202ADF"/>
    <w:rsid w:val="00203C24"/>
    <w:rsid w:val="00203FC0"/>
    <w:rsid w:val="0020425C"/>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EBC"/>
    <w:rsid w:val="002A1F2B"/>
    <w:rsid w:val="002A2F03"/>
    <w:rsid w:val="002A352B"/>
    <w:rsid w:val="002A42F8"/>
    <w:rsid w:val="002A4EB3"/>
    <w:rsid w:val="002A5B38"/>
    <w:rsid w:val="002B05CE"/>
    <w:rsid w:val="002B0A1B"/>
    <w:rsid w:val="002B15A0"/>
    <w:rsid w:val="002B5728"/>
    <w:rsid w:val="002B607F"/>
    <w:rsid w:val="002C0E18"/>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4ED9"/>
    <w:rsid w:val="002E596A"/>
    <w:rsid w:val="002E5BF9"/>
    <w:rsid w:val="002E7E0D"/>
    <w:rsid w:val="002E7EFC"/>
    <w:rsid w:val="002F04C8"/>
    <w:rsid w:val="002F0628"/>
    <w:rsid w:val="002F0D78"/>
    <w:rsid w:val="002F0F0C"/>
    <w:rsid w:val="002F11D7"/>
    <w:rsid w:val="002F1C0E"/>
    <w:rsid w:val="002F2871"/>
    <w:rsid w:val="002F2AF3"/>
    <w:rsid w:val="002F33B8"/>
    <w:rsid w:val="002F38BB"/>
    <w:rsid w:val="002F3E1D"/>
    <w:rsid w:val="002F5AE4"/>
    <w:rsid w:val="002F6C18"/>
    <w:rsid w:val="002F6CFC"/>
    <w:rsid w:val="002F744D"/>
    <w:rsid w:val="002F74D3"/>
    <w:rsid w:val="002F7C0E"/>
    <w:rsid w:val="002F7F42"/>
    <w:rsid w:val="0030063C"/>
    <w:rsid w:val="003019E5"/>
    <w:rsid w:val="00301E5E"/>
    <w:rsid w:val="003027CC"/>
    <w:rsid w:val="00302B38"/>
    <w:rsid w:val="00302EB9"/>
    <w:rsid w:val="0030319E"/>
    <w:rsid w:val="00303766"/>
    <w:rsid w:val="003039FE"/>
    <w:rsid w:val="00303E00"/>
    <w:rsid w:val="003043F3"/>
    <w:rsid w:val="00304665"/>
    <w:rsid w:val="00305D4B"/>
    <w:rsid w:val="00306427"/>
    <w:rsid w:val="00306469"/>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40C1B"/>
    <w:rsid w:val="0034137B"/>
    <w:rsid w:val="00341905"/>
    <w:rsid w:val="00341E35"/>
    <w:rsid w:val="0034219A"/>
    <w:rsid w:val="00342FE4"/>
    <w:rsid w:val="0034362E"/>
    <w:rsid w:val="003440A3"/>
    <w:rsid w:val="00345588"/>
    <w:rsid w:val="00345CFF"/>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112F"/>
    <w:rsid w:val="003E2030"/>
    <w:rsid w:val="003E2697"/>
    <w:rsid w:val="003E3112"/>
    <w:rsid w:val="003E3D82"/>
    <w:rsid w:val="003E3FA1"/>
    <w:rsid w:val="003E4628"/>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5CF7"/>
    <w:rsid w:val="00476399"/>
    <w:rsid w:val="0047674A"/>
    <w:rsid w:val="00476E5B"/>
    <w:rsid w:val="00477C5F"/>
    <w:rsid w:val="00477EDE"/>
    <w:rsid w:val="00480051"/>
    <w:rsid w:val="004807A0"/>
    <w:rsid w:val="004807F5"/>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3C5"/>
    <w:rsid w:val="004B4F5F"/>
    <w:rsid w:val="004B686B"/>
    <w:rsid w:val="004B6A36"/>
    <w:rsid w:val="004B6B97"/>
    <w:rsid w:val="004B6DE2"/>
    <w:rsid w:val="004B7524"/>
    <w:rsid w:val="004C00A5"/>
    <w:rsid w:val="004C04D6"/>
    <w:rsid w:val="004C04DF"/>
    <w:rsid w:val="004C094C"/>
    <w:rsid w:val="004C0C33"/>
    <w:rsid w:val="004C3603"/>
    <w:rsid w:val="004C41DC"/>
    <w:rsid w:val="004C48D3"/>
    <w:rsid w:val="004C4AF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43E"/>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0F28"/>
    <w:rsid w:val="005610EE"/>
    <w:rsid w:val="0056119B"/>
    <w:rsid w:val="00561EAD"/>
    <w:rsid w:val="00562102"/>
    <w:rsid w:val="005623BD"/>
    <w:rsid w:val="005631E1"/>
    <w:rsid w:val="0056322F"/>
    <w:rsid w:val="005639DB"/>
    <w:rsid w:val="00564477"/>
    <w:rsid w:val="00565A12"/>
    <w:rsid w:val="0056761B"/>
    <w:rsid w:val="005704EA"/>
    <w:rsid w:val="00570A63"/>
    <w:rsid w:val="00571EE7"/>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97E"/>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3E7F"/>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1C7B"/>
    <w:rsid w:val="006627DE"/>
    <w:rsid w:val="006628CF"/>
    <w:rsid w:val="00663201"/>
    <w:rsid w:val="00664106"/>
    <w:rsid w:val="0066412D"/>
    <w:rsid w:val="006642E0"/>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3A9"/>
    <w:rsid w:val="00673D7E"/>
    <w:rsid w:val="00674EEF"/>
    <w:rsid w:val="00675A8B"/>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99A"/>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2D3"/>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5C3"/>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69C"/>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4DA9"/>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4DD"/>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5EED"/>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595D"/>
    <w:rsid w:val="009B6008"/>
    <w:rsid w:val="009B6202"/>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F3F"/>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1CB4"/>
    <w:rsid w:val="00B32116"/>
    <w:rsid w:val="00B3277E"/>
    <w:rsid w:val="00B32AB9"/>
    <w:rsid w:val="00B33AA4"/>
    <w:rsid w:val="00B33CF9"/>
    <w:rsid w:val="00B33D24"/>
    <w:rsid w:val="00B33DD1"/>
    <w:rsid w:val="00B347CF"/>
    <w:rsid w:val="00B35680"/>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1D7D"/>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413"/>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0539"/>
    <w:rsid w:val="00C1249F"/>
    <w:rsid w:val="00C124ED"/>
    <w:rsid w:val="00C125C3"/>
    <w:rsid w:val="00C13140"/>
    <w:rsid w:val="00C1339D"/>
    <w:rsid w:val="00C14092"/>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AB8"/>
    <w:rsid w:val="00C4577C"/>
    <w:rsid w:val="00C4579E"/>
    <w:rsid w:val="00C45A05"/>
    <w:rsid w:val="00C4644C"/>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97"/>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71F"/>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3E5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47B6"/>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303"/>
    <w:rsid w:val="00E62C29"/>
    <w:rsid w:val="00E64DAD"/>
    <w:rsid w:val="00E6610F"/>
    <w:rsid w:val="00E66266"/>
    <w:rsid w:val="00E662D6"/>
    <w:rsid w:val="00E66397"/>
    <w:rsid w:val="00E6642C"/>
    <w:rsid w:val="00E66DE7"/>
    <w:rsid w:val="00E70A04"/>
    <w:rsid w:val="00E70FFF"/>
    <w:rsid w:val="00E716E1"/>
    <w:rsid w:val="00E7192C"/>
    <w:rsid w:val="00E71D33"/>
    <w:rsid w:val="00E72043"/>
    <w:rsid w:val="00E72B95"/>
    <w:rsid w:val="00E738CB"/>
    <w:rsid w:val="00E73A1F"/>
    <w:rsid w:val="00E73E10"/>
    <w:rsid w:val="00E74F41"/>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4DC"/>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18A2"/>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271D"/>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9C0"/>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ABF"/>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113"/>
    <w:rsid w:val="00F359EF"/>
    <w:rsid w:val="00F35FE1"/>
    <w:rsid w:val="00F367D9"/>
    <w:rsid w:val="00F367DF"/>
    <w:rsid w:val="00F36C24"/>
    <w:rsid w:val="00F401E5"/>
    <w:rsid w:val="00F40998"/>
    <w:rsid w:val="00F41D1A"/>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570B"/>
    <w:rsid w:val="00FC6ABD"/>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44F8"/>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3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qFormat/>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qFormat/>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5037">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2548970">
      <w:bodyDiv w:val="1"/>
      <w:marLeft w:val="0"/>
      <w:marRight w:val="0"/>
      <w:marTop w:val="0"/>
      <w:marBottom w:val="0"/>
      <w:divBdr>
        <w:top w:val="none" w:sz="0" w:space="0" w:color="auto"/>
        <w:left w:val="none" w:sz="0" w:space="0" w:color="auto"/>
        <w:bottom w:val="none" w:sz="0" w:space="0" w:color="auto"/>
        <w:right w:val="none" w:sz="0" w:space="0" w:color="auto"/>
      </w:divBdr>
      <w:divsChild>
        <w:div w:id="1720860785">
          <w:marLeft w:val="547"/>
          <w:marRight w:val="0"/>
          <w:marTop w:val="0"/>
          <w:marBottom w:val="0"/>
          <w:divBdr>
            <w:top w:val="none" w:sz="0" w:space="0" w:color="auto"/>
            <w:left w:val="none" w:sz="0" w:space="0" w:color="auto"/>
            <w:bottom w:val="none" w:sz="0" w:space="0" w:color="auto"/>
            <w:right w:val="none" w:sz="0" w:space="0" w:color="auto"/>
          </w:divBdr>
        </w:div>
        <w:div w:id="257256145">
          <w:marLeft w:val="1354"/>
          <w:marRight w:val="0"/>
          <w:marTop w:val="260"/>
          <w:marBottom w:val="120"/>
          <w:divBdr>
            <w:top w:val="none" w:sz="0" w:space="0" w:color="auto"/>
            <w:left w:val="none" w:sz="0" w:space="0" w:color="auto"/>
            <w:bottom w:val="none" w:sz="0" w:space="0" w:color="auto"/>
            <w:right w:val="none" w:sz="0" w:space="0" w:color="auto"/>
          </w:divBdr>
        </w:div>
        <w:div w:id="1023820982">
          <w:marLeft w:val="1354"/>
          <w:marRight w:val="0"/>
          <w:marTop w:val="260"/>
          <w:marBottom w:val="120"/>
          <w:divBdr>
            <w:top w:val="none" w:sz="0" w:space="0" w:color="auto"/>
            <w:left w:val="none" w:sz="0" w:space="0" w:color="auto"/>
            <w:bottom w:val="none" w:sz="0" w:space="0" w:color="auto"/>
            <w:right w:val="none" w:sz="0" w:space="0" w:color="auto"/>
          </w:divBdr>
        </w:div>
        <w:div w:id="1426417047">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1338063">
      <w:bodyDiv w:val="1"/>
      <w:marLeft w:val="0"/>
      <w:marRight w:val="0"/>
      <w:marTop w:val="0"/>
      <w:marBottom w:val="0"/>
      <w:divBdr>
        <w:top w:val="none" w:sz="0" w:space="0" w:color="auto"/>
        <w:left w:val="none" w:sz="0" w:space="0" w:color="auto"/>
        <w:bottom w:val="none" w:sz="0" w:space="0" w:color="auto"/>
        <w:right w:val="none" w:sz="0" w:space="0" w:color="auto"/>
      </w:divBdr>
      <w:divsChild>
        <w:div w:id="1587493804">
          <w:marLeft w:val="547"/>
          <w:marRight w:val="0"/>
          <w:marTop w:val="0"/>
          <w:marBottom w:val="0"/>
          <w:divBdr>
            <w:top w:val="none" w:sz="0" w:space="0" w:color="auto"/>
            <w:left w:val="none" w:sz="0" w:space="0" w:color="auto"/>
            <w:bottom w:val="none" w:sz="0" w:space="0" w:color="auto"/>
            <w:right w:val="none" w:sz="0" w:space="0" w:color="auto"/>
          </w:divBdr>
        </w:div>
        <w:div w:id="956326716">
          <w:marLeft w:val="1354"/>
          <w:marRight w:val="0"/>
          <w:marTop w:val="260"/>
          <w:marBottom w:val="120"/>
          <w:divBdr>
            <w:top w:val="none" w:sz="0" w:space="0" w:color="auto"/>
            <w:left w:val="none" w:sz="0" w:space="0" w:color="auto"/>
            <w:bottom w:val="none" w:sz="0" w:space="0" w:color="auto"/>
            <w:right w:val="none" w:sz="0" w:space="0" w:color="auto"/>
          </w:divBdr>
        </w:div>
        <w:div w:id="157965652">
          <w:marLeft w:val="1354"/>
          <w:marRight w:val="0"/>
          <w:marTop w:val="260"/>
          <w:marBottom w:val="120"/>
          <w:divBdr>
            <w:top w:val="none" w:sz="0" w:space="0" w:color="auto"/>
            <w:left w:val="none" w:sz="0" w:space="0" w:color="auto"/>
            <w:bottom w:val="none" w:sz="0" w:space="0" w:color="auto"/>
            <w:right w:val="none" w:sz="0" w:space="0" w:color="auto"/>
          </w:divBdr>
        </w:div>
      </w:divsChild>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1461262">
      <w:bodyDiv w:val="1"/>
      <w:marLeft w:val="0"/>
      <w:marRight w:val="0"/>
      <w:marTop w:val="0"/>
      <w:marBottom w:val="0"/>
      <w:divBdr>
        <w:top w:val="none" w:sz="0" w:space="0" w:color="auto"/>
        <w:left w:val="none" w:sz="0" w:space="0" w:color="auto"/>
        <w:bottom w:val="none" w:sz="0" w:space="0" w:color="auto"/>
        <w:right w:val="none" w:sz="0" w:space="0" w:color="auto"/>
      </w:divBdr>
      <w:divsChild>
        <w:div w:id="1688368124">
          <w:marLeft w:val="547"/>
          <w:marRight w:val="0"/>
          <w:marTop w:val="0"/>
          <w:marBottom w:val="0"/>
          <w:divBdr>
            <w:top w:val="none" w:sz="0" w:space="0" w:color="auto"/>
            <w:left w:val="none" w:sz="0" w:space="0" w:color="auto"/>
            <w:bottom w:val="none" w:sz="0" w:space="0" w:color="auto"/>
            <w:right w:val="none" w:sz="0" w:space="0" w:color="auto"/>
          </w:divBdr>
        </w:div>
        <w:div w:id="2015188108">
          <w:marLeft w:val="1354"/>
          <w:marRight w:val="0"/>
          <w:marTop w:val="260"/>
          <w:marBottom w:val="120"/>
          <w:divBdr>
            <w:top w:val="none" w:sz="0" w:space="0" w:color="auto"/>
            <w:left w:val="none" w:sz="0" w:space="0" w:color="auto"/>
            <w:bottom w:val="none" w:sz="0" w:space="0" w:color="auto"/>
            <w:right w:val="none" w:sz="0" w:space="0" w:color="auto"/>
          </w:divBdr>
        </w:div>
        <w:div w:id="2084523491">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3854710">
      <w:bodyDiv w:val="1"/>
      <w:marLeft w:val="0"/>
      <w:marRight w:val="0"/>
      <w:marTop w:val="0"/>
      <w:marBottom w:val="0"/>
      <w:divBdr>
        <w:top w:val="none" w:sz="0" w:space="0" w:color="auto"/>
        <w:left w:val="none" w:sz="0" w:space="0" w:color="auto"/>
        <w:bottom w:val="none" w:sz="0" w:space="0" w:color="auto"/>
        <w:right w:val="none" w:sz="0" w:space="0" w:color="auto"/>
      </w:divBdr>
      <w:divsChild>
        <w:div w:id="1918202706">
          <w:marLeft w:val="547"/>
          <w:marRight w:val="0"/>
          <w:marTop w:val="0"/>
          <w:marBottom w:val="0"/>
          <w:divBdr>
            <w:top w:val="none" w:sz="0" w:space="0" w:color="auto"/>
            <w:left w:val="none" w:sz="0" w:space="0" w:color="auto"/>
            <w:bottom w:val="none" w:sz="0" w:space="0" w:color="auto"/>
            <w:right w:val="none" w:sz="0" w:space="0" w:color="auto"/>
          </w:divBdr>
        </w:div>
        <w:div w:id="18624759">
          <w:marLeft w:val="1354"/>
          <w:marRight w:val="0"/>
          <w:marTop w:val="260"/>
          <w:marBottom w:val="120"/>
          <w:divBdr>
            <w:top w:val="none" w:sz="0" w:space="0" w:color="auto"/>
            <w:left w:val="none" w:sz="0" w:space="0" w:color="auto"/>
            <w:bottom w:val="none" w:sz="0" w:space="0" w:color="auto"/>
            <w:right w:val="none" w:sz="0" w:space="0" w:color="auto"/>
          </w:divBdr>
        </w:div>
        <w:div w:id="1159344324">
          <w:marLeft w:val="2074"/>
          <w:marRight w:val="0"/>
          <w:marTop w:val="260"/>
          <w:marBottom w:val="120"/>
          <w:divBdr>
            <w:top w:val="none" w:sz="0" w:space="0" w:color="auto"/>
            <w:left w:val="none" w:sz="0" w:space="0" w:color="auto"/>
            <w:bottom w:val="none" w:sz="0" w:space="0" w:color="auto"/>
            <w:right w:val="none" w:sz="0" w:space="0" w:color="auto"/>
          </w:divBdr>
        </w:div>
        <w:div w:id="1898734160">
          <w:marLeft w:val="2074"/>
          <w:marRight w:val="0"/>
          <w:marTop w:val="260"/>
          <w:marBottom w:val="120"/>
          <w:divBdr>
            <w:top w:val="none" w:sz="0" w:space="0" w:color="auto"/>
            <w:left w:val="none" w:sz="0" w:space="0" w:color="auto"/>
            <w:bottom w:val="none" w:sz="0" w:space="0" w:color="auto"/>
            <w:right w:val="none" w:sz="0" w:space="0" w:color="auto"/>
          </w:divBdr>
        </w:div>
        <w:div w:id="616913955">
          <w:marLeft w:val="1354"/>
          <w:marRight w:val="0"/>
          <w:marTop w:val="260"/>
          <w:marBottom w:val="120"/>
          <w:divBdr>
            <w:top w:val="none" w:sz="0" w:space="0" w:color="auto"/>
            <w:left w:val="none" w:sz="0" w:space="0" w:color="auto"/>
            <w:bottom w:val="none" w:sz="0" w:space="0" w:color="auto"/>
            <w:right w:val="none" w:sz="0" w:space="0" w:color="auto"/>
          </w:divBdr>
        </w:div>
        <w:div w:id="688484236">
          <w:marLeft w:val="2074"/>
          <w:marRight w:val="0"/>
          <w:marTop w:val="260"/>
          <w:marBottom w:val="120"/>
          <w:divBdr>
            <w:top w:val="none" w:sz="0" w:space="0" w:color="auto"/>
            <w:left w:val="none" w:sz="0" w:space="0" w:color="auto"/>
            <w:bottom w:val="none" w:sz="0" w:space="0" w:color="auto"/>
            <w:right w:val="none" w:sz="0" w:space="0" w:color="auto"/>
          </w:divBdr>
        </w:div>
        <w:div w:id="1436947095">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2717582">
      <w:bodyDiv w:val="1"/>
      <w:marLeft w:val="0"/>
      <w:marRight w:val="0"/>
      <w:marTop w:val="0"/>
      <w:marBottom w:val="0"/>
      <w:divBdr>
        <w:top w:val="none" w:sz="0" w:space="0" w:color="auto"/>
        <w:left w:val="none" w:sz="0" w:space="0" w:color="auto"/>
        <w:bottom w:val="none" w:sz="0" w:space="0" w:color="auto"/>
        <w:right w:val="none" w:sz="0" w:space="0" w:color="auto"/>
      </w:divBdr>
      <w:divsChild>
        <w:div w:id="531768563">
          <w:marLeft w:val="547"/>
          <w:marRight w:val="0"/>
          <w:marTop w:val="0"/>
          <w:marBottom w:val="0"/>
          <w:divBdr>
            <w:top w:val="none" w:sz="0" w:space="0" w:color="auto"/>
            <w:left w:val="none" w:sz="0" w:space="0" w:color="auto"/>
            <w:bottom w:val="none" w:sz="0" w:space="0" w:color="auto"/>
            <w:right w:val="none" w:sz="0" w:space="0" w:color="auto"/>
          </w:divBdr>
        </w:div>
        <w:div w:id="69933217">
          <w:marLeft w:val="1354"/>
          <w:marRight w:val="0"/>
          <w:marTop w:val="260"/>
          <w:marBottom w:val="120"/>
          <w:divBdr>
            <w:top w:val="none" w:sz="0" w:space="0" w:color="auto"/>
            <w:left w:val="none" w:sz="0" w:space="0" w:color="auto"/>
            <w:bottom w:val="none" w:sz="0" w:space="0" w:color="auto"/>
            <w:right w:val="none" w:sz="0" w:space="0" w:color="auto"/>
          </w:divBdr>
        </w:div>
        <w:div w:id="517814049">
          <w:marLeft w:val="1354"/>
          <w:marRight w:val="0"/>
          <w:marTop w:val="260"/>
          <w:marBottom w:val="120"/>
          <w:divBdr>
            <w:top w:val="none" w:sz="0" w:space="0" w:color="auto"/>
            <w:left w:val="none" w:sz="0" w:space="0" w:color="auto"/>
            <w:bottom w:val="none" w:sz="0" w:space="0" w:color="auto"/>
            <w:right w:val="none" w:sz="0" w:space="0" w:color="auto"/>
          </w:divBdr>
        </w:div>
        <w:div w:id="1379546067">
          <w:marLeft w:val="1354"/>
          <w:marRight w:val="0"/>
          <w:marTop w:val="260"/>
          <w:marBottom w:val="12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346175">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2">
          <w:marLeft w:val="547"/>
          <w:marRight w:val="0"/>
          <w:marTop w:val="0"/>
          <w:marBottom w:val="0"/>
          <w:divBdr>
            <w:top w:val="none" w:sz="0" w:space="0" w:color="auto"/>
            <w:left w:val="none" w:sz="0" w:space="0" w:color="auto"/>
            <w:bottom w:val="none" w:sz="0" w:space="0" w:color="auto"/>
            <w:right w:val="none" w:sz="0" w:space="0" w:color="auto"/>
          </w:divBdr>
        </w:div>
        <w:div w:id="293213804">
          <w:marLeft w:val="1354"/>
          <w:marRight w:val="0"/>
          <w:marTop w:val="260"/>
          <w:marBottom w:val="120"/>
          <w:divBdr>
            <w:top w:val="none" w:sz="0" w:space="0" w:color="auto"/>
            <w:left w:val="none" w:sz="0" w:space="0" w:color="auto"/>
            <w:bottom w:val="none" w:sz="0" w:space="0" w:color="auto"/>
            <w:right w:val="none" w:sz="0" w:space="0" w:color="auto"/>
          </w:divBdr>
        </w:div>
        <w:div w:id="1785230047">
          <w:marLeft w:val="1354"/>
          <w:marRight w:val="0"/>
          <w:marTop w:val="260"/>
          <w:marBottom w:val="12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1141</TotalTime>
  <Pages>4</Pages>
  <Words>1244</Words>
  <Characters>7095</Characters>
  <Application>Microsoft Office Word</Application>
  <DocSecurity>0</DocSecurity>
  <Lines>59</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298</cp:revision>
  <cp:lastPrinted>2016-08-05T18:54:00Z</cp:lastPrinted>
  <dcterms:created xsi:type="dcterms:W3CDTF">2020-08-03T20:20:00Z</dcterms:created>
  <dcterms:modified xsi:type="dcterms:W3CDTF">2021-08-06T10:12:00Z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